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9E0348">
      <w:pPr>
        <w:pStyle w:val="8"/>
        <w:numPr>
          <w:ilvl w:val="0"/>
          <w:numId w:val="2"/>
        </w:numPr>
        <w:spacing w:before="240" w:after="120"/>
        <w:jc w:val="center"/>
        <w:rPr>
          <w:rFonts w:ascii="宋体" w:hAnsi="宋体" w:eastAsia="宋体" w:cs="宋体"/>
          <w:bCs w:val="0"/>
          <w:kern w:val="0"/>
          <w:sz w:val="28"/>
          <w:szCs w:val="28"/>
          <w:highlight w:val="none"/>
        </w:rPr>
      </w:pPr>
      <w:bookmarkStart w:id="0" w:name="_Toc10834"/>
      <w:bookmarkStart w:id="1" w:name="_Toc22188"/>
      <w:bookmarkStart w:id="2" w:name="_Toc32013"/>
      <w:r>
        <w:rPr>
          <w:rFonts w:hint="eastAsia" w:ascii="宋体" w:hAnsi="宋体" w:eastAsia="宋体" w:cs="宋体"/>
          <w:bCs w:val="0"/>
          <w:kern w:val="0"/>
          <w:sz w:val="28"/>
          <w:szCs w:val="28"/>
          <w:highlight w:val="none"/>
        </w:rPr>
        <w:t>技术</w:t>
      </w:r>
      <w:bookmarkEnd w:id="0"/>
      <w:bookmarkEnd w:id="1"/>
      <w:r>
        <w:rPr>
          <w:rFonts w:hint="eastAsia" w:ascii="宋体" w:hAnsi="宋体" w:eastAsia="宋体" w:cs="宋体"/>
          <w:bCs w:val="0"/>
          <w:kern w:val="0"/>
          <w:sz w:val="28"/>
          <w:szCs w:val="28"/>
          <w:highlight w:val="none"/>
          <w:lang w:val="en-US" w:eastAsia="zh-CN"/>
        </w:rPr>
        <w:t>规范书</w:t>
      </w:r>
      <w:bookmarkEnd w:id="2"/>
    </w:p>
    <w:p w14:paraId="414CECC1">
      <w:pPr>
        <w:jc w:val="center"/>
        <w:rPr>
          <w:rFonts w:ascii="宋体" w:hAnsi="宋体" w:cs="宋体"/>
          <w:b/>
          <w:szCs w:val="21"/>
          <w:highlight w:val="none"/>
        </w:rPr>
      </w:pPr>
      <w:r>
        <w:rPr>
          <w:rFonts w:hint="eastAsia" w:ascii="宋体" w:hAnsi="宋体" w:cs="宋体"/>
          <w:b/>
          <w:szCs w:val="21"/>
          <w:highlight w:val="none"/>
        </w:rPr>
        <w:t>（★本章须逐点应答“满足”或“不满足”，如有正负偏离须在《技术</w:t>
      </w:r>
      <w:r>
        <w:rPr>
          <w:rFonts w:hint="eastAsia" w:ascii="宋体" w:hAnsi="宋体" w:cs="宋体"/>
          <w:b/>
          <w:szCs w:val="21"/>
          <w:highlight w:val="none"/>
          <w:lang w:val="en-US" w:eastAsia="zh-CN"/>
        </w:rPr>
        <w:t>规范书</w:t>
      </w:r>
      <w:r>
        <w:rPr>
          <w:rFonts w:hint="eastAsia" w:ascii="宋体" w:hAnsi="宋体" w:cs="宋体"/>
          <w:b/>
          <w:szCs w:val="21"/>
          <w:highlight w:val="none"/>
        </w:rPr>
        <w:t>偏离表》中详细说明）</w:t>
      </w:r>
    </w:p>
    <w:p w14:paraId="10205ADA">
      <w:pPr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firstLine="420" w:firstLineChars="200"/>
        <w:outlineLvl w:val="1"/>
        <w:rPr>
          <w:rFonts w:hint="eastAsia" w:ascii="宋体" w:hAnsi="宋体" w:cs="宋体"/>
          <w:color w:val="000000"/>
          <w:szCs w:val="21"/>
          <w:highlight w:val="none"/>
        </w:rPr>
      </w:pPr>
      <w:bookmarkStart w:id="3" w:name="_Toc31026"/>
      <w:bookmarkStart w:id="4" w:name="_Toc31325"/>
      <w:r>
        <w:rPr>
          <w:rFonts w:hint="eastAsia" w:ascii="宋体" w:hAnsi="宋体" w:cs="宋体"/>
          <w:color w:val="000000"/>
          <w:szCs w:val="21"/>
          <w:highlight w:val="none"/>
          <w:lang w:val="en-US" w:eastAsia="zh-CN"/>
        </w:rPr>
        <w:t>（一）服务内容</w:t>
      </w:r>
      <w:bookmarkEnd w:id="3"/>
    </w:p>
    <w:p w14:paraId="557C3CF3">
      <w:pPr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firstLine="420" w:firstLineChars="200"/>
        <w:rPr>
          <w:rFonts w:hint="eastAsia" w:ascii="宋体" w:hAnsi="宋体" w:cs="宋体"/>
          <w:color w:val="000000"/>
          <w:szCs w:val="21"/>
          <w:highlight w:val="none"/>
        </w:rPr>
      </w:pPr>
      <w:r>
        <w:rPr>
          <w:rFonts w:hint="eastAsia" w:ascii="宋体" w:hAnsi="宋体" w:cs="宋体"/>
          <w:color w:val="000000"/>
          <w:szCs w:val="21"/>
          <w:highlight w:val="none"/>
          <w:lang w:val="en-US" w:eastAsia="zh-CN"/>
        </w:rPr>
        <w:t>（1）租用机柜数量20个，均为19英寸标准机柜，机柜高度≥4</w:t>
      </w:r>
      <w:r>
        <w:rPr>
          <w:rFonts w:hint="default" w:ascii="宋体" w:hAnsi="宋体" w:cs="宋体"/>
          <w:color w:val="000000"/>
          <w:szCs w:val="21"/>
          <w:highlight w:val="none"/>
          <w:lang w:val="en-US" w:eastAsia="zh-CN"/>
        </w:rPr>
        <w:t>7</w:t>
      </w:r>
      <w:r>
        <w:rPr>
          <w:rFonts w:hint="eastAsia" w:ascii="宋体" w:hAnsi="宋体" w:cs="宋体"/>
          <w:color w:val="000000"/>
          <w:szCs w:val="21"/>
          <w:highlight w:val="none"/>
          <w:lang w:val="en-US" w:eastAsia="zh-CN"/>
        </w:rPr>
        <w:t>U，深度≥1.2m，单机柜功耗≥6kW</w:t>
      </w:r>
      <w:r>
        <w:rPr>
          <w:rFonts w:hint="eastAsia" w:ascii="宋体" w:hAnsi="宋体" w:cs="宋体"/>
          <w:color w:val="000000"/>
          <w:szCs w:val="21"/>
          <w:highlight w:val="none"/>
        </w:rPr>
        <w:t>。</w:t>
      </w:r>
    </w:p>
    <w:p w14:paraId="53865964">
      <w:pPr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firstLine="420" w:firstLineChars="200"/>
        <w:rPr>
          <w:rFonts w:hint="eastAsia" w:ascii="宋体" w:hAnsi="宋体" w:cs="宋体"/>
          <w:color w:val="000000"/>
          <w:szCs w:val="21"/>
          <w:highlight w:val="none"/>
        </w:rPr>
      </w:pPr>
      <w:r>
        <w:rPr>
          <w:rFonts w:hint="eastAsia" w:ascii="宋体" w:hAnsi="宋体" w:cs="宋体"/>
          <w:color w:val="000000"/>
          <w:szCs w:val="21"/>
          <w:highlight w:val="none"/>
          <w:lang w:val="en-US" w:eastAsia="zh-CN"/>
        </w:rPr>
        <w:t>（2）</w:t>
      </w:r>
      <w:r>
        <w:rPr>
          <w:rFonts w:hint="eastAsia" w:ascii="宋体" w:hAnsi="宋体" w:cs="宋体"/>
          <w:color w:val="000000"/>
          <w:szCs w:val="21"/>
          <w:highlight w:val="none"/>
        </w:rPr>
        <w:t>提供机房人工巡检、智能巡检、代收货品、备品备件存放等增值服务。</w:t>
      </w:r>
    </w:p>
    <w:p w14:paraId="20F7FDDC">
      <w:pPr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firstLine="420" w:firstLineChars="200"/>
        <w:rPr>
          <w:rFonts w:hint="eastAsia" w:ascii="宋体" w:hAnsi="宋体" w:cs="宋体"/>
          <w:color w:val="000000"/>
          <w:szCs w:val="21"/>
          <w:highlight w:val="none"/>
          <w:lang w:val="en-US" w:eastAsia="zh-CN"/>
        </w:rPr>
      </w:pPr>
      <w:bookmarkStart w:id="5" w:name="_Toc8380"/>
      <w:r>
        <w:rPr>
          <w:rFonts w:hint="eastAsia" w:ascii="宋体" w:hAnsi="宋体" w:cs="宋体"/>
          <w:color w:val="000000"/>
          <w:szCs w:val="21"/>
          <w:highlight w:val="none"/>
          <w:lang w:val="en-US" w:eastAsia="zh-CN"/>
        </w:rPr>
        <w:t>（3）★采购清单</w:t>
      </w:r>
      <w:bookmarkEnd w:id="5"/>
    </w:p>
    <w:tbl>
      <w:tblPr>
        <w:tblStyle w:val="5"/>
        <w:tblW w:w="4998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7"/>
        <w:gridCol w:w="3671"/>
        <w:gridCol w:w="2441"/>
        <w:gridCol w:w="1580"/>
      </w:tblGrid>
      <w:tr w14:paraId="3CF948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  <w:tblHeader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32ACE6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21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491AA6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  <w:lang w:val="en-US" w:eastAsia="zh-CN"/>
              </w:rPr>
              <w:t>机房位置</w:t>
            </w:r>
          </w:p>
        </w:tc>
        <w:tc>
          <w:tcPr>
            <w:tcW w:w="14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52E75F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  <w:lang w:val="en-US" w:eastAsia="zh-CN"/>
              </w:rPr>
              <w:t>机柜数量（架）</w:t>
            </w:r>
          </w:p>
        </w:tc>
        <w:tc>
          <w:tcPr>
            <w:tcW w:w="9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E4CCAB">
            <w:pPr>
              <w:jc w:val="center"/>
              <w:rPr>
                <w:rFonts w:hint="default" w:ascii="宋体" w:hAnsi="宋体" w:eastAsia="宋体" w:cs="宋体"/>
                <w:b/>
                <w:bCs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highlight w:val="none"/>
                <w:lang w:val="en-US" w:eastAsia="zh-CN"/>
              </w:rPr>
              <w:t>服务期限</w:t>
            </w:r>
          </w:p>
        </w:tc>
      </w:tr>
      <w:tr w14:paraId="3F66D4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C1712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21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EFBD0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 w:bidi="zh-TW"/>
              </w:rPr>
              <w:t>东湖高新区未来城片区（核心节点）</w:t>
            </w:r>
          </w:p>
        </w:tc>
        <w:tc>
          <w:tcPr>
            <w:tcW w:w="14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4D7B0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 w:bidi="zh-TW"/>
              </w:rPr>
              <w:t>12架</w:t>
            </w:r>
          </w:p>
        </w:tc>
        <w:tc>
          <w:tcPr>
            <w:tcW w:w="9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900FD3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 w:bidi="zh-TW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highlight w:val="none"/>
                <w:lang w:val="en-US" w:eastAsia="zh-CN" w:bidi="zh-TW"/>
              </w:rPr>
              <w:t>1年</w:t>
            </w:r>
          </w:p>
        </w:tc>
      </w:tr>
      <w:tr w14:paraId="61C151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C0DA9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2</w:t>
            </w:r>
          </w:p>
        </w:tc>
        <w:tc>
          <w:tcPr>
            <w:tcW w:w="21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96471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 w:bidi="zh-TW"/>
              </w:rPr>
              <w:t>东西湖区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highlight w:val="none"/>
                <w:lang w:val="en-US" w:eastAsia="zh-CN" w:bidi="zh-TW"/>
              </w:rPr>
              <w:t>临空港片区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 w:bidi="zh-TW"/>
              </w:rPr>
              <w:t>（核心节点）</w:t>
            </w:r>
          </w:p>
        </w:tc>
        <w:tc>
          <w:tcPr>
            <w:tcW w:w="14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672D9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 w:bidi="zh-TW"/>
              </w:rPr>
              <w:t>7架</w:t>
            </w:r>
          </w:p>
        </w:tc>
        <w:tc>
          <w:tcPr>
            <w:tcW w:w="9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4EA1B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 w:bidi="zh-TW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highlight w:val="none"/>
                <w:lang w:val="en-US" w:eastAsia="zh-CN" w:bidi="zh-TW"/>
              </w:rPr>
              <w:t>1年</w:t>
            </w:r>
          </w:p>
        </w:tc>
      </w:tr>
      <w:tr w14:paraId="7DDA6A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2AB9C0"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highlight w:val="none"/>
                <w:lang w:val="en-US"/>
              </w:rPr>
            </w:pPr>
            <w:r>
              <w:rPr>
                <w:rFonts w:hint="default" w:ascii="宋体" w:hAnsi="宋体" w:cs="宋体"/>
                <w:sz w:val="21"/>
                <w:szCs w:val="21"/>
                <w:highlight w:val="none"/>
                <w:lang w:val="en-US"/>
              </w:rPr>
              <w:t>3</w:t>
            </w:r>
          </w:p>
        </w:tc>
        <w:tc>
          <w:tcPr>
            <w:tcW w:w="21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10466E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 w:bidi="zh-TW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highlight w:val="none"/>
                <w:lang w:val="en-US" w:eastAsia="zh-CN" w:bidi="zh-TW"/>
              </w:rPr>
              <w:t>金银湖片区</w:t>
            </w:r>
          </w:p>
        </w:tc>
        <w:tc>
          <w:tcPr>
            <w:tcW w:w="14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7B6A9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 w:bidi="zh-TW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highlight w:val="none"/>
                <w:lang w:val="en-US" w:eastAsia="zh-CN" w:bidi="zh-TW"/>
              </w:rPr>
              <w:t>1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 w:bidi="zh-TW"/>
              </w:rPr>
              <w:t>架</w:t>
            </w:r>
          </w:p>
        </w:tc>
        <w:tc>
          <w:tcPr>
            <w:tcW w:w="9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02F38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 w:bidi="zh-TW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highlight w:val="none"/>
                <w:lang w:val="en-US" w:eastAsia="zh-CN" w:bidi="zh-TW"/>
              </w:rPr>
              <w:t>1年</w:t>
            </w:r>
          </w:p>
        </w:tc>
      </w:tr>
    </w:tbl>
    <w:p w14:paraId="35B34B7D">
      <w:pPr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firstLine="420" w:firstLineChars="200"/>
        <w:outlineLvl w:val="1"/>
        <w:rPr>
          <w:rFonts w:hint="default" w:ascii="宋体" w:hAnsi="宋体" w:cs="宋体"/>
          <w:color w:val="000000"/>
          <w:szCs w:val="21"/>
          <w:highlight w:val="none"/>
          <w:lang w:val="en-US"/>
        </w:rPr>
      </w:pPr>
      <w:r>
        <w:rPr>
          <w:rFonts w:hint="eastAsia" w:ascii="宋体" w:hAnsi="宋体" w:eastAsia="宋体" w:cs="宋体"/>
          <w:kern w:val="0"/>
          <w:sz w:val="21"/>
          <w:szCs w:val="21"/>
          <w:highlight w:val="none"/>
          <w:lang w:val="en-US" w:eastAsia="zh-CN" w:bidi="zh-TW"/>
        </w:rPr>
        <w:t>东湖高新区未来城片区</w:t>
      </w:r>
      <w:r>
        <w:rPr>
          <w:rFonts w:hint="eastAsia" w:ascii="宋体" w:hAnsi="宋体" w:cs="宋体"/>
          <w:kern w:val="0"/>
          <w:sz w:val="21"/>
          <w:szCs w:val="21"/>
          <w:highlight w:val="none"/>
          <w:lang w:val="en-US" w:eastAsia="zh-CN" w:bidi="zh-TW"/>
        </w:rPr>
        <w:t>、</w:t>
      </w:r>
      <w:r>
        <w:rPr>
          <w:rFonts w:hint="eastAsia" w:ascii="宋体" w:hAnsi="宋体" w:eastAsia="宋体" w:cs="宋体"/>
          <w:kern w:val="0"/>
          <w:sz w:val="21"/>
          <w:szCs w:val="21"/>
          <w:highlight w:val="none"/>
          <w:lang w:val="en-US" w:eastAsia="zh-CN" w:bidi="zh-TW"/>
        </w:rPr>
        <w:t>东西湖区</w:t>
      </w:r>
      <w:r>
        <w:rPr>
          <w:rFonts w:hint="eastAsia" w:ascii="宋体" w:hAnsi="宋体" w:cs="宋体"/>
          <w:kern w:val="0"/>
          <w:sz w:val="21"/>
          <w:szCs w:val="21"/>
          <w:highlight w:val="none"/>
          <w:lang w:val="en-US" w:eastAsia="zh-CN" w:bidi="zh-TW"/>
        </w:rPr>
        <w:t>临空港片区为2个核心节点，</w:t>
      </w:r>
      <w:r>
        <w:rPr>
          <w:rFonts w:hint="eastAsia" w:ascii="宋体" w:hAnsi="宋体" w:eastAsia="宋体" w:cs="宋体"/>
          <w:kern w:val="0"/>
          <w:sz w:val="21"/>
          <w:szCs w:val="21"/>
          <w:highlight w:val="none"/>
          <w:lang w:val="zh-TW" w:eastAsia="zh-TW" w:bidi="zh-TW"/>
        </w:rPr>
        <w:t>并预留</w:t>
      </w:r>
      <w:r>
        <w:rPr>
          <w:rFonts w:hint="eastAsia" w:ascii="宋体" w:hAnsi="宋体" w:eastAsia="宋体" w:cs="宋体"/>
          <w:kern w:val="0"/>
          <w:sz w:val="21"/>
          <w:szCs w:val="21"/>
          <w:highlight w:val="none"/>
          <w:lang w:val="zh-TW" w:bidi="zh-TW"/>
        </w:rPr>
        <w:t>30%</w:t>
      </w:r>
      <w:r>
        <w:rPr>
          <w:rFonts w:hint="eastAsia" w:ascii="宋体" w:hAnsi="宋体" w:eastAsia="宋体" w:cs="宋体"/>
          <w:kern w:val="0"/>
          <w:sz w:val="21"/>
          <w:szCs w:val="21"/>
          <w:highlight w:val="none"/>
          <w:lang w:val="zh-TW" w:eastAsia="zh-TW" w:bidi="zh-TW"/>
        </w:rPr>
        <w:t>扩展空间</w:t>
      </w:r>
      <w:r>
        <w:rPr>
          <w:rFonts w:hint="eastAsia" w:ascii="宋体" w:hAnsi="宋体" w:cs="宋体"/>
          <w:kern w:val="0"/>
          <w:sz w:val="21"/>
          <w:szCs w:val="21"/>
          <w:highlight w:val="none"/>
          <w:lang w:val="en-US" w:eastAsia="zh-CN" w:bidi="zh-TW"/>
        </w:rPr>
        <w:t>。</w:t>
      </w:r>
    </w:p>
    <w:p w14:paraId="0A65EE1E">
      <w:pPr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firstLine="420" w:firstLineChars="200"/>
        <w:outlineLvl w:val="1"/>
        <w:rPr>
          <w:rFonts w:ascii="宋体" w:hAnsi="宋体" w:cs="宋体"/>
          <w:color w:val="000000"/>
          <w:szCs w:val="21"/>
          <w:highlight w:val="none"/>
        </w:rPr>
      </w:pPr>
      <w:r>
        <w:rPr>
          <w:rFonts w:hint="eastAsia" w:ascii="宋体" w:hAnsi="宋体" w:cs="宋体"/>
          <w:color w:val="000000"/>
          <w:szCs w:val="21"/>
          <w:highlight w:val="none"/>
        </w:rPr>
        <w:t>（</w:t>
      </w:r>
      <w:r>
        <w:rPr>
          <w:rFonts w:hint="eastAsia" w:ascii="宋体" w:hAnsi="宋体" w:cs="宋体"/>
          <w:color w:val="000000"/>
          <w:szCs w:val="21"/>
          <w:highlight w:val="none"/>
          <w:lang w:val="en-US" w:eastAsia="zh-CN"/>
        </w:rPr>
        <w:t>二</w:t>
      </w:r>
      <w:r>
        <w:rPr>
          <w:rFonts w:hint="eastAsia" w:ascii="宋体" w:hAnsi="宋体" w:cs="宋体"/>
          <w:color w:val="000000"/>
          <w:szCs w:val="21"/>
          <w:highlight w:val="none"/>
        </w:rPr>
        <w:t>）</w:t>
      </w:r>
      <w:r>
        <w:rPr>
          <w:rFonts w:hint="eastAsia" w:ascii="宋体" w:hAnsi="宋体" w:cs="宋体"/>
          <w:color w:val="000000"/>
          <w:szCs w:val="21"/>
          <w:highlight w:val="none"/>
          <w:lang w:val="en-US" w:eastAsia="zh-CN"/>
        </w:rPr>
        <w:t>技术</w:t>
      </w:r>
      <w:r>
        <w:rPr>
          <w:rFonts w:hint="eastAsia" w:ascii="宋体" w:hAnsi="宋体" w:cs="宋体"/>
          <w:color w:val="000000"/>
          <w:szCs w:val="21"/>
          <w:highlight w:val="none"/>
        </w:rPr>
        <w:t>要求</w:t>
      </w:r>
      <w:bookmarkEnd w:id="4"/>
    </w:p>
    <w:p w14:paraId="01A2E2B2">
      <w:pPr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firstLine="420" w:firstLineChars="200"/>
        <w:rPr>
          <w:rFonts w:ascii="宋体" w:hAnsi="宋体" w:cs="宋体"/>
          <w:color w:val="000000"/>
          <w:szCs w:val="21"/>
          <w:highlight w:val="none"/>
        </w:rPr>
      </w:pPr>
      <w:r>
        <w:rPr>
          <w:rFonts w:hint="eastAsia" w:ascii="宋体" w:hAnsi="宋体" w:cs="宋体"/>
          <w:color w:val="000000"/>
          <w:szCs w:val="21"/>
          <w:highlight w:val="none"/>
        </w:rPr>
        <w:t>1、机房具体要求</w:t>
      </w:r>
    </w:p>
    <w:p w14:paraId="15DAA5A9">
      <w:pPr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firstLine="420" w:firstLineChars="200"/>
        <w:rPr>
          <w:rFonts w:ascii="宋体" w:hAnsi="宋体" w:cs="宋体"/>
          <w:color w:val="000000"/>
          <w:szCs w:val="21"/>
          <w:highlight w:val="none"/>
        </w:rPr>
      </w:pPr>
      <w:r>
        <w:rPr>
          <w:rFonts w:hint="eastAsia" w:ascii="宋体" w:hAnsi="宋体" w:cs="宋体"/>
          <w:color w:val="000000"/>
          <w:szCs w:val="21"/>
          <w:highlight w:val="none"/>
        </w:rPr>
        <w:t>（1）应符合国家A级机房建设标准。设计能耗指标PUE值应小于1.5。</w:t>
      </w:r>
    </w:p>
    <w:p w14:paraId="460235BE">
      <w:pPr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firstLine="420" w:firstLineChars="200"/>
        <w:rPr>
          <w:rFonts w:ascii="宋体" w:hAnsi="宋体" w:cs="宋体"/>
          <w:color w:val="000000"/>
          <w:szCs w:val="21"/>
          <w:highlight w:val="none"/>
        </w:rPr>
      </w:pPr>
      <w:r>
        <w:rPr>
          <w:rFonts w:hint="eastAsia" w:ascii="宋体" w:hAnsi="宋体" w:cs="宋体"/>
          <w:color w:val="000000"/>
          <w:szCs w:val="21"/>
          <w:highlight w:val="none"/>
        </w:rPr>
        <w:t>（2）温、湿度及空气含尘浓度：主机房内的温、湿度应满足电子信息设备的使用要求，并根据电子信息系统机房的等级，按照以下的标准执行。</w:t>
      </w:r>
    </w:p>
    <w:tbl>
      <w:tblPr>
        <w:tblStyle w:val="5"/>
        <w:tblW w:w="7371" w:type="dxa"/>
        <w:tblInd w:w="392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48"/>
        <w:gridCol w:w="3523"/>
      </w:tblGrid>
      <w:tr w14:paraId="6172D4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3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9876E0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left="0" w:leftChars="0" w:firstLine="422" w:firstLineChars="200"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  <w:highlight w:val="none"/>
              </w:rPr>
              <w:t>项目</w:t>
            </w:r>
          </w:p>
        </w:tc>
        <w:tc>
          <w:tcPr>
            <w:tcW w:w="35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C4DB09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left="0" w:leftChars="0" w:firstLine="422" w:firstLineChars="200"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  <w:highlight w:val="none"/>
              </w:rPr>
              <w:t>A级</w:t>
            </w:r>
          </w:p>
        </w:tc>
      </w:tr>
      <w:tr w14:paraId="681ABC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8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7D6F5C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left="0" w:leftChars="0" w:firstLine="420" w:firstLineChars="200"/>
              <w:jc w:val="center"/>
              <w:rPr>
                <w:rFonts w:ascii="宋体" w:hAnsi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highlight w:val="none"/>
              </w:rPr>
              <w:t>主机房温度要求（开机时）</w:t>
            </w:r>
          </w:p>
        </w:tc>
        <w:tc>
          <w:tcPr>
            <w:tcW w:w="35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DE0D7D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left="0" w:leftChars="0" w:firstLine="420" w:firstLineChars="200"/>
              <w:jc w:val="center"/>
              <w:rPr>
                <w:rFonts w:ascii="宋体" w:hAnsi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highlight w:val="none"/>
              </w:rPr>
              <w:t>22℃±2℃</w:t>
            </w:r>
          </w:p>
        </w:tc>
      </w:tr>
      <w:tr w14:paraId="560C37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8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3924C7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left="0" w:leftChars="0" w:firstLine="420" w:firstLineChars="200"/>
              <w:jc w:val="center"/>
              <w:rPr>
                <w:rFonts w:ascii="宋体" w:hAnsi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highlight w:val="none"/>
              </w:rPr>
              <w:t>主机房相对湿度要求（开机时）</w:t>
            </w:r>
          </w:p>
        </w:tc>
        <w:tc>
          <w:tcPr>
            <w:tcW w:w="35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1D538C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left="0" w:leftChars="0" w:firstLine="420" w:firstLineChars="200"/>
              <w:jc w:val="center"/>
              <w:rPr>
                <w:rFonts w:ascii="宋体" w:hAnsi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highlight w:val="none"/>
              </w:rPr>
              <w:t>35%~ 65%  不得结露</w:t>
            </w:r>
          </w:p>
        </w:tc>
      </w:tr>
    </w:tbl>
    <w:p w14:paraId="7066E4B1">
      <w:pPr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firstLine="420" w:firstLineChars="200"/>
        <w:rPr>
          <w:rFonts w:ascii="宋体" w:hAnsi="宋体" w:cs="宋体"/>
          <w:color w:val="000000"/>
          <w:szCs w:val="21"/>
          <w:highlight w:val="none"/>
        </w:rPr>
      </w:pPr>
      <w:r>
        <w:rPr>
          <w:rFonts w:hint="eastAsia" w:ascii="宋体" w:hAnsi="宋体" w:cs="宋体"/>
          <w:color w:val="000000"/>
          <w:szCs w:val="21"/>
          <w:highlight w:val="none"/>
        </w:rPr>
        <w:t>（3）主机房内的含尘浓度，在静态下测试，每升空气中大于0.5µm的尘粒数应少于18000粒。</w:t>
      </w:r>
    </w:p>
    <w:p w14:paraId="3EC02230">
      <w:pPr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firstLine="420" w:firstLineChars="200"/>
        <w:rPr>
          <w:rFonts w:ascii="宋体" w:hAnsi="宋体" w:cs="宋体"/>
          <w:color w:val="000000"/>
          <w:szCs w:val="21"/>
          <w:highlight w:val="none"/>
        </w:rPr>
      </w:pPr>
      <w:r>
        <w:rPr>
          <w:rFonts w:hint="eastAsia" w:ascii="宋体" w:hAnsi="宋体" w:cs="宋体"/>
          <w:color w:val="000000"/>
          <w:szCs w:val="21"/>
          <w:highlight w:val="none"/>
        </w:rPr>
        <w:t>（4）在电子信息设备停机时，在机房中心位置测量的噪声值应小于65dB（A）。</w:t>
      </w:r>
    </w:p>
    <w:p w14:paraId="754DFDE6">
      <w:pPr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firstLine="420" w:firstLineChars="200"/>
        <w:rPr>
          <w:rFonts w:ascii="宋体" w:hAnsi="宋体" w:cs="宋体"/>
          <w:color w:val="000000"/>
          <w:szCs w:val="21"/>
          <w:highlight w:val="none"/>
        </w:rPr>
      </w:pPr>
      <w:r>
        <w:rPr>
          <w:rFonts w:hint="eastAsia" w:ascii="宋体" w:hAnsi="宋体" w:cs="宋体"/>
          <w:color w:val="000000"/>
          <w:szCs w:val="21"/>
          <w:highlight w:val="none"/>
        </w:rPr>
        <w:t>（5）在电子信息设备停机条件下，主机房地板表面垂直及水平向的振动加速度值，不应大于500 mm/s2。</w:t>
      </w:r>
    </w:p>
    <w:p w14:paraId="5A915961">
      <w:pPr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firstLine="420" w:firstLineChars="200"/>
        <w:rPr>
          <w:rFonts w:ascii="宋体" w:hAnsi="宋体" w:cs="宋体"/>
          <w:color w:val="000000"/>
          <w:szCs w:val="21"/>
          <w:highlight w:val="none"/>
        </w:rPr>
      </w:pPr>
      <w:r>
        <w:rPr>
          <w:rFonts w:hint="eastAsia" w:ascii="宋体" w:hAnsi="宋体" w:cs="宋体"/>
          <w:color w:val="000000"/>
          <w:szCs w:val="21"/>
          <w:highlight w:val="none"/>
        </w:rPr>
        <w:t>（6）主机房和辅助区的地板或地面及工作台面的静电泄漏电阻，应符合现行国家标准《计算机机房用活动地板技术条件》的规定，防静电地板、地面的表面电阻或体积电阻值应为106～109欧姆，且应具有防火、环保、耐污耐磨性能。</w:t>
      </w:r>
    </w:p>
    <w:p w14:paraId="625B8F27">
      <w:pPr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firstLine="420" w:firstLineChars="200"/>
        <w:rPr>
          <w:rFonts w:ascii="宋体" w:hAnsi="宋体" w:cs="宋体"/>
          <w:color w:val="000000"/>
          <w:szCs w:val="21"/>
          <w:highlight w:val="none"/>
        </w:rPr>
      </w:pPr>
      <w:r>
        <w:rPr>
          <w:rFonts w:hint="eastAsia" w:ascii="宋体" w:hAnsi="宋体" w:cs="宋体"/>
          <w:color w:val="000000"/>
          <w:szCs w:val="21"/>
          <w:highlight w:val="none"/>
        </w:rPr>
        <w:t>（7）主机房和辅助区内绝缘体的静电电位不应大于1kV。</w:t>
      </w:r>
    </w:p>
    <w:p w14:paraId="447B1908">
      <w:pPr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firstLine="420" w:firstLineChars="200"/>
        <w:rPr>
          <w:rFonts w:ascii="宋体" w:hAnsi="宋体" w:cs="宋体"/>
          <w:color w:val="000000"/>
          <w:szCs w:val="21"/>
          <w:highlight w:val="none"/>
        </w:rPr>
      </w:pPr>
      <w:r>
        <w:rPr>
          <w:rFonts w:hint="eastAsia" w:ascii="宋体" w:hAnsi="宋体" w:cs="宋体"/>
          <w:color w:val="000000"/>
          <w:szCs w:val="21"/>
          <w:highlight w:val="none"/>
        </w:rPr>
        <w:t>（8）机房建筑应远离无线电干扰、强力电源，机房建筑需避开地震区和其他震源，避开环境污染区，远离容易发生燃烧、爆炸、洪水和低凹地区。</w:t>
      </w:r>
    </w:p>
    <w:p w14:paraId="5893C1BF">
      <w:pPr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firstLine="420" w:firstLineChars="200"/>
        <w:rPr>
          <w:rFonts w:ascii="宋体" w:hAnsi="宋体" w:cs="宋体"/>
          <w:color w:val="000000"/>
          <w:szCs w:val="21"/>
          <w:highlight w:val="none"/>
        </w:rPr>
      </w:pPr>
      <w:r>
        <w:rPr>
          <w:rFonts w:hint="eastAsia" w:ascii="宋体" w:hAnsi="宋体" w:cs="宋体"/>
          <w:color w:val="000000"/>
          <w:szCs w:val="21"/>
          <w:highlight w:val="none"/>
        </w:rPr>
        <w:t>（9）机房上层不应有易积水的房间（如浴室、厕所、厨房等），机房内应有排水功能。机房的相邻范围不应有火源（如饭堂、酒楼、易燃品仓库等）。</w:t>
      </w:r>
    </w:p>
    <w:p w14:paraId="03D87365">
      <w:pPr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firstLine="420" w:firstLineChars="200"/>
        <w:rPr>
          <w:rFonts w:ascii="宋体" w:hAnsi="宋体" w:cs="宋体"/>
          <w:color w:val="000000"/>
          <w:szCs w:val="21"/>
          <w:highlight w:val="none"/>
        </w:rPr>
      </w:pPr>
      <w:r>
        <w:rPr>
          <w:rFonts w:hint="eastAsia" w:ascii="宋体" w:hAnsi="宋体" w:cs="宋体"/>
          <w:color w:val="000000"/>
          <w:szCs w:val="21"/>
          <w:highlight w:val="none"/>
        </w:rPr>
        <w:t>（10）机房建筑具有一定的物理封闭性，便于人员出入管理，保证数据中心的安全性。</w:t>
      </w:r>
    </w:p>
    <w:p w14:paraId="1CA0DCDB">
      <w:pPr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firstLine="420" w:firstLineChars="200"/>
        <w:rPr>
          <w:rFonts w:ascii="宋体" w:hAnsi="宋体" w:cs="宋体"/>
          <w:color w:val="000000"/>
          <w:szCs w:val="21"/>
          <w:highlight w:val="none"/>
        </w:rPr>
      </w:pPr>
      <w:r>
        <w:rPr>
          <w:rFonts w:hint="eastAsia" w:ascii="宋体" w:hAnsi="宋体" w:cs="宋体"/>
          <w:color w:val="000000"/>
          <w:szCs w:val="21"/>
          <w:highlight w:val="none"/>
        </w:rPr>
        <w:t>2、建筑要求</w:t>
      </w:r>
    </w:p>
    <w:p w14:paraId="775E74E1">
      <w:pPr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firstLine="420" w:firstLineChars="200"/>
        <w:rPr>
          <w:rFonts w:hint="eastAsia" w:ascii="宋体" w:hAnsi="宋体" w:cs="宋体"/>
          <w:color w:val="000000"/>
          <w:szCs w:val="21"/>
          <w:highlight w:val="none"/>
        </w:rPr>
      </w:pPr>
      <w:r>
        <w:rPr>
          <w:rFonts w:hint="eastAsia" w:ascii="宋体" w:hAnsi="宋体" w:cs="宋体"/>
          <w:color w:val="000000"/>
          <w:szCs w:val="21"/>
          <w:highlight w:val="none"/>
        </w:rPr>
        <w:t>（1）机房主体结构应具有耐久、抗震、防火、防止不均匀沉陷等性能。变形缝和伸缩缝不应穿过主机房。</w:t>
      </w:r>
    </w:p>
    <w:p w14:paraId="426422FE">
      <w:pPr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firstLine="420" w:firstLineChars="200"/>
        <w:rPr>
          <w:rFonts w:hint="eastAsia" w:ascii="宋体" w:hAnsi="宋体" w:cs="宋体"/>
          <w:color w:val="000000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color w:val="000000"/>
          <w:szCs w:val="21"/>
          <w:highlight w:val="none"/>
        </w:rPr>
        <w:t>（</w:t>
      </w:r>
      <w:r>
        <w:rPr>
          <w:rFonts w:hint="eastAsia" w:ascii="宋体" w:hAnsi="宋体" w:cs="宋体"/>
          <w:color w:val="000000"/>
          <w:szCs w:val="21"/>
          <w:highlight w:val="none"/>
          <w:lang w:val="en-US" w:eastAsia="zh-CN"/>
        </w:rPr>
        <w:t>2</w:t>
      </w:r>
      <w:r>
        <w:rPr>
          <w:rFonts w:hint="eastAsia" w:ascii="宋体" w:hAnsi="宋体" w:cs="宋体"/>
          <w:color w:val="000000"/>
          <w:szCs w:val="21"/>
          <w:highlight w:val="none"/>
        </w:rPr>
        <w:t>）</w:t>
      </w:r>
      <w:r>
        <w:rPr>
          <w:rFonts w:hint="eastAsia" w:ascii="宋体" w:hAnsi="宋体" w:cs="宋体"/>
          <w:color w:val="000000"/>
          <w:szCs w:val="21"/>
          <w:highlight w:val="none"/>
          <w:lang w:val="en-US" w:eastAsia="zh-CN"/>
        </w:rPr>
        <w:t>抗震设防烈度：≥</w:t>
      </w:r>
      <w:r>
        <w:rPr>
          <w:rFonts w:hint="default" w:ascii="宋体" w:hAnsi="宋体" w:cs="宋体"/>
          <w:color w:val="000000"/>
          <w:szCs w:val="21"/>
          <w:highlight w:val="none"/>
          <w:lang w:val="en-US" w:eastAsia="zh-CN"/>
        </w:rPr>
        <w:t>6</w:t>
      </w:r>
      <w:r>
        <w:rPr>
          <w:rFonts w:hint="eastAsia" w:ascii="宋体" w:hAnsi="宋体" w:cs="宋体"/>
          <w:color w:val="000000"/>
          <w:szCs w:val="21"/>
          <w:highlight w:val="none"/>
          <w:lang w:val="en-US" w:eastAsia="zh-CN"/>
        </w:rPr>
        <w:t>度。</w:t>
      </w:r>
    </w:p>
    <w:p w14:paraId="10153238">
      <w:pPr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firstLine="420" w:firstLineChars="200"/>
        <w:rPr>
          <w:rFonts w:ascii="宋体" w:hAnsi="宋体" w:cs="宋体"/>
          <w:color w:val="000000"/>
          <w:szCs w:val="21"/>
          <w:highlight w:val="none"/>
        </w:rPr>
      </w:pPr>
      <w:r>
        <w:rPr>
          <w:rFonts w:hint="eastAsia" w:ascii="宋体" w:hAnsi="宋体" w:cs="宋体"/>
          <w:color w:val="000000"/>
          <w:szCs w:val="21"/>
          <w:highlight w:val="none"/>
        </w:rPr>
        <w:t>（</w:t>
      </w:r>
      <w:r>
        <w:rPr>
          <w:rFonts w:hint="eastAsia" w:ascii="宋体" w:hAnsi="宋体" w:cs="宋体"/>
          <w:color w:val="000000"/>
          <w:szCs w:val="21"/>
          <w:highlight w:val="none"/>
          <w:lang w:val="en-US" w:eastAsia="zh-CN"/>
        </w:rPr>
        <w:t>3</w:t>
      </w:r>
      <w:r>
        <w:rPr>
          <w:rFonts w:hint="eastAsia" w:ascii="宋体" w:hAnsi="宋体" w:cs="宋体"/>
          <w:color w:val="000000"/>
          <w:szCs w:val="21"/>
          <w:highlight w:val="none"/>
        </w:rPr>
        <w:t>）主机房中各类管线应暗敷，当管线需穿楼层时，应设计技术竖井。</w:t>
      </w:r>
    </w:p>
    <w:p w14:paraId="009FB2D9">
      <w:pPr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firstLine="420" w:firstLineChars="200"/>
        <w:rPr>
          <w:rFonts w:hint="eastAsia" w:ascii="宋体" w:hAnsi="宋体" w:cs="宋体"/>
          <w:color w:val="000000"/>
          <w:szCs w:val="21"/>
          <w:highlight w:val="none"/>
        </w:rPr>
      </w:pPr>
      <w:r>
        <w:rPr>
          <w:rFonts w:hint="eastAsia" w:ascii="宋体" w:hAnsi="宋体" w:cs="宋体"/>
          <w:color w:val="000000"/>
          <w:szCs w:val="21"/>
          <w:highlight w:val="none"/>
        </w:rPr>
        <w:t>（</w:t>
      </w:r>
      <w:r>
        <w:rPr>
          <w:rFonts w:hint="eastAsia" w:ascii="宋体" w:hAnsi="宋体" w:cs="宋体"/>
          <w:color w:val="000000"/>
          <w:szCs w:val="21"/>
          <w:highlight w:val="none"/>
          <w:lang w:val="en-US" w:eastAsia="zh-CN"/>
        </w:rPr>
        <w:t>4</w:t>
      </w:r>
      <w:r>
        <w:rPr>
          <w:rFonts w:hint="eastAsia" w:ascii="宋体" w:hAnsi="宋体" w:cs="宋体"/>
          <w:color w:val="000000"/>
          <w:szCs w:val="21"/>
          <w:highlight w:val="none"/>
        </w:rPr>
        <w:t>）机房围护结构的构造和材料应满足保温、隔热、防火要求。</w:t>
      </w:r>
    </w:p>
    <w:p w14:paraId="3D952557">
      <w:pPr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firstLine="420" w:firstLineChars="200"/>
        <w:rPr>
          <w:rFonts w:hint="eastAsia" w:ascii="宋体" w:hAnsi="宋体" w:cs="宋体"/>
          <w:color w:val="000000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color w:val="000000"/>
          <w:szCs w:val="21"/>
          <w:highlight w:val="none"/>
        </w:rPr>
        <w:t>（</w:t>
      </w:r>
      <w:r>
        <w:rPr>
          <w:rFonts w:hint="eastAsia" w:ascii="宋体" w:hAnsi="宋体" w:cs="宋体"/>
          <w:color w:val="000000"/>
          <w:szCs w:val="21"/>
          <w:highlight w:val="none"/>
          <w:lang w:val="en-US" w:eastAsia="zh-CN"/>
        </w:rPr>
        <w:t>5</w:t>
      </w:r>
      <w:r>
        <w:rPr>
          <w:rFonts w:hint="eastAsia" w:ascii="宋体" w:hAnsi="宋体" w:cs="宋体"/>
          <w:color w:val="000000"/>
          <w:szCs w:val="21"/>
          <w:highlight w:val="none"/>
        </w:rPr>
        <w:t>）</w:t>
      </w:r>
      <w:r>
        <w:rPr>
          <w:rFonts w:hint="eastAsia" w:ascii="宋体" w:hAnsi="宋体" w:cs="宋体"/>
          <w:color w:val="000000"/>
          <w:szCs w:val="21"/>
          <w:highlight w:val="none"/>
          <w:lang w:val="en-US" w:eastAsia="zh-CN"/>
        </w:rPr>
        <w:t>机房内部敷设防静电地板，设备运输通道畅通，保证本次项目设备妥善到达机房。</w:t>
      </w:r>
    </w:p>
    <w:p w14:paraId="3C86D1FE">
      <w:pPr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firstLine="420" w:firstLineChars="200"/>
        <w:rPr>
          <w:rFonts w:ascii="宋体" w:hAnsi="宋体" w:cs="宋体"/>
          <w:color w:val="000000"/>
          <w:szCs w:val="21"/>
          <w:highlight w:val="none"/>
        </w:rPr>
      </w:pPr>
      <w:r>
        <w:rPr>
          <w:rFonts w:hint="eastAsia" w:ascii="宋体" w:hAnsi="宋体" w:cs="宋体"/>
          <w:color w:val="000000"/>
          <w:szCs w:val="21"/>
          <w:highlight w:val="none"/>
        </w:rPr>
        <w:t>（</w:t>
      </w:r>
      <w:r>
        <w:rPr>
          <w:rFonts w:hint="eastAsia" w:ascii="宋体" w:hAnsi="宋体" w:cs="宋体"/>
          <w:color w:val="000000"/>
          <w:szCs w:val="21"/>
          <w:highlight w:val="none"/>
          <w:lang w:val="en-US" w:eastAsia="zh-CN"/>
        </w:rPr>
        <w:t>6</w:t>
      </w:r>
      <w:r>
        <w:rPr>
          <w:rFonts w:hint="eastAsia" w:ascii="宋体" w:hAnsi="宋体" w:cs="宋体"/>
          <w:color w:val="000000"/>
          <w:szCs w:val="21"/>
          <w:highlight w:val="none"/>
        </w:rPr>
        <w:t>）</w:t>
      </w:r>
      <w:r>
        <w:rPr>
          <w:rFonts w:hint="eastAsia" w:ascii="宋体" w:hAnsi="宋体" w:cs="宋体"/>
          <w:color w:val="000000"/>
          <w:szCs w:val="21"/>
          <w:highlight w:val="none"/>
          <w:lang w:val="en-US" w:eastAsia="zh-CN"/>
        </w:rPr>
        <w:t>核心节点</w:t>
      </w:r>
      <w:r>
        <w:rPr>
          <w:rFonts w:hint="eastAsia" w:ascii="宋体" w:hAnsi="宋体" w:cs="宋体"/>
          <w:color w:val="000000"/>
          <w:szCs w:val="21"/>
          <w:highlight w:val="none"/>
        </w:rPr>
        <w:t>机房楼层地板承重不得低于</w:t>
      </w:r>
      <w:r>
        <w:rPr>
          <w:rFonts w:hint="eastAsia" w:ascii="宋体" w:hAnsi="宋体" w:cs="宋体"/>
          <w:color w:val="000000"/>
          <w:szCs w:val="21"/>
          <w:highlight w:val="none"/>
          <w:lang w:val="en-US" w:eastAsia="zh-CN"/>
        </w:rPr>
        <w:t>14</w:t>
      </w:r>
      <w:r>
        <w:rPr>
          <w:rFonts w:hint="eastAsia" w:ascii="宋体" w:hAnsi="宋体" w:cs="宋体"/>
          <w:color w:val="000000"/>
          <w:szCs w:val="21"/>
          <w:highlight w:val="none"/>
        </w:rPr>
        <w:t>00公斤每平方米</w:t>
      </w:r>
      <w:r>
        <w:rPr>
          <w:rFonts w:hint="eastAsia" w:ascii="宋体" w:hAnsi="宋体" w:cs="宋体"/>
          <w:color w:val="000000"/>
          <w:szCs w:val="21"/>
          <w:highlight w:val="none"/>
        </w:rPr>
        <w:t>。</w:t>
      </w:r>
    </w:p>
    <w:p w14:paraId="5FF6EAC3">
      <w:pPr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firstLine="420" w:firstLineChars="200"/>
        <w:rPr>
          <w:rFonts w:ascii="宋体" w:hAnsi="宋体" w:cs="宋体"/>
          <w:color w:val="000000"/>
          <w:szCs w:val="21"/>
          <w:highlight w:val="none"/>
        </w:rPr>
      </w:pPr>
      <w:r>
        <w:rPr>
          <w:rFonts w:hint="eastAsia" w:ascii="宋体" w:hAnsi="宋体" w:cs="宋体"/>
          <w:color w:val="000000"/>
          <w:szCs w:val="21"/>
          <w:highlight w:val="none"/>
        </w:rPr>
        <w:t>3、安保、消防要求</w:t>
      </w:r>
    </w:p>
    <w:p w14:paraId="1B3F9D15">
      <w:pPr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firstLine="420" w:firstLineChars="200"/>
        <w:rPr>
          <w:rFonts w:ascii="宋体" w:hAnsi="宋体" w:cs="宋体"/>
          <w:color w:val="000000"/>
          <w:szCs w:val="21"/>
          <w:highlight w:val="none"/>
        </w:rPr>
      </w:pPr>
      <w:r>
        <w:rPr>
          <w:rFonts w:hint="eastAsia" w:ascii="宋体" w:hAnsi="宋体" w:cs="宋体"/>
          <w:color w:val="000000"/>
          <w:szCs w:val="21"/>
          <w:highlight w:val="none"/>
        </w:rPr>
        <w:t>（1）机房内部的耐火等级应符合现行相关国家标准的规定。</w:t>
      </w:r>
    </w:p>
    <w:p w14:paraId="7D1D82BA">
      <w:pPr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firstLine="420" w:firstLineChars="200"/>
        <w:rPr>
          <w:rFonts w:ascii="宋体" w:hAnsi="宋体" w:cs="宋体"/>
          <w:color w:val="000000"/>
          <w:szCs w:val="21"/>
          <w:highlight w:val="none"/>
        </w:rPr>
      </w:pPr>
      <w:r>
        <w:rPr>
          <w:rFonts w:hint="eastAsia" w:ascii="宋体" w:hAnsi="宋体" w:cs="宋体"/>
          <w:color w:val="000000"/>
          <w:szCs w:val="21"/>
          <w:highlight w:val="none"/>
        </w:rPr>
        <w:t>（2）整体机房消防设施应采取办公区与机房分离设计，应符合消防规范要求，并通过主管部门验收。</w:t>
      </w:r>
    </w:p>
    <w:p w14:paraId="3F7D2364">
      <w:pPr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firstLine="420" w:firstLineChars="200"/>
        <w:rPr>
          <w:rFonts w:ascii="宋体" w:hAnsi="宋体" w:cs="宋体"/>
          <w:color w:val="000000"/>
          <w:szCs w:val="21"/>
          <w:highlight w:val="none"/>
        </w:rPr>
      </w:pPr>
      <w:r>
        <w:rPr>
          <w:rFonts w:hint="eastAsia" w:ascii="宋体" w:hAnsi="宋体" w:cs="宋体"/>
          <w:color w:val="000000"/>
          <w:szCs w:val="21"/>
          <w:highlight w:val="none"/>
        </w:rPr>
        <w:t>（3）机房区消防报警应为定点探测报警；同时机房内要配备有自动气体灭火设施，可以及时扑灭小范围火险，全面保障机房安全。</w:t>
      </w:r>
    </w:p>
    <w:p w14:paraId="63260011">
      <w:pPr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firstLine="420" w:firstLineChars="200"/>
        <w:rPr>
          <w:rFonts w:ascii="宋体" w:hAnsi="宋体" w:cs="宋体"/>
          <w:color w:val="000000"/>
          <w:szCs w:val="21"/>
          <w:highlight w:val="none"/>
        </w:rPr>
      </w:pPr>
      <w:r>
        <w:rPr>
          <w:rFonts w:hint="eastAsia" w:ascii="宋体" w:hAnsi="宋体" w:cs="宋体"/>
          <w:color w:val="000000"/>
          <w:szCs w:val="21"/>
          <w:highlight w:val="none"/>
        </w:rPr>
        <w:t>（4）办公区提供手持灭火器消防装置。</w:t>
      </w:r>
    </w:p>
    <w:p w14:paraId="2DB6200C">
      <w:pPr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firstLine="420" w:firstLineChars="200"/>
        <w:rPr>
          <w:rFonts w:ascii="宋体" w:hAnsi="宋体" w:cs="宋体"/>
          <w:color w:val="000000"/>
          <w:szCs w:val="21"/>
          <w:highlight w:val="none"/>
        </w:rPr>
      </w:pPr>
      <w:r>
        <w:rPr>
          <w:rFonts w:hint="eastAsia" w:ascii="宋体" w:hAnsi="宋体" w:cs="宋体"/>
          <w:color w:val="000000"/>
          <w:szCs w:val="21"/>
          <w:highlight w:val="none"/>
        </w:rPr>
        <w:t>（5）机房的安全出口，不应少于两个。门应向疏散方向开启，走廊、楼梯间应畅通并有明显的疏散指示标志。</w:t>
      </w:r>
    </w:p>
    <w:p w14:paraId="41C77282">
      <w:pPr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firstLine="420" w:firstLineChars="200"/>
        <w:rPr>
          <w:rFonts w:ascii="宋体" w:hAnsi="宋体" w:cs="宋体"/>
          <w:color w:val="000000"/>
          <w:szCs w:val="21"/>
          <w:highlight w:val="none"/>
        </w:rPr>
      </w:pPr>
      <w:r>
        <w:rPr>
          <w:rFonts w:hint="eastAsia" w:ascii="宋体" w:hAnsi="宋体" w:cs="宋体"/>
          <w:color w:val="000000"/>
          <w:szCs w:val="21"/>
          <w:highlight w:val="none"/>
        </w:rPr>
        <w:t>（6）机房应具有24小时电子门禁系统、安保监控，摄像机按机柜排列列数布置，并覆盖机房内外所有通道及设备，监控要求无死角。</w:t>
      </w:r>
    </w:p>
    <w:p w14:paraId="4DFD0E90">
      <w:pPr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firstLine="420" w:firstLineChars="200"/>
        <w:rPr>
          <w:rFonts w:ascii="宋体" w:hAnsi="宋体" w:cs="宋体"/>
          <w:color w:val="000000"/>
          <w:szCs w:val="21"/>
          <w:highlight w:val="none"/>
        </w:rPr>
      </w:pPr>
      <w:r>
        <w:rPr>
          <w:rFonts w:hint="eastAsia" w:ascii="宋体" w:hAnsi="宋体" w:cs="宋体"/>
          <w:color w:val="000000"/>
          <w:szCs w:val="21"/>
          <w:highlight w:val="none"/>
        </w:rPr>
        <w:t>4、供配电要求</w:t>
      </w:r>
    </w:p>
    <w:p w14:paraId="25E316C1">
      <w:pPr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firstLine="420" w:firstLineChars="200"/>
        <w:rPr>
          <w:rFonts w:ascii="宋体" w:hAnsi="宋体" w:cs="宋体"/>
          <w:color w:val="000000"/>
          <w:szCs w:val="21"/>
          <w:highlight w:val="none"/>
        </w:rPr>
      </w:pPr>
      <w:r>
        <w:rPr>
          <w:rFonts w:hint="eastAsia" w:ascii="宋体" w:hAnsi="宋体" w:cs="宋体"/>
          <w:color w:val="000000"/>
          <w:szCs w:val="21"/>
          <w:highlight w:val="none"/>
        </w:rPr>
        <w:t>（1）机房电源进线必须安全、可靠，应采用来自不同变电站的真双回路高压埋地电缆供电，采用二类市电供电。从外电输入到IT设备负载全供电路由应为冗余设计，不应存在单点故障隐患。每路市电的容量应满足机房设备和机房空调的正常运转。</w:t>
      </w:r>
    </w:p>
    <w:p w14:paraId="6EEAD512">
      <w:pPr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firstLine="420" w:firstLineChars="200"/>
        <w:rPr>
          <w:rFonts w:ascii="宋体" w:hAnsi="宋体" w:cs="宋体"/>
          <w:color w:val="000000"/>
          <w:szCs w:val="21"/>
          <w:highlight w:val="none"/>
        </w:rPr>
      </w:pPr>
      <w:r>
        <w:rPr>
          <w:rFonts w:hint="eastAsia" w:ascii="宋体" w:hAnsi="宋体" w:cs="宋体"/>
          <w:color w:val="000000"/>
          <w:szCs w:val="21"/>
          <w:highlight w:val="none"/>
        </w:rPr>
        <w:t>（2）配电系统应考虑留有一定的扩展配电容量。</w:t>
      </w:r>
    </w:p>
    <w:p w14:paraId="55FFFA12">
      <w:pPr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firstLine="420" w:firstLineChars="200"/>
        <w:rPr>
          <w:rFonts w:hint="eastAsia" w:ascii="宋体" w:hAnsi="宋体" w:eastAsia="宋体" w:cs="宋体"/>
          <w:color w:val="000000"/>
          <w:szCs w:val="21"/>
          <w:highlight w:val="none"/>
          <w:lang w:eastAsia="zh-CN"/>
        </w:rPr>
      </w:pPr>
      <w:r>
        <w:rPr>
          <w:rFonts w:hint="eastAsia" w:ascii="宋体" w:hAnsi="宋体" w:cs="宋体"/>
          <w:color w:val="000000"/>
          <w:szCs w:val="21"/>
          <w:highlight w:val="none"/>
        </w:rPr>
        <w:t>（3）</w:t>
      </w:r>
      <w:r>
        <w:rPr>
          <w:rFonts w:hint="eastAsia" w:ascii="宋体" w:hAnsi="宋体" w:cs="宋体"/>
          <w:color w:val="000000"/>
          <w:szCs w:val="21"/>
          <w:highlight w:val="none"/>
          <w:lang w:val="en-US" w:eastAsia="zh-CN"/>
        </w:rPr>
        <w:t>机柜由两路市电经UPS后同时供电，确保一路供电中断时，用电设备仍可持续运行。</w:t>
      </w:r>
    </w:p>
    <w:p w14:paraId="4CB11688">
      <w:pPr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firstLine="420" w:firstLineChars="200"/>
        <w:rPr>
          <w:rFonts w:ascii="宋体" w:hAnsi="宋体" w:cs="宋体"/>
          <w:color w:val="000000"/>
          <w:szCs w:val="21"/>
          <w:highlight w:val="none"/>
        </w:rPr>
      </w:pPr>
      <w:r>
        <w:rPr>
          <w:rFonts w:hint="eastAsia" w:ascii="宋体" w:hAnsi="宋体" w:cs="宋体"/>
          <w:color w:val="000000"/>
          <w:szCs w:val="21"/>
          <w:highlight w:val="none"/>
        </w:rPr>
        <w:t>（4）机房内需提供完备、可靠的接地系统（含防雷、直流、保护等接地），并应通过检测。</w:t>
      </w:r>
    </w:p>
    <w:p w14:paraId="66E9F4D4">
      <w:pPr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firstLine="420" w:firstLineChars="200"/>
        <w:rPr>
          <w:rFonts w:ascii="宋体" w:hAnsi="宋体" w:cs="宋体"/>
          <w:color w:val="000000"/>
          <w:szCs w:val="21"/>
          <w:highlight w:val="none"/>
        </w:rPr>
      </w:pPr>
      <w:r>
        <w:rPr>
          <w:rFonts w:hint="eastAsia" w:ascii="宋体" w:hAnsi="宋体" w:cs="宋体"/>
          <w:color w:val="000000"/>
          <w:szCs w:val="21"/>
          <w:highlight w:val="none"/>
        </w:rPr>
        <w:t>（5）机房必须具备柴油发电机组支持机房负荷不间断运行。柴油发电机组的容量应满足机房设备和空调的正常运转。</w:t>
      </w:r>
    </w:p>
    <w:p w14:paraId="5CFBDE8E">
      <w:pPr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firstLine="420" w:firstLineChars="200"/>
        <w:rPr>
          <w:rFonts w:ascii="宋体" w:hAnsi="宋体" w:cs="宋体"/>
          <w:color w:val="000000"/>
          <w:szCs w:val="21"/>
          <w:highlight w:val="none"/>
        </w:rPr>
      </w:pPr>
      <w:r>
        <w:rPr>
          <w:rFonts w:hint="eastAsia" w:ascii="宋体" w:hAnsi="宋体" w:cs="宋体"/>
          <w:color w:val="000000"/>
          <w:szCs w:val="21"/>
          <w:highlight w:val="none"/>
        </w:rPr>
        <w:t>（6）机房空调系统所需电力应采用双回路供电，并由发电机保护。</w:t>
      </w:r>
    </w:p>
    <w:p w14:paraId="73CA2E86">
      <w:pPr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firstLine="420" w:firstLineChars="200"/>
        <w:rPr>
          <w:rFonts w:ascii="宋体" w:hAnsi="宋体" w:cs="宋体"/>
          <w:color w:val="000000"/>
          <w:szCs w:val="21"/>
          <w:highlight w:val="none"/>
        </w:rPr>
      </w:pPr>
      <w:r>
        <w:rPr>
          <w:rFonts w:hint="eastAsia" w:ascii="宋体" w:hAnsi="宋体" w:cs="宋体"/>
          <w:color w:val="000000"/>
          <w:szCs w:val="21"/>
          <w:highlight w:val="none"/>
        </w:rPr>
        <w:t>（7）机房及办公区域需设置足够数量的应急照明系统。</w:t>
      </w:r>
    </w:p>
    <w:p w14:paraId="3A68C585">
      <w:pPr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firstLine="420" w:firstLineChars="200"/>
        <w:rPr>
          <w:rFonts w:ascii="宋体" w:hAnsi="宋体" w:cs="宋体"/>
          <w:color w:val="000000"/>
          <w:szCs w:val="21"/>
          <w:highlight w:val="none"/>
        </w:rPr>
      </w:pPr>
      <w:r>
        <w:rPr>
          <w:rFonts w:hint="eastAsia" w:ascii="宋体" w:hAnsi="宋体" w:cs="宋体"/>
          <w:color w:val="000000"/>
          <w:szCs w:val="21"/>
          <w:highlight w:val="none"/>
        </w:rPr>
        <w:t>（8）机房内应留有一定数量的市电墙面插座，用来进行设备调试、保洁等用途。</w:t>
      </w:r>
    </w:p>
    <w:p w14:paraId="6BEBE855">
      <w:pPr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firstLine="420" w:firstLineChars="200"/>
        <w:rPr>
          <w:rFonts w:ascii="宋体" w:hAnsi="宋体" w:cs="宋体"/>
          <w:color w:val="000000"/>
          <w:szCs w:val="21"/>
          <w:highlight w:val="none"/>
        </w:rPr>
      </w:pPr>
      <w:r>
        <w:rPr>
          <w:rFonts w:hint="eastAsia" w:ascii="宋体" w:hAnsi="宋体" w:cs="宋体"/>
          <w:color w:val="000000"/>
          <w:szCs w:val="21"/>
          <w:highlight w:val="none"/>
        </w:rPr>
        <w:t>（9）机房及工作区所产生电费、水费等费用由中标人负责。</w:t>
      </w:r>
    </w:p>
    <w:p w14:paraId="7308F22C">
      <w:pPr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firstLine="420" w:firstLineChars="200"/>
        <w:rPr>
          <w:rFonts w:ascii="宋体" w:hAnsi="宋体" w:cs="宋体"/>
          <w:color w:val="000000"/>
          <w:szCs w:val="21"/>
          <w:highlight w:val="none"/>
        </w:rPr>
      </w:pPr>
      <w:r>
        <w:rPr>
          <w:rFonts w:hint="eastAsia" w:ascii="宋体" w:hAnsi="宋体" w:cs="宋体"/>
          <w:color w:val="000000"/>
          <w:szCs w:val="21"/>
          <w:highlight w:val="none"/>
        </w:rPr>
        <w:t>（10）防雷与接地系统要求：数据中心的交流工作接地、安全保护接地、防雷接地、防静电接地、屏蔽接地等应采用联合接地，接地电阻要求小于1 欧姆。</w:t>
      </w:r>
    </w:p>
    <w:p w14:paraId="0CAE9164">
      <w:pPr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firstLine="420" w:firstLineChars="200"/>
        <w:rPr>
          <w:rFonts w:ascii="宋体" w:hAnsi="宋体" w:cs="宋体"/>
          <w:color w:val="000000"/>
          <w:szCs w:val="21"/>
          <w:highlight w:val="none"/>
        </w:rPr>
      </w:pPr>
      <w:r>
        <w:rPr>
          <w:rFonts w:hint="eastAsia" w:ascii="宋体" w:hAnsi="宋体" w:cs="宋体"/>
          <w:color w:val="000000"/>
          <w:szCs w:val="21"/>
          <w:highlight w:val="none"/>
        </w:rPr>
        <w:t>5、空调系统要求</w:t>
      </w:r>
    </w:p>
    <w:p w14:paraId="4C9E1BE7">
      <w:pPr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firstLine="420" w:firstLineChars="200"/>
        <w:rPr>
          <w:rFonts w:ascii="宋体" w:hAnsi="宋体" w:cs="宋体"/>
          <w:color w:val="000000"/>
          <w:szCs w:val="21"/>
          <w:highlight w:val="none"/>
        </w:rPr>
      </w:pPr>
      <w:r>
        <w:rPr>
          <w:rFonts w:hint="eastAsia" w:ascii="宋体" w:hAnsi="宋体" w:cs="宋体"/>
          <w:color w:val="000000"/>
          <w:szCs w:val="21"/>
          <w:highlight w:val="none"/>
        </w:rPr>
        <w:t>（1）机房内应有独立的机房专用空调系统，并采用下送风方式，应具备恒温、恒湿控制功能，其制冷量应能保证机房温度为22±2 ℃，常年湿度为35%-65%。</w:t>
      </w:r>
    </w:p>
    <w:p w14:paraId="4ED3ADBD">
      <w:pPr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firstLine="420" w:firstLineChars="200"/>
        <w:rPr>
          <w:rFonts w:ascii="宋体" w:hAnsi="宋体" w:cs="宋体"/>
          <w:color w:val="000000"/>
          <w:szCs w:val="21"/>
          <w:highlight w:val="none"/>
        </w:rPr>
      </w:pPr>
      <w:r>
        <w:rPr>
          <w:rFonts w:hint="eastAsia" w:ascii="宋体" w:hAnsi="宋体" w:cs="宋体"/>
          <w:color w:val="000000"/>
          <w:szCs w:val="21"/>
          <w:highlight w:val="none"/>
        </w:rPr>
        <w:t>（2）机房空调应采用N+1冗余模式。以保证在空调系统维护、检修时不影响客户设备的正常运行。</w:t>
      </w:r>
    </w:p>
    <w:p w14:paraId="594C4CF8">
      <w:pPr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firstLine="420" w:firstLineChars="200"/>
        <w:rPr>
          <w:rFonts w:ascii="宋体" w:hAnsi="宋体" w:cs="宋体"/>
          <w:color w:val="000000"/>
          <w:szCs w:val="21"/>
          <w:highlight w:val="none"/>
        </w:rPr>
      </w:pPr>
      <w:r>
        <w:rPr>
          <w:rFonts w:hint="eastAsia" w:ascii="宋体" w:hAnsi="宋体" w:cs="宋体"/>
          <w:color w:val="000000"/>
          <w:szCs w:val="21"/>
          <w:highlight w:val="none"/>
        </w:rPr>
        <w:t>（3）空调采用下送风或冷热通道隔离方式。</w:t>
      </w:r>
    </w:p>
    <w:p w14:paraId="4EDCF38C">
      <w:pPr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firstLine="420" w:firstLineChars="200"/>
        <w:rPr>
          <w:rFonts w:ascii="宋体" w:hAnsi="宋体" w:cs="宋体"/>
          <w:color w:val="000000"/>
          <w:szCs w:val="21"/>
          <w:highlight w:val="none"/>
        </w:rPr>
      </w:pPr>
      <w:r>
        <w:rPr>
          <w:rFonts w:hint="eastAsia" w:ascii="宋体" w:hAnsi="宋体" w:cs="宋体"/>
          <w:color w:val="000000"/>
          <w:szCs w:val="21"/>
          <w:highlight w:val="none"/>
        </w:rPr>
        <w:t>（4）空调机组下方需装有拦水堰、围堰内设有排水口、引入进水管不得经过围堰区以外的任何地方，引入机房前必须装有控水阀。漏水检测与报警系统，报警信号直接连接到环境监控系统，实时检测并迅速处理可能的漏水情况。</w:t>
      </w:r>
    </w:p>
    <w:p w14:paraId="788FED09">
      <w:pPr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firstLine="420" w:firstLineChars="200"/>
        <w:rPr>
          <w:rFonts w:ascii="宋体" w:hAnsi="宋体" w:cs="宋体"/>
          <w:color w:val="000000"/>
          <w:szCs w:val="21"/>
          <w:highlight w:val="none"/>
        </w:rPr>
      </w:pPr>
      <w:r>
        <w:rPr>
          <w:rFonts w:hint="eastAsia" w:ascii="宋体" w:hAnsi="宋体" w:cs="宋体"/>
          <w:color w:val="000000"/>
          <w:szCs w:val="21"/>
          <w:highlight w:val="none"/>
        </w:rPr>
        <w:t>6、外部网络通讯要求</w:t>
      </w:r>
    </w:p>
    <w:p w14:paraId="35B0060F">
      <w:pPr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firstLine="420" w:firstLineChars="200"/>
        <w:rPr>
          <w:rFonts w:ascii="宋体" w:hAnsi="宋体" w:cs="宋体"/>
          <w:color w:val="000000"/>
          <w:szCs w:val="21"/>
          <w:highlight w:val="none"/>
        </w:rPr>
      </w:pPr>
      <w:r>
        <w:rPr>
          <w:rFonts w:hint="eastAsia" w:ascii="宋体" w:hAnsi="宋体" w:cs="宋体"/>
          <w:color w:val="000000"/>
          <w:szCs w:val="21"/>
          <w:highlight w:val="none"/>
        </w:rPr>
        <w:t xml:space="preserve">保障采购人业务需求内所有（含后续扩展业务）通讯线缆的接入，其方式为允许采购人进入机房布线（含机房大院环境及使用中标人管道），或采购人将线缆放置到机房外部光交箱。 </w:t>
      </w:r>
    </w:p>
    <w:p w14:paraId="53B27BB2">
      <w:pPr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firstLine="420" w:firstLineChars="200"/>
        <w:rPr>
          <w:rFonts w:hint="eastAsia" w:ascii="宋体" w:hAnsi="宋体" w:cs="宋体"/>
          <w:color w:val="000000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color w:val="000000"/>
          <w:szCs w:val="21"/>
          <w:highlight w:val="none"/>
        </w:rPr>
        <w:t>机柜要求</w:t>
      </w:r>
      <w:r>
        <w:rPr>
          <w:rFonts w:hint="eastAsia" w:ascii="宋体" w:hAnsi="宋体" w:cs="宋体"/>
          <w:color w:val="000000"/>
          <w:szCs w:val="21"/>
          <w:highlight w:val="none"/>
          <w:lang w:val="en-US" w:eastAsia="zh-CN"/>
        </w:rPr>
        <w:t>及清单</w:t>
      </w:r>
    </w:p>
    <w:p w14:paraId="14D63E46">
      <w:pPr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firstLine="420" w:firstLineChars="200"/>
        <w:rPr>
          <w:rFonts w:hint="eastAsia" w:ascii="宋体" w:hAnsi="宋体" w:cs="宋体"/>
          <w:color w:val="000000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color w:val="000000"/>
          <w:szCs w:val="21"/>
          <w:highlight w:val="none"/>
          <w:lang w:val="en-US" w:eastAsia="zh-CN"/>
        </w:rPr>
        <w:t>（1）19英寸标准机柜，机柜高度≥47U，深度≥1.2m，每个机柜≥双路UPS供电。</w:t>
      </w:r>
    </w:p>
    <w:p w14:paraId="55F6F3D3">
      <w:pPr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firstLine="420" w:firstLineChars="200"/>
        <w:rPr>
          <w:rFonts w:hint="default" w:ascii="宋体" w:hAnsi="宋体" w:cs="宋体"/>
          <w:color w:val="000000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color w:val="000000"/>
          <w:szCs w:val="21"/>
          <w:highlight w:val="none"/>
          <w:lang w:val="en-US" w:eastAsia="zh-CN"/>
        </w:rPr>
        <w:t>（2）未来城片区、临空港片区为核心节点，2个核心节点各有1个机柜安装华为NE5000E-20，设备为框柜一体，规格600mm×1000mm×2200mm（宽×深×高），32个16A电源输出，此设备需提供4路PDU供电，单PDU输入为63A，输出不少于8个16A（国标），该设备当期典型功耗为4592W，最大功耗为9960W，本期配置重量506kg，满配重量775.4 kg，通过2个6KW机柜满足上述需求。</w:t>
      </w:r>
    </w:p>
    <w:p w14:paraId="46F9EAF3">
      <w:pPr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firstLine="420" w:firstLineChars="200"/>
        <w:rPr>
          <w:rFonts w:hint="eastAsia" w:ascii="宋体" w:hAnsi="宋体" w:cs="宋体"/>
          <w:color w:val="000000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color w:val="000000"/>
          <w:szCs w:val="21"/>
          <w:highlight w:val="none"/>
          <w:lang w:val="en-US" w:eastAsia="zh-CN"/>
        </w:rPr>
        <w:t>（3）其余机柜均2路PDU供电，单PDU输入为63A，输出不少于8个16A（国标）、12个10A（国标），单机柜功耗≥6k</w:t>
      </w:r>
      <w:bookmarkStart w:id="12" w:name="_GoBack"/>
      <w:bookmarkEnd w:id="12"/>
      <w:r>
        <w:rPr>
          <w:rFonts w:hint="eastAsia" w:ascii="宋体" w:hAnsi="宋体" w:cs="宋体"/>
          <w:color w:val="000000"/>
          <w:szCs w:val="21"/>
          <w:highlight w:val="none"/>
          <w:lang w:val="en-US" w:eastAsia="zh-CN"/>
        </w:rPr>
        <w:t>W。</w:t>
      </w:r>
    </w:p>
    <w:p w14:paraId="4146453E">
      <w:pPr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firstLine="420" w:firstLineChars="200"/>
        <w:rPr>
          <w:rFonts w:hint="eastAsia" w:ascii="宋体" w:hAnsi="宋体" w:cs="宋体"/>
          <w:color w:val="000000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color w:val="000000"/>
          <w:szCs w:val="21"/>
          <w:highlight w:val="none"/>
          <w:lang w:val="en-US" w:eastAsia="zh-CN"/>
        </w:rPr>
        <w:t>（4）机柜接地电阻≤1Ω，与机房整体接地系统连接，具备良好的防雷接地、保护接地功能，防止静电、雷击损坏设备。</w:t>
      </w:r>
    </w:p>
    <w:p w14:paraId="264CC3F6">
      <w:pPr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firstLine="420" w:firstLineChars="200"/>
        <w:rPr>
          <w:rFonts w:ascii="宋体" w:hAnsi="宋体" w:cs="宋体"/>
          <w:color w:val="000000"/>
          <w:szCs w:val="21"/>
          <w:highlight w:val="none"/>
        </w:rPr>
      </w:pPr>
      <w:r>
        <w:rPr>
          <w:rFonts w:hint="eastAsia" w:ascii="宋体" w:hAnsi="宋体" w:cs="宋体"/>
          <w:color w:val="000000"/>
          <w:szCs w:val="21"/>
          <w:highlight w:val="none"/>
        </w:rPr>
        <w:t>8、门禁系统要求</w:t>
      </w:r>
    </w:p>
    <w:p w14:paraId="6B49312C">
      <w:pPr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firstLine="420" w:firstLineChars="200"/>
        <w:rPr>
          <w:rFonts w:ascii="宋体" w:hAnsi="宋体" w:cs="宋体"/>
          <w:color w:val="000000"/>
          <w:szCs w:val="21"/>
          <w:highlight w:val="none"/>
        </w:rPr>
      </w:pPr>
      <w:r>
        <w:rPr>
          <w:rFonts w:hint="eastAsia" w:ascii="宋体" w:hAnsi="宋体" w:cs="宋体"/>
          <w:color w:val="000000"/>
          <w:szCs w:val="21"/>
          <w:highlight w:val="none"/>
        </w:rPr>
        <w:t>机房及工作区域需做独立门禁系统，对机房的出入口及各场所的出入口进行人员控制。门禁系统为单或双向刷卡出门按钮，各场所应设置紧急出门按钮。</w:t>
      </w:r>
    </w:p>
    <w:p w14:paraId="3E59AB3B">
      <w:pPr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firstLine="420" w:firstLineChars="200"/>
        <w:rPr>
          <w:rFonts w:ascii="宋体" w:hAnsi="宋体" w:cs="宋体"/>
          <w:color w:val="000000"/>
          <w:szCs w:val="21"/>
          <w:highlight w:val="none"/>
        </w:rPr>
      </w:pPr>
      <w:r>
        <w:rPr>
          <w:rFonts w:hint="eastAsia" w:ascii="宋体" w:hAnsi="宋体" w:cs="宋体"/>
          <w:color w:val="000000"/>
          <w:szCs w:val="21"/>
          <w:highlight w:val="none"/>
          <w:lang w:val="en-US" w:eastAsia="zh-CN"/>
        </w:rPr>
        <w:t>9</w:t>
      </w:r>
      <w:r>
        <w:rPr>
          <w:rFonts w:hint="eastAsia" w:ascii="宋体" w:hAnsi="宋体" w:cs="宋体"/>
          <w:color w:val="000000"/>
          <w:szCs w:val="21"/>
          <w:highlight w:val="none"/>
        </w:rPr>
        <w:t>、机房保洁管理要求</w:t>
      </w:r>
    </w:p>
    <w:p w14:paraId="75EDE16D">
      <w:pPr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firstLine="420" w:firstLineChars="200"/>
        <w:rPr>
          <w:rFonts w:ascii="宋体" w:hAnsi="宋体" w:cs="宋体"/>
          <w:color w:val="000000"/>
          <w:szCs w:val="21"/>
          <w:highlight w:val="none"/>
        </w:rPr>
      </w:pPr>
      <w:r>
        <w:rPr>
          <w:rFonts w:hint="eastAsia" w:ascii="宋体" w:hAnsi="宋体" w:cs="宋体"/>
          <w:color w:val="000000"/>
          <w:szCs w:val="21"/>
          <w:highlight w:val="none"/>
        </w:rPr>
        <w:t>（1）机房地面保持干净整洁，保证无死角。</w:t>
      </w:r>
    </w:p>
    <w:p w14:paraId="78389E86">
      <w:pPr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firstLine="420" w:firstLineChars="200"/>
        <w:rPr>
          <w:rFonts w:ascii="宋体" w:hAnsi="宋体" w:cs="宋体"/>
          <w:color w:val="000000"/>
          <w:szCs w:val="21"/>
          <w:highlight w:val="none"/>
        </w:rPr>
      </w:pPr>
      <w:r>
        <w:rPr>
          <w:rFonts w:hint="eastAsia" w:ascii="宋体" w:hAnsi="宋体" w:cs="宋体"/>
          <w:color w:val="000000"/>
          <w:szCs w:val="21"/>
          <w:highlight w:val="none"/>
        </w:rPr>
        <w:t>（</w:t>
      </w:r>
      <w:r>
        <w:rPr>
          <w:rFonts w:hint="eastAsia" w:ascii="宋体" w:hAnsi="宋体" w:cs="宋体"/>
          <w:color w:val="000000"/>
          <w:szCs w:val="21"/>
          <w:highlight w:val="none"/>
          <w:lang w:val="en-US" w:eastAsia="zh-CN"/>
        </w:rPr>
        <w:t>2</w:t>
      </w:r>
      <w:r>
        <w:rPr>
          <w:rFonts w:hint="eastAsia" w:ascii="宋体" w:hAnsi="宋体" w:cs="宋体"/>
          <w:color w:val="000000"/>
          <w:szCs w:val="21"/>
          <w:highlight w:val="none"/>
        </w:rPr>
        <w:t>）办公区域内纸箱、网线及其他等物品禁止擅自收纳，收纳前需要机房工程师确认才可进行。</w:t>
      </w:r>
    </w:p>
    <w:p w14:paraId="4E3B85DC">
      <w:pPr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firstLine="420" w:firstLineChars="200"/>
        <w:rPr>
          <w:rFonts w:ascii="宋体" w:hAnsi="宋体" w:cs="宋体"/>
          <w:color w:val="000000"/>
          <w:szCs w:val="21"/>
          <w:highlight w:val="none"/>
        </w:rPr>
      </w:pPr>
      <w:r>
        <w:rPr>
          <w:rFonts w:hint="eastAsia" w:ascii="宋体" w:hAnsi="宋体" w:cs="宋体"/>
          <w:color w:val="000000"/>
          <w:szCs w:val="21"/>
          <w:highlight w:val="none"/>
        </w:rPr>
        <w:t>1</w:t>
      </w:r>
      <w:r>
        <w:rPr>
          <w:rFonts w:hint="eastAsia" w:ascii="宋体" w:hAnsi="宋体" w:cs="宋体"/>
          <w:color w:val="000000"/>
          <w:szCs w:val="21"/>
          <w:highlight w:val="none"/>
          <w:lang w:val="en-US" w:eastAsia="zh-CN"/>
        </w:rPr>
        <w:t>0</w:t>
      </w:r>
      <w:r>
        <w:rPr>
          <w:rFonts w:hint="eastAsia" w:ascii="宋体" w:hAnsi="宋体" w:cs="宋体"/>
          <w:color w:val="000000"/>
          <w:szCs w:val="21"/>
          <w:highlight w:val="none"/>
        </w:rPr>
        <w:t>、其他要求</w:t>
      </w:r>
    </w:p>
    <w:p w14:paraId="1362EFF8">
      <w:pPr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firstLine="420" w:firstLineChars="200"/>
        <w:rPr>
          <w:rFonts w:ascii="宋体" w:hAnsi="宋体" w:cs="宋体"/>
          <w:color w:val="000000"/>
          <w:szCs w:val="21"/>
          <w:highlight w:val="none"/>
        </w:rPr>
      </w:pPr>
      <w:r>
        <w:rPr>
          <w:rFonts w:hint="eastAsia" w:ascii="宋体" w:hAnsi="宋体" w:cs="宋体"/>
          <w:color w:val="000000"/>
          <w:szCs w:val="21"/>
          <w:highlight w:val="none"/>
        </w:rPr>
        <w:t>（1）机房应具备完善配套的环境监控和安保视频监控系统。环境监控系统应对机房温度、湿度、漏水、供配电系统、空调系统、UPS系统运行状态进行有效的实时监控，出现问题或故障时，能提供声音、短信多途径报警，环境监控的数据保存不小于3个月。</w:t>
      </w:r>
    </w:p>
    <w:p w14:paraId="5D692E1A">
      <w:pPr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firstLine="420" w:firstLineChars="200"/>
        <w:rPr>
          <w:rFonts w:ascii="宋体" w:hAnsi="宋体" w:cs="宋体"/>
          <w:color w:val="000000"/>
          <w:szCs w:val="21"/>
          <w:highlight w:val="none"/>
        </w:rPr>
      </w:pPr>
      <w:r>
        <w:rPr>
          <w:rFonts w:hint="eastAsia" w:ascii="宋体" w:hAnsi="宋体" w:cs="宋体"/>
          <w:color w:val="000000"/>
          <w:szCs w:val="21"/>
          <w:highlight w:val="none"/>
        </w:rPr>
        <w:t>（2）防鼠需对机房对外线缆连接处采用封堵，新风机口采用网格防盗网防鼠。</w:t>
      </w:r>
    </w:p>
    <w:p w14:paraId="680623F6">
      <w:pPr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firstLine="420" w:firstLineChars="200"/>
        <w:rPr>
          <w:rFonts w:ascii="宋体" w:hAnsi="宋体" w:cs="宋体"/>
          <w:color w:val="000000"/>
          <w:szCs w:val="21"/>
          <w:highlight w:val="none"/>
        </w:rPr>
      </w:pPr>
      <w:r>
        <w:rPr>
          <w:rFonts w:hint="eastAsia" w:ascii="宋体" w:hAnsi="宋体" w:cs="宋体"/>
          <w:color w:val="000000"/>
          <w:szCs w:val="21"/>
          <w:highlight w:val="none"/>
        </w:rPr>
        <w:t>（3）需提供 7×24 小时人员值守，在机房安保，供电，空调，消防，网络线路等影响机房安全稳定运行的事件发生时， 响应方响应时间不超过15分钟，并应及时排除或解决故障，排除或解决故障的时间一般情况下，应小于1小时。</w:t>
      </w:r>
    </w:p>
    <w:p w14:paraId="527D3609">
      <w:pPr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firstLine="420" w:firstLineChars="200"/>
        <w:rPr>
          <w:rFonts w:hint="eastAsia" w:ascii="宋体" w:hAnsi="宋体" w:cs="宋体"/>
          <w:color w:val="000000"/>
          <w:szCs w:val="21"/>
          <w:highlight w:val="none"/>
        </w:rPr>
      </w:pPr>
      <w:r>
        <w:rPr>
          <w:rFonts w:hint="eastAsia" w:ascii="宋体" w:hAnsi="宋体" w:cs="宋体"/>
          <w:color w:val="000000"/>
          <w:szCs w:val="21"/>
          <w:highlight w:val="none"/>
        </w:rPr>
        <w:t>（4）需提供本地视频监控管理功能，含机房环境监控及机房视频实时监控，监控实现方式为视频监控客户端，环境监控包含但不限于温度、湿度等，视频实时监控需对每列及每行机柜进行实时监控显示。</w:t>
      </w:r>
    </w:p>
    <w:p w14:paraId="41ED101A">
      <w:pPr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firstLine="420" w:firstLineChars="200"/>
        <w:outlineLvl w:val="1"/>
        <w:rPr>
          <w:rFonts w:hint="eastAsia" w:ascii="宋体" w:hAnsi="宋体" w:cs="宋体"/>
          <w:color w:val="000000"/>
          <w:szCs w:val="21"/>
          <w:highlight w:val="none"/>
          <w:lang w:val="en-US" w:eastAsia="zh-CN"/>
        </w:rPr>
      </w:pPr>
      <w:bookmarkStart w:id="6" w:name="_Toc25462"/>
      <w:r>
        <w:rPr>
          <w:rFonts w:hint="eastAsia" w:ascii="宋体" w:hAnsi="宋体" w:cs="宋体"/>
          <w:color w:val="000000"/>
          <w:szCs w:val="21"/>
          <w:highlight w:val="none"/>
          <w:lang w:val="en-US" w:eastAsia="zh-CN"/>
        </w:rPr>
        <w:t>（三）运维服务指标</w:t>
      </w:r>
      <w:bookmarkEnd w:id="6"/>
    </w:p>
    <w:p w14:paraId="49DF3690">
      <w:pPr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firstLine="420" w:firstLineChars="200"/>
        <w:rPr>
          <w:rFonts w:hint="eastAsia" w:ascii="宋体" w:hAnsi="宋体" w:cs="宋体"/>
          <w:color w:val="000000"/>
          <w:szCs w:val="21"/>
          <w:highlight w:val="none"/>
        </w:rPr>
      </w:pPr>
      <w:r>
        <w:rPr>
          <w:rFonts w:hint="eastAsia" w:ascii="宋体" w:hAnsi="宋体" w:cs="宋体"/>
          <w:color w:val="000000"/>
          <w:szCs w:val="21"/>
          <w:highlight w:val="none"/>
        </w:rPr>
        <w:t>（</w:t>
      </w:r>
      <w:r>
        <w:rPr>
          <w:rFonts w:hint="eastAsia" w:ascii="宋体" w:hAnsi="宋体" w:cs="宋体"/>
          <w:color w:val="000000"/>
          <w:szCs w:val="21"/>
          <w:highlight w:val="none"/>
          <w:lang w:val="en-US" w:eastAsia="zh-CN"/>
        </w:rPr>
        <w:t>1</w:t>
      </w:r>
      <w:r>
        <w:rPr>
          <w:rFonts w:hint="eastAsia" w:ascii="宋体" w:hAnsi="宋体" w:cs="宋体"/>
          <w:color w:val="000000"/>
          <w:szCs w:val="21"/>
          <w:highlight w:val="none"/>
        </w:rPr>
        <w:t>）代收货物：按客户需求，对设备进行代为发送、签收，接收时不拆箱，按包装箱的信息对设备进行登记，并与客户确认收货信息。</w:t>
      </w:r>
    </w:p>
    <w:p w14:paraId="7F0D203B">
      <w:pPr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firstLine="420" w:firstLineChars="200"/>
        <w:rPr>
          <w:rFonts w:hint="eastAsia" w:ascii="宋体" w:hAnsi="宋体" w:cs="宋体"/>
          <w:color w:val="000000"/>
          <w:szCs w:val="21"/>
          <w:highlight w:val="none"/>
          <w:lang w:val="zh-CN"/>
        </w:rPr>
      </w:pPr>
      <w:r>
        <w:rPr>
          <w:rFonts w:hint="eastAsia" w:ascii="宋体" w:hAnsi="宋体" w:cs="宋体"/>
          <w:color w:val="000000"/>
          <w:szCs w:val="21"/>
          <w:highlight w:val="none"/>
        </w:rPr>
        <w:t>（</w:t>
      </w:r>
      <w:r>
        <w:rPr>
          <w:rFonts w:hint="eastAsia" w:ascii="宋体" w:hAnsi="宋体" w:cs="宋体"/>
          <w:color w:val="000000"/>
          <w:szCs w:val="21"/>
          <w:highlight w:val="none"/>
          <w:lang w:val="en-US" w:eastAsia="zh-CN"/>
        </w:rPr>
        <w:t>2</w:t>
      </w:r>
      <w:r>
        <w:rPr>
          <w:rFonts w:hint="eastAsia" w:ascii="宋体" w:hAnsi="宋体" w:cs="宋体"/>
          <w:color w:val="000000"/>
          <w:szCs w:val="21"/>
          <w:highlight w:val="none"/>
        </w:rPr>
        <w:t>）</w:t>
      </w:r>
      <w:r>
        <w:rPr>
          <w:rFonts w:hint="eastAsia" w:ascii="宋体" w:hAnsi="宋体" w:cs="宋体"/>
          <w:color w:val="000000"/>
          <w:szCs w:val="21"/>
          <w:highlight w:val="none"/>
          <w:lang w:val="zh-CN"/>
        </w:rPr>
        <w:t>设备上电：设备上架，</w:t>
      </w:r>
      <w:r>
        <w:rPr>
          <w:rFonts w:hint="eastAsia" w:ascii="宋体" w:hAnsi="宋体" w:cs="宋体"/>
          <w:color w:val="000000"/>
          <w:szCs w:val="21"/>
          <w:highlight w:val="none"/>
        </w:rPr>
        <w:t>24</w:t>
      </w:r>
      <w:r>
        <w:rPr>
          <w:rFonts w:hint="eastAsia" w:ascii="宋体" w:hAnsi="宋体" w:cs="宋体"/>
          <w:color w:val="000000"/>
          <w:szCs w:val="21"/>
          <w:highlight w:val="none"/>
          <w:lang w:val="zh-CN"/>
        </w:rPr>
        <w:t>小时内完成接电。</w:t>
      </w:r>
    </w:p>
    <w:p w14:paraId="2C76E697">
      <w:pPr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firstLine="420" w:firstLineChars="200"/>
        <w:rPr>
          <w:rFonts w:hint="eastAsia" w:ascii="宋体" w:hAnsi="宋体" w:cs="宋体"/>
          <w:color w:val="000000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color w:val="000000"/>
          <w:szCs w:val="21"/>
          <w:highlight w:val="none"/>
          <w:lang w:val="en-US" w:eastAsia="zh-CN"/>
        </w:rPr>
        <w:t>（3）值守服务：机房7×24小时专人值守，响应时间≤5分钟，处理机柜及机房基础设施异常（如供电、散热、网络故障）；</w:t>
      </w:r>
    </w:p>
    <w:p w14:paraId="16BBF4BC">
      <w:pPr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firstLine="420" w:firstLineChars="200"/>
        <w:rPr>
          <w:rFonts w:hint="default" w:ascii="宋体" w:hAnsi="宋体" w:eastAsia="宋体" w:cs="宋体"/>
          <w:color w:val="000000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color w:val="000000"/>
          <w:szCs w:val="21"/>
          <w:highlight w:val="none"/>
          <w:lang w:val="en-US" w:eastAsia="zh-CN"/>
        </w:rPr>
        <w:t>（4）设备维护：乙方负责机柜本身、PDU、布线等设备的日常维护、检修，确保机柜正常运行，维护响应时间≤1小时，故障解决时间≤4小时（重大故障除外）；</w:t>
      </w:r>
    </w:p>
    <w:p w14:paraId="2BE40C77">
      <w:pPr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firstLine="420" w:firstLineChars="200"/>
        <w:rPr>
          <w:rFonts w:hint="eastAsia" w:ascii="宋体" w:hAnsi="宋体" w:cs="宋体"/>
          <w:color w:val="000000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color w:val="000000"/>
          <w:szCs w:val="21"/>
          <w:highlight w:val="none"/>
          <w:lang w:val="en-US" w:eastAsia="zh-CN"/>
        </w:rPr>
        <w:t>（5）巡检服务：每日对机柜进行巡检（包括供电、散热、布线、门锁等），</w:t>
      </w:r>
      <w:r>
        <w:rPr>
          <w:rFonts w:hint="eastAsia" w:ascii="宋体" w:hAnsi="宋体" w:cs="宋体"/>
          <w:color w:val="000000"/>
          <w:szCs w:val="21"/>
          <w:highlight w:val="none"/>
        </w:rPr>
        <w:t>设备状态查看</w:t>
      </w:r>
      <w:r>
        <w:rPr>
          <w:rFonts w:hint="eastAsia" w:ascii="宋体" w:hAnsi="宋体" w:cs="宋体"/>
          <w:color w:val="000000"/>
          <w:szCs w:val="21"/>
          <w:highlight w:val="none"/>
          <w:lang w:eastAsia="zh-CN"/>
        </w:rPr>
        <w:t>，</w:t>
      </w:r>
      <w:r>
        <w:rPr>
          <w:rFonts w:hint="eastAsia" w:ascii="宋体" w:hAnsi="宋体" w:cs="宋体"/>
          <w:color w:val="000000"/>
          <w:szCs w:val="21"/>
          <w:highlight w:val="none"/>
          <w:lang w:val="en-US" w:eastAsia="zh-CN"/>
        </w:rPr>
        <w:t>如遇设备告警及时反馈采购人，每周提交巡检报告，每月进行全面巡检，及时发现并处理潜在问题；</w:t>
      </w:r>
    </w:p>
    <w:p w14:paraId="0CEBE6A9">
      <w:pPr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firstLine="420" w:firstLineChars="200"/>
        <w:rPr>
          <w:rFonts w:hint="eastAsia" w:ascii="宋体" w:hAnsi="宋体" w:cs="宋体"/>
          <w:color w:val="000000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color w:val="000000"/>
          <w:szCs w:val="21"/>
          <w:highlight w:val="none"/>
          <w:lang w:val="en-US" w:eastAsia="zh-CN"/>
        </w:rPr>
        <w:t>（6）应急处理：建立应急响应机制，针对市电中断、火灾、设备故障等突发事件，快速启动应急预案，最大限度降低甲方设备损失。</w:t>
      </w:r>
    </w:p>
    <w:p w14:paraId="131A0630">
      <w:pPr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firstLine="420" w:firstLineChars="200"/>
        <w:outlineLvl w:val="1"/>
        <w:rPr>
          <w:rFonts w:hint="default" w:ascii="宋体" w:hAnsi="宋体" w:cs="宋体"/>
          <w:color w:val="000000"/>
          <w:szCs w:val="21"/>
          <w:highlight w:val="none"/>
          <w:lang w:val="en-US" w:eastAsia="zh-CN"/>
        </w:rPr>
      </w:pPr>
      <w:bookmarkStart w:id="7" w:name="_Toc23040"/>
      <w:r>
        <w:rPr>
          <w:rFonts w:hint="eastAsia" w:ascii="宋体" w:hAnsi="宋体" w:cs="宋体"/>
          <w:color w:val="000000"/>
          <w:szCs w:val="21"/>
          <w:highlight w:val="none"/>
          <w:lang w:val="en-US" w:eastAsia="zh-CN"/>
        </w:rPr>
        <w:t>（四）验收</w:t>
      </w:r>
      <w:bookmarkEnd w:id="7"/>
    </w:p>
    <w:p w14:paraId="72E38830">
      <w:pPr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firstLine="420" w:firstLineChars="200"/>
        <w:rPr>
          <w:rFonts w:hint="eastAsia" w:ascii="宋体" w:hAnsi="宋体" w:cs="宋体"/>
          <w:color w:val="000000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color w:val="000000"/>
          <w:szCs w:val="21"/>
          <w:highlight w:val="none"/>
          <w:lang w:val="en-US" w:eastAsia="zh-CN"/>
        </w:rPr>
        <w:t>租赁机柜交付时，双方共同按照本规范书的技术指标、机房基础要求进行验收，验收内容包括：</w:t>
      </w:r>
    </w:p>
    <w:p w14:paraId="744A578E">
      <w:pPr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firstLine="420" w:firstLineChars="200"/>
        <w:rPr>
          <w:rFonts w:hint="eastAsia" w:ascii="宋体" w:hAnsi="宋体" w:cs="宋体"/>
          <w:color w:val="000000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color w:val="000000"/>
          <w:szCs w:val="21"/>
          <w:highlight w:val="none"/>
          <w:lang w:val="en-US" w:eastAsia="zh-CN"/>
        </w:rPr>
        <w:t>（1）机柜物理参数、供电、散热、布线等核心指标是否符合要求；</w:t>
      </w:r>
    </w:p>
    <w:p w14:paraId="31585838">
      <w:pPr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firstLine="420" w:firstLineChars="200"/>
        <w:rPr>
          <w:rFonts w:hint="eastAsia" w:ascii="宋体" w:hAnsi="宋体" w:cs="宋体"/>
          <w:color w:val="000000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color w:val="000000"/>
          <w:szCs w:val="21"/>
          <w:highlight w:val="none"/>
          <w:lang w:val="en-US" w:eastAsia="zh-CN"/>
        </w:rPr>
        <w:t>（2）机房环境、供电、消防、安防等基础设施是否符合A类数据中心标准；</w:t>
      </w:r>
    </w:p>
    <w:p w14:paraId="66F320C3">
      <w:pPr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firstLine="420" w:firstLineChars="200"/>
        <w:rPr>
          <w:rFonts w:hint="eastAsia" w:ascii="宋体" w:hAnsi="宋体" w:cs="宋体"/>
          <w:color w:val="000000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color w:val="000000"/>
          <w:szCs w:val="21"/>
          <w:highlight w:val="none"/>
          <w:lang w:val="en-US" w:eastAsia="zh-CN"/>
        </w:rPr>
        <w:t>（3）配套服务（如巡检、值守、应急处理）是否落实到位；</w:t>
      </w:r>
    </w:p>
    <w:p w14:paraId="16E7DA73">
      <w:pPr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firstLine="420" w:firstLineChars="200"/>
        <w:rPr>
          <w:rFonts w:hint="eastAsia" w:ascii="宋体" w:hAnsi="宋体" w:cs="宋体"/>
          <w:color w:val="000000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color w:val="000000"/>
          <w:szCs w:val="21"/>
          <w:highlight w:val="none"/>
          <w:lang w:val="en-US" w:eastAsia="zh-CN"/>
        </w:rPr>
        <w:t>（4）机柜及机房相关文档（如巡检记录、维护手册、资质证明）是否齐全。</w:t>
      </w:r>
    </w:p>
    <w:p w14:paraId="0B844EFB">
      <w:pPr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firstLine="420" w:firstLineChars="200"/>
        <w:rPr>
          <w:rFonts w:hint="eastAsia" w:ascii="宋体" w:hAnsi="宋体" w:cs="宋体"/>
          <w:color w:val="000000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color w:val="000000"/>
          <w:szCs w:val="21"/>
          <w:highlight w:val="none"/>
          <w:lang w:val="en-US" w:eastAsia="zh-CN"/>
        </w:rPr>
        <w:t>（5）验收合格后，双方签署验收确认单；若存在不符合项，出租方需在3个工作日内整改完毕，重新验收直至合格。</w:t>
      </w:r>
    </w:p>
    <w:p w14:paraId="7B2197DD">
      <w:pPr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firstLine="420" w:firstLineChars="200"/>
        <w:outlineLvl w:val="1"/>
        <w:rPr>
          <w:rFonts w:hint="eastAsia" w:ascii="宋体" w:hAnsi="宋体" w:cs="宋体"/>
          <w:color w:val="000000"/>
          <w:szCs w:val="21"/>
          <w:highlight w:val="none"/>
          <w:lang w:val="en-US" w:eastAsia="zh-CN"/>
        </w:rPr>
      </w:pPr>
      <w:bookmarkStart w:id="8" w:name="_Toc31684"/>
      <w:bookmarkStart w:id="9" w:name="_Toc99112820"/>
      <w:bookmarkStart w:id="10" w:name="_Toc124947310"/>
      <w:r>
        <w:rPr>
          <w:rFonts w:hint="eastAsia" w:ascii="宋体" w:hAnsi="宋体" w:cs="宋体"/>
          <w:color w:val="000000"/>
          <w:szCs w:val="21"/>
          <w:highlight w:val="none"/>
          <w:lang w:val="en-US" w:eastAsia="zh-CN"/>
        </w:rPr>
        <w:t>（五）进度计划</w:t>
      </w:r>
      <w:bookmarkEnd w:id="8"/>
      <w:bookmarkEnd w:id="9"/>
      <w:bookmarkEnd w:id="10"/>
    </w:p>
    <w:p w14:paraId="7A3743A3">
      <w:pPr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firstLine="420" w:firstLineChars="200"/>
        <w:rPr>
          <w:rFonts w:hint="eastAsia" w:ascii="宋体" w:hAnsi="宋体" w:cs="宋体"/>
          <w:color w:val="000000"/>
          <w:szCs w:val="21"/>
          <w:highlight w:val="none"/>
        </w:rPr>
      </w:pPr>
      <w:r>
        <w:rPr>
          <w:rFonts w:hint="eastAsia" w:ascii="宋体" w:hAnsi="宋体" w:cs="宋体"/>
          <w:color w:val="000000"/>
          <w:szCs w:val="21"/>
          <w:highlight w:val="none"/>
        </w:rPr>
        <w:t>合同签订后</w:t>
      </w:r>
      <w:r>
        <w:rPr>
          <w:rFonts w:hint="eastAsia" w:ascii="宋体" w:hAnsi="宋体" w:cs="宋体"/>
          <w:color w:val="000000"/>
          <w:szCs w:val="21"/>
          <w:highlight w:val="none"/>
          <w:lang w:val="en-US" w:eastAsia="zh-CN"/>
        </w:rPr>
        <w:t>5</w:t>
      </w:r>
      <w:r>
        <w:rPr>
          <w:rFonts w:hint="eastAsia" w:ascii="宋体" w:hAnsi="宋体" w:cs="宋体"/>
          <w:color w:val="000000"/>
          <w:szCs w:val="21"/>
          <w:highlight w:val="none"/>
        </w:rPr>
        <w:t>个日历日</w:t>
      </w:r>
      <w:r>
        <w:rPr>
          <w:rFonts w:hint="eastAsia" w:ascii="宋体" w:hAnsi="宋体" w:cs="宋体"/>
          <w:color w:val="000000"/>
          <w:szCs w:val="21"/>
          <w:highlight w:val="none"/>
          <w:lang w:val="en-US" w:eastAsia="zh-CN"/>
        </w:rPr>
        <w:t>提供机柜，根据甲方工程实施进度安排，配合完成设备的上架、加电</w:t>
      </w:r>
      <w:r>
        <w:rPr>
          <w:rFonts w:hint="eastAsia" w:ascii="宋体" w:hAnsi="宋体" w:cs="宋体"/>
          <w:color w:val="000000"/>
          <w:szCs w:val="21"/>
          <w:highlight w:val="none"/>
        </w:rPr>
        <w:t>。</w:t>
      </w:r>
    </w:p>
    <w:p w14:paraId="0EF52026">
      <w:pPr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firstLine="420" w:firstLineChars="200"/>
        <w:outlineLvl w:val="1"/>
        <w:rPr>
          <w:rFonts w:hint="eastAsia" w:ascii="宋体" w:hAnsi="宋体" w:cs="宋体"/>
          <w:color w:val="000000"/>
          <w:szCs w:val="21"/>
          <w:highlight w:val="none"/>
          <w:lang w:val="en-US" w:eastAsia="zh-CN"/>
        </w:rPr>
      </w:pPr>
      <w:bookmarkStart w:id="11" w:name="_Toc4351"/>
      <w:r>
        <w:rPr>
          <w:rFonts w:hint="eastAsia" w:ascii="宋体" w:hAnsi="宋体" w:cs="宋体"/>
          <w:color w:val="000000"/>
          <w:szCs w:val="21"/>
          <w:highlight w:val="none"/>
          <w:lang w:val="en-US" w:eastAsia="zh-CN"/>
        </w:rPr>
        <w:t>（六）服务期限</w:t>
      </w:r>
      <w:bookmarkEnd w:id="11"/>
    </w:p>
    <w:p w14:paraId="403A8726">
      <w:pPr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firstLine="420" w:firstLineChars="200"/>
        <w:rPr>
          <w:rFonts w:hint="eastAsia" w:ascii="宋体" w:hAnsi="宋体" w:cs="宋体"/>
          <w:color w:val="000000"/>
          <w:szCs w:val="21"/>
          <w:highlight w:val="none"/>
        </w:rPr>
      </w:pPr>
      <w:r>
        <w:rPr>
          <w:rFonts w:hint="eastAsia" w:ascii="宋体" w:hAnsi="宋体" w:cs="宋体"/>
          <w:color w:val="000000"/>
          <w:szCs w:val="21"/>
          <w:highlight w:val="none"/>
        </w:rPr>
        <w:t>本</w:t>
      </w:r>
      <w:r>
        <w:rPr>
          <w:rFonts w:hint="eastAsia" w:ascii="宋体" w:hAnsi="宋体" w:cs="宋体"/>
          <w:color w:val="000000"/>
          <w:szCs w:val="21"/>
          <w:highlight w:val="none"/>
          <w:lang w:val="en-US" w:eastAsia="zh-CN"/>
        </w:rPr>
        <w:t>项目服务期限为1年</w:t>
      </w:r>
      <w:r>
        <w:rPr>
          <w:rFonts w:hint="eastAsia" w:ascii="宋体" w:hAnsi="宋体" w:cs="宋体"/>
          <w:color w:val="000000"/>
          <w:szCs w:val="21"/>
          <w:highlight w:val="none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28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37ED70B"/>
    <w:multiLevelType w:val="singleLevel"/>
    <w:tmpl w:val="137ED70B"/>
    <w:lvl w:ilvl="0" w:tentative="0">
      <w:start w:val="7"/>
      <w:numFmt w:val="decimal"/>
      <w:suff w:val="nothing"/>
      <w:lvlText w:val="%1、"/>
      <w:lvlJc w:val="left"/>
    </w:lvl>
  </w:abstractNum>
  <w:abstractNum w:abstractNumId="1">
    <w:nsid w:val="4895FC79"/>
    <w:multiLevelType w:val="singleLevel"/>
    <w:tmpl w:val="4895FC79"/>
    <w:lvl w:ilvl="0" w:tentative="0">
      <w:start w:val="5"/>
      <w:numFmt w:val="chineseCounting"/>
      <w:suff w:val="space"/>
      <w:lvlText w:val="第%1章"/>
      <w:lvlJc w:val="left"/>
      <w:rPr>
        <w:rFonts w:hint="eastAsia"/>
      </w:rPr>
    </w:lvl>
  </w:abstractNum>
  <w:abstractNum w:abstractNumId="2">
    <w:nsid w:val="7E555714"/>
    <w:multiLevelType w:val="multilevel"/>
    <w:tmpl w:val="7E555714"/>
    <w:lvl w:ilvl="0" w:tentative="0">
      <w:start w:val="1"/>
      <w:numFmt w:val="decimal"/>
      <w:pStyle w:val="11"/>
      <w:suff w:val="space"/>
      <w:lvlText w:val="第 %1 章"/>
      <w:lvlJc w:val="left"/>
      <w:pPr>
        <w:ind w:left="284" w:hanging="284"/>
      </w:pPr>
      <w:rPr>
        <w:rFonts w:hint="default" w:ascii="Times New Roman" w:hAnsi="Times New Roman" w:eastAsia="黑体"/>
        <w:b/>
        <w:i w:val="0"/>
        <w:color w:val="000000"/>
        <w:sz w:val="36"/>
        <w:szCs w:val="36"/>
      </w:rPr>
    </w:lvl>
    <w:lvl w:ilvl="1" w:tentative="0">
      <w:start w:val="1"/>
      <w:numFmt w:val="decimal"/>
      <w:pStyle w:val="13"/>
      <w:suff w:val="space"/>
      <w:lvlText w:val="%1.%2"/>
      <w:lvlJc w:val="left"/>
      <w:pPr>
        <w:ind w:left="284" w:hanging="284"/>
      </w:pPr>
      <w:rPr>
        <w:rFonts w:hint="default" w:ascii="Times New Roman" w:hAnsi="Times New Roman" w:eastAsia="黑体" w:cs="Times New Roman"/>
        <w:b/>
        <w:i w:val="0"/>
        <w:color w:val="000000"/>
        <w:sz w:val="32"/>
        <w:szCs w:val="32"/>
      </w:rPr>
    </w:lvl>
    <w:lvl w:ilvl="2" w:tentative="0">
      <w:start w:val="1"/>
      <w:numFmt w:val="decimal"/>
      <w:suff w:val="space"/>
      <w:lvlText w:val="%1.%2.%3"/>
      <w:lvlJc w:val="left"/>
      <w:pPr>
        <w:ind w:left="1419" w:hanging="284"/>
      </w:pPr>
      <w:rPr>
        <w:rFonts w:hint="default" w:ascii="Times New Roman" w:hAnsi="Times New Roman" w:eastAsia="黑体"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30"/>
        <w:szCs w:val="30"/>
        <w:u w:val="none"/>
        <w:vertAlign w:val="baseline"/>
      </w:rPr>
    </w:lvl>
    <w:lvl w:ilvl="3" w:tentative="0">
      <w:start w:val="1"/>
      <w:numFmt w:val="decimal"/>
      <w:suff w:val="space"/>
      <w:lvlText w:val="%1.%2.%3.%4"/>
      <w:lvlJc w:val="left"/>
      <w:pPr>
        <w:ind w:left="150" w:hanging="284"/>
      </w:pPr>
      <w:rPr>
        <w:rFonts w:hint="default" w:ascii="Times New Roman" w:hAnsi="Times New Roman" w:eastAsia="黑体" w:cs="Times New Roman"/>
        <w:b/>
        <w:i w:val="0"/>
        <w:color w:val="000000"/>
        <w:sz w:val="28"/>
        <w:szCs w:val="28"/>
      </w:rPr>
    </w:lvl>
    <w:lvl w:ilvl="4" w:tentative="0">
      <w:start w:val="1"/>
      <w:numFmt w:val="decimal"/>
      <w:suff w:val="space"/>
      <w:lvlText w:val="%1.%2.%3.%4.%5"/>
      <w:lvlJc w:val="left"/>
      <w:pPr>
        <w:ind w:left="4254" w:hanging="284"/>
      </w:pPr>
      <w:rPr>
        <w:rFonts w:hint="default" w:ascii="Times New Roman" w:hAnsi="Times New Roman" w:eastAsia="黑体"/>
        <w:b/>
        <w:i w:val="0"/>
        <w:color w:val="auto"/>
      </w:rPr>
    </w:lvl>
    <w:lvl w:ilvl="5" w:tentative="0">
      <w:start w:val="1"/>
      <w:numFmt w:val="decimal"/>
      <w:suff w:val="space"/>
      <w:lvlText w:val="%1.%2.%3.%4.%5.%6"/>
      <w:lvlJc w:val="left"/>
      <w:pPr>
        <w:ind w:left="284" w:hanging="284"/>
      </w:pPr>
      <w:rPr>
        <w:rFonts w:hint="default" w:ascii="Times New Roman" w:hAnsi="Times New Roman" w:eastAsia="黑体"/>
        <w:b/>
        <w:i w:val="0"/>
        <w:color w:val="auto"/>
      </w:rPr>
    </w:lvl>
    <w:lvl w:ilvl="6" w:tentative="0">
      <w:start w:val="1"/>
      <w:numFmt w:val="decimal"/>
      <w:lvlText w:val="%1.%2.%3.%4.%5.%6.%7"/>
      <w:lvlJc w:val="left"/>
      <w:pPr>
        <w:ind w:left="1276" w:hanging="1276"/>
      </w:pPr>
      <w:rPr>
        <w:rFonts w:hint="default" w:ascii="Times New Roman" w:hAnsi="Times New Roman" w:cs="Times New Roman"/>
      </w:r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6C3124"/>
    <w:rsid w:val="03E2554B"/>
    <w:rsid w:val="101C07A5"/>
    <w:rsid w:val="1E305CCE"/>
    <w:rsid w:val="3085124F"/>
    <w:rsid w:val="3F6D76B7"/>
    <w:rsid w:val="436C3124"/>
    <w:rsid w:val="5A1D413E"/>
    <w:rsid w:val="68DA4C11"/>
    <w:rsid w:val="75B13FD2"/>
    <w:rsid w:val="76EA0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Cs/>
      <w:kern w:val="44"/>
      <w:sz w:val="44"/>
      <w:szCs w:val="44"/>
    </w:rPr>
  </w:style>
  <w:style w:type="paragraph" w:styleId="3">
    <w:name w:val="heading 2"/>
    <w:basedOn w:val="1"/>
    <w:next w:val="1"/>
    <w:qFormat/>
    <w:uiPriority w:val="9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oc 1"/>
    <w:basedOn w:val="1"/>
    <w:next w:val="1"/>
    <w:qFormat/>
    <w:uiPriority w:val="39"/>
    <w:pPr>
      <w:tabs>
        <w:tab w:val="left" w:pos="567"/>
        <w:tab w:val="left" w:pos="709"/>
        <w:tab w:val="right" w:leader="dot" w:pos="8505"/>
      </w:tabs>
      <w:snapToGrid w:val="0"/>
      <w:spacing w:line="440" w:lineRule="exact"/>
      <w:jc w:val="left"/>
    </w:pPr>
    <w:rPr>
      <w:rFonts w:ascii="宋体" w:hAnsi="宋体"/>
    </w:rPr>
  </w:style>
  <w:style w:type="table" w:styleId="6">
    <w:name w:val="Table Grid"/>
    <w:basedOn w:val="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bt1bt1"/>
    <w:basedOn w:val="2"/>
    <w:qFormat/>
    <w:uiPriority w:val="0"/>
    <w:pPr>
      <w:spacing w:line="240" w:lineRule="auto"/>
    </w:pPr>
    <w:rPr>
      <w:rFonts w:ascii="黑体" w:eastAsia="黑体"/>
      <w:sz w:val="36"/>
      <w:szCs w:val="36"/>
    </w:rPr>
  </w:style>
  <w:style w:type="paragraph" w:customStyle="1" w:styleId="9">
    <w:name w:val="标题 10"/>
    <w:basedOn w:val="3"/>
    <w:qFormat/>
    <w:uiPriority w:val="0"/>
    <w:pPr>
      <w:keepNext w:val="0"/>
      <w:keepLines w:val="0"/>
      <w:topLinePunct/>
      <w:spacing w:before="0" w:after="0" w:line="377" w:lineRule="auto"/>
      <w:jc w:val="center"/>
    </w:pPr>
    <w:rPr>
      <w:rFonts w:ascii="Times New Roman" w:hAnsi="Times New Roman" w:eastAsia="宋体"/>
      <w:bCs w:val="0"/>
      <w:kern w:val="0"/>
      <w:sz w:val="24"/>
      <w:szCs w:val="24"/>
    </w:rPr>
  </w:style>
  <w:style w:type="paragraph" w:styleId="10">
    <w:name w:val="List Paragraph"/>
    <w:basedOn w:val="1"/>
    <w:unhideWhenUsed/>
    <w:qFormat/>
    <w:uiPriority w:val="34"/>
    <w:pPr>
      <w:ind w:firstLine="420" w:firstLineChars="200"/>
    </w:pPr>
  </w:style>
  <w:style w:type="paragraph" w:customStyle="1" w:styleId="11">
    <w:name w:val="0001"/>
    <w:basedOn w:val="2"/>
    <w:qFormat/>
    <w:uiPriority w:val="0"/>
    <w:pPr>
      <w:keepNext w:val="0"/>
      <w:keepLines w:val="0"/>
      <w:numPr>
        <w:ilvl w:val="0"/>
        <w:numId w:val="1"/>
      </w:numPr>
      <w:tabs>
        <w:tab w:val="left" w:pos="360"/>
      </w:tabs>
      <w:spacing w:before="20" w:after="20" w:line="360" w:lineRule="auto"/>
      <w:ind w:left="0" w:firstLine="0"/>
      <w:jc w:val="left"/>
    </w:pPr>
    <w:rPr>
      <w:rFonts w:ascii="Times New Roman" w:hAnsi="Times New Roman" w:eastAsia="黑体" w:cs="Times New Roman"/>
      <w:b/>
      <w:color w:val="auto"/>
      <w:kern w:val="44"/>
      <w:sz w:val="36"/>
      <w:szCs w:val="20"/>
    </w:rPr>
  </w:style>
  <w:style w:type="paragraph" w:customStyle="1" w:styleId="12">
    <w:name w:val="_Style 3"/>
    <w:basedOn w:val="1"/>
    <w:qFormat/>
    <w:uiPriority w:val="0"/>
    <w:pPr>
      <w:ind w:firstLine="420" w:firstLineChars="200"/>
    </w:pPr>
    <w:rPr>
      <w:rFonts w:ascii="Calibri" w:hAnsi="Calibri" w:cs="宋体"/>
    </w:rPr>
  </w:style>
  <w:style w:type="paragraph" w:customStyle="1" w:styleId="13">
    <w:name w:val="0002"/>
    <w:basedOn w:val="3"/>
    <w:qFormat/>
    <w:uiPriority w:val="0"/>
    <w:pPr>
      <w:keepNext w:val="0"/>
      <w:keepLines w:val="0"/>
      <w:numPr>
        <w:ilvl w:val="1"/>
        <w:numId w:val="1"/>
      </w:numPr>
      <w:tabs>
        <w:tab w:val="left" w:pos="360"/>
      </w:tabs>
      <w:spacing w:before="20" w:after="20" w:line="360" w:lineRule="auto"/>
      <w:ind w:left="0" w:firstLine="0"/>
      <w:jc w:val="left"/>
    </w:pPr>
    <w:rPr>
      <w:rFonts w:ascii="宋体" w:hAnsi="宋体" w:eastAsia="黑体" w:cs="Times New Roman"/>
      <w:color w:val="auto"/>
      <w:sz w:val="32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3493</Words>
  <Characters>3640</Characters>
  <Lines>0</Lines>
  <Paragraphs>0</Paragraphs>
  <TotalTime>183</TotalTime>
  <ScaleCrop>false</ScaleCrop>
  <LinksUpToDate>false</LinksUpToDate>
  <CharactersWithSpaces>3651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2026-06-28T14:20:00Z</dcterms:created>
  <dc:creator>姚娟</dc:creator>
  <cp:lastModifiedBy>吴成赓</cp:lastModifiedBy>
  <dcterms:modified xsi:type="dcterms:W3CDTF">2026-07-15T07:02:16Z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CE14BAE53B2E4B18B4C1E8FBA8A19CBF_11</vt:lpwstr>
  </property>
  <property fmtid="{D5CDD505-2E9C-101B-9397-08002B2CF9AE}" pid="4" name="KSOTemplateDocerSaveRecord">
    <vt:lpwstr>eyJoZGlkIjoiN2FlOTE1NzRmYTMwNmRlMjkwOGIyY2MzZjgxYjE2NmEiLCJ1c2VySWQiOiI1MjE3NDE4MzUifQ==</vt:lpwstr>
  </property>
</Properties>
</file>