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76249">
      <w:pPr>
        <w:spacing w:line="440" w:lineRule="exact"/>
        <w:rPr>
          <w:rFonts w:hint="eastAsia" w:asciiTheme="minorEastAsia" w:hAnsiTheme="minorEastAsia" w:eastAsiaTheme="minorEastAsia"/>
          <w:b/>
          <w:color w:val="auto"/>
          <w:sz w:val="28"/>
          <w:szCs w:val="30"/>
          <w:highlight w:val="none"/>
          <w:lang w:eastAsia="zh-CN"/>
        </w:rPr>
      </w:pPr>
    </w:p>
    <w:p w14:paraId="77EBA224">
      <w:pPr>
        <w:spacing w:line="440" w:lineRule="exact"/>
        <w:rPr>
          <w:rFonts w:hint="eastAsia" w:asciiTheme="minorEastAsia" w:hAnsiTheme="minorEastAsia" w:eastAsiaTheme="minorEastAsia"/>
          <w:b/>
          <w:color w:val="auto"/>
          <w:sz w:val="28"/>
          <w:szCs w:val="30"/>
          <w:highlight w:val="none"/>
          <w:lang w:eastAsia="zh-CN"/>
        </w:rPr>
      </w:pPr>
      <w:r>
        <w:rPr>
          <w:rFonts w:hint="eastAsia" w:asciiTheme="minorEastAsia" w:hAnsiTheme="minorEastAsia" w:eastAsiaTheme="minorEastAsia"/>
          <w:b/>
          <w:color w:val="auto"/>
          <w:sz w:val="28"/>
          <w:szCs w:val="30"/>
          <w:highlight w:val="none"/>
        </w:rPr>
        <w:t>项目编号</w:t>
      </w:r>
      <w:r>
        <w:rPr>
          <w:rFonts w:asciiTheme="minorEastAsia" w:hAnsiTheme="minorEastAsia" w:eastAsiaTheme="minorEastAsia"/>
          <w:b/>
          <w:color w:val="auto"/>
          <w:sz w:val="28"/>
          <w:szCs w:val="30"/>
          <w:highlight w:val="none"/>
        </w:rPr>
        <w:t>：</w:t>
      </w:r>
      <w:r>
        <w:rPr>
          <w:rFonts w:hint="eastAsia" w:asciiTheme="minorEastAsia" w:hAnsiTheme="minorEastAsia" w:eastAsiaTheme="minorEastAsia"/>
          <w:b/>
          <w:color w:val="auto"/>
          <w:sz w:val="28"/>
          <w:szCs w:val="30"/>
          <w:highlight w:val="none"/>
          <w:lang w:eastAsia="zh-CN"/>
        </w:rPr>
        <w:t>HBXT-2026-11480</w:t>
      </w:r>
    </w:p>
    <w:p w14:paraId="50A831E2">
      <w:pPr>
        <w:spacing w:line="360" w:lineRule="auto"/>
        <w:ind w:firstLine="560"/>
        <w:rPr>
          <w:rFonts w:cs="宋体" w:asciiTheme="minorEastAsia" w:hAnsiTheme="minorEastAsia" w:eastAsiaTheme="minorEastAsia"/>
          <w:color w:val="auto"/>
          <w:sz w:val="28"/>
          <w:szCs w:val="28"/>
          <w:highlight w:val="none"/>
        </w:rPr>
      </w:pPr>
    </w:p>
    <w:p w14:paraId="59A06703">
      <w:pPr>
        <w:spacing w:line="360" w:lineRule="auto"/>
        <w:ind w:firstLine="560"/>
        <w:rPr>
          <w:rFonts w:cs="宋体" w:asciiTheme="minorEastAsia" w:hAnsiTheme="minorEastAsia" w:eastAsiaTheme="minorEastAsia"/>
          <w:color w:val="auto"/>
          <w:sz w:val="28"/>
          <w:szCs w:val="28"/>
          <w:highlight w:val="none"/>
        </w:rPr>
      </w:pPr>
    </w:p>
    <w:p w14:paraId="112393A1">
      <w:pPr>
        <w:spacing w:line="360" w:lineRule="auto"/>
        <w:ind w:firstLine="560"/>
        <w:rPr>
          <w:rFonts w:cs="宋体" w:asciiTheme="minorEastAsia" w:hAnsiTheme="minorEastAsia" w:eastAsiaTheme="minorEastAsia"/>
          <w:color w:val="auto"/>
          <w:sz w:val="28"/>
          <w:szCs w:val="28"/>
          <w:highlight w:val="none"/>
        </w:rPr>
      </w:pPr>
    </w:p>
    <w:p w14:paraId="1EC91627">
      <w:pPr>
        <w:spacing w:line="360" w:lineRule="auto"/>
        <w:ind w:firstLine="560"/>
        <w:rPr>
          <w:rFonts w:cs="宋体" w:asciiTheme="minorEastAsia" w:hAnsiTheme="minorEastAsia" w:eastAsiaTheme="minorEastAsia"/>
          <w:color w:val="auto"/>
          <w:sz w:val="28"/>
          <w:szCs w:val="28"/>
          <w:highlight w:val="none"/>
        </w:rPr>
      </w:pPr>
    </w:p>
    <w:p w14:paraId="0AB31048">
      <w:pPr>
        <w:spacing w:line="360" w:lineRule="auto"/>
        <w:ind w:firstLine="560"/>
        <w:rPr>
          <w:rFonts w:hint="eastAsia" w:cs="宋体" w:asciiTheme="minorEastAsia" w:hAnsiTheme="minorEastAsia" w:eastAsiaTheme="minorEastAsia"/>
          <w:color w:val="auto"/>
          <w:sz w:val="28"/>
          <w:szCs w:val="28"/>
          <w:highlight w:val="none"/>
          <w:lang w:eastAsia="zh-CN"/>
        </w:rPr>
      </w:pPr>
    </w:p>
    <w:p w14:paraId="64FFDBF5">
      <w:pPr>
        <w:spacing w:line="360" w:lineRule="auto"/>
        <w:ind w:firstLine="560"/>
        <w:rPr>
          <w:rFonts w:cs="宋体" w:asciiTheme="minorEastAsia" w:hAnsiTheme="minorEastAsia" w:eastAsiaTheme="minorEastAsia"/>
          <w:b/>
          <w:color w:val="auto"/>
          <w:szCs w:val="21"/>
          <w:highlight w:val="none"/>
          <w:u w:val="single"/>
        </w:rPr>
      </w:pPr>
    </w:p>
    <w:p w14:paraId="6EAB38DC">
      <w:pPr>
        <w:spacing w:after="120" w:line="360" w:lineRule="atLeast"/>
        <w:jc w:val="center"/>
        <w:rPr>
          <w:rFonts w:hint="eastAsia" w:cs="宋体" w:asciiTheme="minorEastAsia" w:hAnsiTheme="minorEastAsia" w:eastAsiaTheme="minorEastAsia"/>
          <w:b/>
          <w:color w:val="auto"/>
          <w:sz w:val="32"/>
          <w:szCs w:val="32"/>
          <w:highlight w:val="none"/>
          <w:lang w:eastAsia="zh-CN"/>
        </w:rPr>
      </w:pPr>
      <w:r>
        <w:rPr>
          <w:rFonts w:hint="eastAsia" w:asciiTheme="minorEastAsia" w:hAnsiTheme="minorEastAsia" w:eastAsiaTheme="minorEastAsia"/>
          <w:b/>
          <w:color w:val="auto"/>
          <w:sz w:val="32"/>
          <w:szCs w:val="32"/>
          <w:highlight w:val="none"/>
          <w:lang w:eastAsia="zh-CN"/>
        </w:rPr>
        <w:t>湖北信通通信有限公司2026-2028年荆州零星搬运服务项目</w:t>
      </w:r>
    </w:p>
    <w:p w14:paraId="4C3E08D8">
      <w:pPr>
        <w:jc w:val="center"/>
        <w:rPr>
          <w:rFonts w:cs="宋体" w:asciiTheme="minorEastAsia" w:hAnsiTheme="minorEastAsia" w:eastAsiaTheme="minorEastAsia"/>
          <w:b/>
          <w:color w:val="auto"/>
          <w:szCs w:val="21"/>
          <w:highlight w:val="none"/>
          <w:u w:val="single"/>
        </w:rPr>
      </w:pPr>
    </w:p>
    <w:p w14:paraId="7F2101FC">
      <w:pPr>
        <w:spacing w:after="120" w:line="360" w:lineRule="atLeast"/>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询比文件</w:t>
      </w:r>
    </w:p>
    <w:p w14:paraId="7CDFD564">
      <w:pPr>
        <w:spacing w:after="120" w:line="360" w:lineRule="atLeast"/>
        <w:jc w:val="center"/>
        <w:rPr>
          <w:rFonts w:cs="宋体" w:asciiTheme="minorEastAsia" w:hAnsiTheme="minorEastAsia" w:eastAsiaTheme="minorEastAsia"/>
          <w:b/>
          <w:color w:val="auto"/>
          <w:sz w:val="32"/>
          <w:szCs w:val="32"/>
          <w:highlight w:val="none"/>
        </w:rPr>
      </w:pPr>
    </w:p>
    <w:p w14:paraId="72B3BE7D">
      <w:pPr>
        <w:spacing w:after="120" w:line="360" w:lineRule="atLeast"/>
        <w:jc w:val="center"/>
        <w:rPr>
          <w:rFonts w:cs="宋体" w:asciiTheme="minorEastAsia" w:hAnsiTheme="minorEastAsia" w:eastAsiaTheme="minorEastAsia"/>
          <w:b/>
          <w:color w:val="auto"/>
          <w:sz w:val="32"/>
          <w:szCs w:val="32"/>
          <w:highlight w:val="none"/>
        </w:rPr>
      </w:pPr>
    </w:p>
    <w:p w14:paraId="18A458AF">
      <w:pPr>
        <w:spacing w:after="120" w:line="360" w:lineRule="atLeast"/>
        <w:jc w:val="center"/>
        <w:rPr>
          <w:rFonts w:cs="宋体" w:asciiTheme="minorEastAsia" w:hAnsiTheme="minorEastAsia" w:eastAsiaTheme="minorEastAsia"/>
          <w:b/>
          <w:color w:val="auto"/>
          <w:sz w:val="32"/>
          <w:szCs w:val="32"/>
          <w:highlight w:val="none"/>
        </w:rPr>
      </w:pPr>
    </w:p>
    <w:p w14:paraId="3241EEC3">
      <w:pPr>
        <w:spacing w:after="120" w:line="360" w:lineRule="atLeast"/>
        <w:jc w:val="center"/>
        <w:rPr>
          <w:rFonts w:cs="宋体" w:asciiTheme="minorEastAsia" w:hAnsiTheme="minorEastAsia" w:eastAsiaTheme="minorEastAsia"/>
          <w:b/>
          <w:color w:val="auto"/>
          <w:sz w:val="32"/>
          <w:szCs w:val="32"/>
          <w:highlight w:val="none"/>
        </w:rPr>
      </w:pPr>
    </w:p>
    <w:p w14:paraId="455A6FB3">
      <w:pPr>
        <w:spacing w:after="120" w:line="360" w:lineRule="atLeast"/>
        <w:jc w:val="center"/>
        <w:rPr>
          <w:rFonts w:cs="宋体" w:asciiTheme="minorEastAsia" w:hAnsiTheme="minorEastAsia" w:eastAsiaTheme="minorEastAsia"/>
          <w:b/>
          <w:color w:val="auto"/>
          <w:sz w:val="32"/>
          <w:szCs w:val="32"/>
          <w:highlight w:val="none"/>
        </w:rPr>
      </w:pPr>
    </w:p>
    <w:p w14:paraId="343A6929">
      <w:pPr>
        <w:spacing w:line="600" w:lineRule="exact"/>
        <w:jc w:val="center"/>
        <w:rPr>
          <w:rFonts w:hint="eastAsia" w:asciiTheme="minorEastAsia" w:hAnsiTheme="minorEastAsia" w:eastAsiaTheme="minorEastAsia"/>
          <w:b/>
          <w:color w:val="auto"/>
          <w:sz w:val="24"/>
          <w:highlight w:val="none"/>
          <w:u w:val="single"/>
          <w:lang w:eastAsia="zh-CN"/>
        </w:rPr>
      </w:pPr>
      <w:r>
        <w:rPr>
          <w:rFonts w:hint="eastAsia" w:asciiTheme="minorEastAsia" w:hAnsiTheme="minorEastAsia" w:eastAsiaTheme="minorEastAsia"/>
          <w:b/>
          <w:color w:val="auto"/>
          <w:sz w:val="24"/>
          <w:highlight w:val="none"/>
        </w:rPr>
        <w:t>采购人</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u w:val="single"/>
          <w:lang w:eastAsia="zh-CN"/>
        </w:rPr>
        <w:t>湖北信通通信有限公司</w:t>
      </w:r>
    </w:p>
    <w:p w14:paraId="5A22A8AD">
      <w:pPr>
        <w:spacing w:line="600" w:lineRule="exact"/>
        <w:ind w:firstLine="3373" w:firstLineChars="1400"/>
        <w:rPr>
          <w:rFonts w:hint="eastAsia" w:ascii="宋体" w:hAnsi="宋体" w:eastAsia="宋体" w:cs="Times New Roman"/>
          <w:b/>
          <w:sz w:val="24"/>
        </w:rPr>
      </w:pPr>
      <w:r>
        <w:rPr>
          <w:rFonts w:hint="eastAsia" w:ascii="宋体" w:hAnsi="宋体" w:eastAsia="宋体" w:cs="Times New Roman"/>
          <w:b/>
          <w:sz w:val="24"/>
        </w:rPr>
        <w:t>202</w:t>
      </w:r>
      <w:r>
        <w:rPr>
          <w:rFonts w:hint="eastAsia" w:ascii="宋体" w:hAnsi="宋体" w:eastAsia="宋体" w:cs="Times New Roman"/>
          <w:b/>
          <w:sz w:val="24"/>
          <w:lang w:val="en-US" w:eastAsia="zh-CN"/>
        </w:rPr>
        <w:t>6</w:t>
      </w:r>
      <w:r>
        <w:rPr>
          <w:rFonts w:ascii="宋体" w:hAnsi="宋体" w:eastAsia="宋体" w:cs="Times New Roman"/>
          <w:b/>
          <w:sz w:val="24"/>
        </w:rPr>
        <w:t>年</w:t>
      </w:r>
      <w:r>
        <w:rPr>
          <w:rFonts w:hint="eastAsia" w:ascii="宋体" w:hAnsi="宋体" w:cs="Times New Roman"/>
          <w:b/>
          <w:sz w:val="24"/>
          <w:lang w:val="en-US" w:eastAsia="zh-CN"/>
        </w:rPr>
        <w:t>5</w:t>
      </w:r>
      <w:r>
        <w:rPr>
          <w:rFonts w:ascii="宋体" w:hAnsi="宋体" w:eastAsia="宋体" w:cs="Times New Roman"/>
          <w:b/>
          <w:sz w:val="24"/>
        </w:rPr>
        <w:t>月</w:t>
      </w:r>
    </w:p>
    <w:p w14:paraId="4337B1ED">
      <w:pPr>
        <w:pStyle w:val="3"/>
        <w:rPr>
          <w:rFonts w:hint="eastAsia"/>
          <w:lang w:eastAsia="zh-CN"/>
        </w:rPr>
      </w:pPr>
    </w:p>
    <w:p w14:paraId="7184D2A8">
      <w:pPr>
        <w:rPr>
          <w:rFonts w:hint="eastAsia" w:cs="宋体" w:asciiTheme="minorEastAsia" w:hAnsiTheme="minorEastAsia" w:eastAsiaTheme="minorEastAsia"/>
          <w:b/>
          <w:bCs w:val="0"/>
          <w:color w:val="auto"/>
          <w:kern w:val="0"/>
          <w:sz w:val="28"/>
          <w:szCs w:val="28"/>
          <w:highlight w:val="none"/>
        </w:rPr>
      </w:pPr>
      <w:bookmarkStart w:id="0" w:name="_Toc447265497"/>
      <w:bookmarkStart w:id="1" w:name="_Toc20289"/>
      <w:bookmarkStart w:id="2" w:name="_Toc447265211"/>
      <w:bookmarkStart w:id="3" w:name="_Toc2713"/>
      <w:bookmarkStart w:id="4" w:name="_Toc447265797"/>
      <w:bookmarkStart w:id="5" w:name="_Toc447188662"/>
      <w:r>
        <w:rPr>
          <w:rFonts w:hint="eastAsia" w:cs="宋体" w:asciiTheme="minorEastAsia" w:hAnsiTheme="minorEastAsia" w:eastAsiaTheme="minorEastAsia"/>
          <w:b/>
          <w:bCs w:val="0"/>
          <w:color w:val="auto"/>
          <w:kern w:val="0"/>
          <w:sz w:val="28"/>
          <w:szCs w:val="28"/>
          <w:highlight w:val="none"/>
        </w:rPr>
        <w:br w:type="page"/>
      </w:r>
    </w:p>
    <w:p w14:paraId="0BF28E30">
      <w:pPr>
        <w:pStyle w:val="101"/>
        <w:spacing w:before="240" w:after="120"/>
        <w:rPr>
          <w:rFonts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t>第一章  询比公告</w:t>
      </w:r>
      <w:bookmarkEnd w:id="0"/>
      <w:bookmarkEnd w:id="1"/>
      <w:bookmarkEnd w:id="2"/>
      <w:bookmarkEnd w:id="3"/>
      <w:bookmarkEnd w:id="4"/>
      <w:bookmarkEnd w:id="5"/>
    </w:p>
    <w:p w14:paraId="57267CC5">
      <w:pPr>
        <w:adjustRightInd w:val="0"/>
        <w:snapToGrid w:val="0"/>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本询比项目为</w:t>
      </w:r>
      <w:r>
        <w:rPr>
          <w:rFonts w:hint="eastAsia" w:asciiTheme="minorEastAsia" w:hAnsiTheme="minorEastAsia" w:eastAsiaTheme="minorEastAsia"/>
          <w:color w:val="auto"/>
          <w:highlight w:val="none"/>
          <w:u w:val="single"/>
          <w:lang w:eastAsia="zh-CN"/>
        </w:rPr>
        <w:t>湖北信通通信有限公司2026-2028年荆州零星搬运服务项目</w:t>
      </w:r>
      <w:r>
        <w:rPr>
          <w:rFonts w:hint="eastAsia" w:asciiTheme="minorEastAsia" w:hAnsiTheme="minorEastAsia" w:eastAsiaTheme="minorEastAsia"/>
          <w:color w:val="auto"/>
          <w:szCs w:val="21"/>
          <w:highlight w:val="none"/>
        </w:rPr>
        <w:t>（项目编号：</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HBXT-2026-11480</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szCs w:val="21"/>
          <w:highlight w:val="none"/>
        </w:rPr>
        <w:t>），采购人为</w:t>
      </w:r>
      <w:r>
        <w:rPr>
          <w:rFonts w:hint="eastAsia" w:asciiTheme="minorEastAsia" w:hAnsiTheme="minorEastAsia" w:eastAsiaTheme="minorEastAsia"/>
          <w:color w:val="auto"/>
          <w:szCs w:val="21"/>
          <w:highlight w:val="none"/>
          <w:u w:val="single"/>
          <w:lang w:eastAsia="zh-CN"/>
        </w:rPr>
        <w:t>湖北信通通信有限公司</w:t>
      </w:r>
      <w:r>
        <w:rPr>
          <w:rFonts w:hint="eastAsia" w:asciiTheme="minorEastAsia" w:hAnsiTheme="minorEastAsia" w:eastAsiaTheme="minorEastAsia"/>
          <w:color w:val="auto"/>
          <w:szCs w:val="21"/>
          <w:highlight w:val="none"/>
        </w:rPr>
        <w:t>。项目资金已落实，具备采购条件，现进行公开询比，特邀请有意向的且具有提供标的物能力的潜在供应商（以下简称供应商）参加询比响应。</w:t>
      </w:r>
    </w:p>
    <w:p w14:paraId="64E7E16F">
      <w:pPr>
        <w:adjustRightInd w:val="0"/>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1.项目概况与采购内容</w:t>
      </w:r>
    </w:p>
    <w:p w14:paraId="3E86858E">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1.1项目概况：本项目为湖北信通通信有限公司2026-2028年荆州零星搬运服务项目，项目预估规模不含税989870.00元。</w:t>
      </w:r>
    </w:p>
    <w:p w14:paraId="433B77D3">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eastAsiaTheme="minorEastAsia"/>
          <w:color w:val="auto"/>
          <w:szCs w:val="21"/>
          <w:highlight w:val="none"/>
          <w:lang w:val="en-US" w:eastAsia="zh-CN"/>
        </w:rPr>
        <w:t>1.2</w:t>
      </w:r>
      <w:r>
        <w:rPr>
          <w:rFonts w:hint="eastAsia" w:cs="Times New Roman" w:asciiTheme="minorEastAsia" w:hAnsiTheme="minorEastAsia" w:eastAsiaTheme="minorEastAsia"/>
          <w:color w:val="auto"/>
          <w:szCs w:val="21"/>
          <w:highlight w:val="none"/>
        </w:rPr>
        <w:t>采购内容：服务内容包括但不限于:1.人工搬运：暂存点物资搬运（物资上货下架、物资清理及搬运等）。2.车辆转运：市场物资转运（促销礼品、进驻物资、高校迎新活动物资、外场活动物资搬运、营业厅转场搬运等），应急物资转运、其它零星搬运服务（办公场所转场搬运、办公杂物清理转运、报废物资转运等）。</w:t>
      </w:r>
    </w:p>
    <w:p w14:paraId="5F4FCA72">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1.3标包划分情况：本项目不划分标包。</w:t>
      </w:r>
    </w:p>
    <w:p w14:paraId="470E16F4">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1.4</w:t>
      </w:r>
      <w:r>
        <w:rPr>
          <w:rFonts w:hint="eastAsia" w:ascii="宋体" w:hAnsi="宋体" w:cs="宋体"/>
          <w:color w:val="auto"/>
          <w:highlight w:val="none"/>
          <w:lang w:val="en-US" w:eastAsia="zh-CN"/>
        </w:rPr>
        <w:t>服务期</w:t>
      </w:r>
      <w:r>
        <w:rPr>
          <w:rFonts w:hint="eastAsia" w:ascii="宋体" w:hAnsi="宋体" w:eastAsia="宋体" w:cs="宋体"/>
          <w:color w:val="auto"/>
          <w:highlight w:val="none"/>
          <w:lang w:val="en-US" w:eastAsia="zh-CN"/>
        </w:rPr>
        <w:t>:合同签订之日起至2028年12月31日</w:t>
      </w:r>
      <w:r>
        <w:rPr>
          <w:rFonts w:hint="eastAsia" w:cs="Times New Roman" w:asciiTheme="minorEastAsia" w:hAnsiTheme="minorEastAsia" w:eastAsiaTheme="minorEastAsia"/>
          <w:color w:val="auto"/>
          <w:szCs w:val="21"/>
          <w:highlight w:val="none"/>
          <w:lang w:val="en-US" w:eastAsia="zh-CN"/>
        </w:rPr>
        <w:t>。</w:t>
      </w:r>
    </w:p>
    <w:p w14:paraId="60D818B9">
      <w:pPr>
        <w:tabs>
          <w:tab w:val="left" w:pos="3560"/>
        </w:tabs>
        <w:autoSpaceDE w:val="0"/>
        <w:autoSpaceDN w:val="0"/>
        <w:adjustRightInd w:val="0"/>
        <w:spacing w:line="360" w:lineRule="auto"/>
        <w:ind w:firstLine="420" w:firstLineChars="200"/>
        <w:jc w:val="left"/>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1.5服务地点：荆州市。</w:t>
      </w:r>
    </w:p>
    <w:p w14:paraId="246912A5">
      <w:pPr>
        <w:tabs>
          <w:tab w:val="left" w:pos="3560"/>
        </w:tabs>
        <w:autoSpaceDE w:val="0"/>
        <w:autoSpaceDN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cs="Times New Roman" w:asciiTheme="minorEastAsia" w:hAnsiTheme="minorEastAsia" w:eastAsiaTheme="minorEastAsia"/>
          <w:color w:val="auto"/>
          <w:szCs w:val="21"/>
          <w:highlight w:val="none"/>
          <w:lang w:val="en-US" w:eastAsia="zh-CN"/>
        </w:rPr>
        <w:t>1.6</w:t>
      </w:r>
      <w:r>
        <w:rPr>
          <w:rFonts w:hint="eastAsia" w:ascii="宋体" w:hAnsi="宋体" w:eastAsia="宋体" w:cs="宋体"/>
          <w:color w:val="auto"/>
          <w:szCs w:val="21"/>
          <w:highlight w:val="none"/>
        </w:rPr>
        <w:t>本项目设置最高响应不含税单价限价，具体详见下表，超过最高限价的响应文件将被予以否决。</w:t>
      </w:r>
    </w:p>
    <w:tbl>
      <w:tblPr>
        <w:tblStyle w:val="78"/>
        <w:tblW w:w="84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3"/>
        <w:gridCol w:w="3795"/>
        <w:gridCol w:w="1740"/>
        <w:gridCol w:w="2008"/>
      </w:tblGrid>
      <w:tr w14:paraId="52A28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A526">
            <w:pPr>
              <w:bidi w:val="0"/>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rPr>
              <w:t>序号</w:t>
            </w:r>
          </w:p>
        </w:tc>
        <w:tc>
          <w:tcPr>
            <w:tcW w:w="3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7D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服务内容、区域范围</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0C7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预估工作量</w:t>
            </w: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EF8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分项不含税单价最高限价（元）</w:t>
            </w:r>
          </w:p>
        </w:tc>
      </w:tr>
      <w:tr w14:paraId="18E58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AD80">
            <w:pPr>
              <w:bidi w:val="0"/>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rPr>
              <w:t>1</w:t>
            </w:r>
          </w:p>
        </w:tc>
        <w:tc>
          <w:tcPr>
            <w:tcW w:w="3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AA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（全市）人工搬运-设备搬运（单位：元/人/天）</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8CE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2245</w:t>
            </w: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B5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r>
      <w:tr w14:paraId="21A72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F52F">
            <w:pPr>
              <w:bidi w:val="0"/>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lang w:val="en-US" w:eastAsia="zh-CN"/>
              </w:rPr>
              <w:t>2</w:t>
            </w:r>
          </w:p>
        </w:tc>
        <w:tc>
          <w:tcPr>
            <w:tcW w:w="3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BE5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（市内）转场搬运-设备转运（单位：元/车/天）</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4A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1650</w:t>
            </w: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EA8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292</w:t>
            </w:r>
          </w:p>
        </w:tc>
      </w:tr>
      <w:tr w14:paraId="1B75B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7EA7E">
            <w:pPr>
              <w:bidi w:val="0"/>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lang w:val="en-US" w:eastAsia="zh-CN"/>
              </w:rPr>
              <w:t>3</w:t>
            </w:r>
          </w:p>
        </w:tc>
        <w:tc>
          <w:tcPr>
            <w:tcW w:w="3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573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（乡镇）转场-设备转运（单位：元/车/天）</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16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2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629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338</w:t>
            </w:r>
          </w:p>
        </w:tc>
      </w:tr>
    </w:tbl>
    <w:p w14:paraId="032AC421">
      <w:pPr>
        <w:adjustRightInd w:val="0"/>
        <w:snapToGrid w:val="0"/>
        <w:spacing w:line="440" w:lineRule="exact"/>
        <w:rPr>
          <w:rFonts w:asciiTheme="minorEastAsia" w:hAnsiTheme="minorEastAsia" w:eastAsiaTheme="minorEastAsia"/>
          <w:b/>
          <w:color w:val="auto"/>
          <w:szCs w:val="21"/>
          <w:highlight w:val="none"/>
        </w:rPr>
      </w:pPr>
      <w:bookmarkStart w:id="6" w:name="_Toc184704555"/>
      <w:bookmarkStart w:id="7" w:name="_Toc319394714"/>
      <w:bookmarkStart w:id="8" w:name="_Toc319769473"/>
      <w:r>
        <w:rPr>
          <w:rFonts w:hint="eastAsia" w:asciiTheme="minorEastAsia" w:hAnsiTheme="minorEastAsia" w:eastAsiaTheme="minorEastAsia"/>
          <w:b/>
          <w:color w:val="auto"/>
          <w:szCs w:val="21"/>
          <w:highlight w:val="none"/>
        </w:rPr>
        <w:t>2.供应商资格要求</w:t>
      </w:r>
      <w:bookmarkEnd w:id="6"/>
      <w:bookmarkEnd w:id="7"/>
      <w:bookmarkEnd w:id="8"/>
      <w:r>
        <w:rPr>
          <w:rFonts w:hint="eastAsia" w:asciiTheme="minorEastAsia" w:hAnsiTheme="minorEastAsia" w:eastAsiaTheme="minorEastAsia"/>
          <w:b/>
          <w:color w:val="auto"/>
          <w:szCs w:val="21"/>
          <w:highlight w:val="none"/>
        </w:rPr>
        <w:t xml:space="preserve"> </w:t>
      </w:r>
    </w:p>
    <w:p w14:paraId="28BF5F5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bookmarkStart w:id="9" w:name="_Toc319769474"/>
      <w:bookmarkStart w:id="10" w:name="_Toc319394715"/>
      <w:bookmarkStart w:id="11" w:name="_Toc184704556"/>
      <w:r>
        <w:rPr>
          <w:rFonts w:hint="eastAsia" w:cs="Times New Roman" w:asciiTheme="minorEastAsia" w:hAnsiTheme="minorEastAsia" w:eastAsiaTheme="minorEastAsia"/>
          <w:color w:val="auto"/>
          <w:kern w:val="2"/>
          <w:sz w:val="21"/>
          <w:szCs w:val="21"/>
          <w:highlight w:val="none"/>
          <w:lang w:val="en-US" w:eastAsia="zh-CN" w:bidi="ar-SA"/>
        </w:rPr>
        <w:t>2.1基本要求：供应商应为中华人民共和国境内法律上和财务上独立的法人或依法登记注册的其他组织，合法运作并独立于采购人和采购代理机构。法人下属不具备法人资格的分支机构参与响应的，应具备法人针对本项目或覆盖本项目的经营事项的有效授权。</w:t>
      </w:r>
    </w:p>
    <w:p w14:paraId="675835D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2.2业绩要求：供应商须具备近年（2023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585874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2.3财务要求：供应商能够或承诺能够为本项目开具增值税专用发票。（须提供证明材料或承诺函）</w:t>
      </w:r>
    </w:p>
    <w:p w14:paraId="2E26545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default"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2.4.供应商具有有效的《道路运输经营许可证》。</w:t>
      </w:r>
    </w:p>
    <w:p w14:paraId="3B50297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2.5本项目不接受联合体响应，不允许转包和违法分包。</w:t>
      </w:r>
    </w:p>
    <w:p w14:paraId="1D4F221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2.6供应商的法定代表人或负责人为同一人或者存在控股、管理关系的不同申请人，不得参加同一分包响应或者未划分分包的同一项目响应。</w:t>
      </w:r>
    </w:p>
    <w:p w14:paraId="1BE5C26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2.7供应商不得存在下列情形：</w:t>
      </w:r>
    </w:p>
    <w:p w14:paraId="1386FEA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（1）为采购人不具有独立法人资格的附属机构（单位）；</w:t>
      </w:r>
    </w:p>
    <w:p w14:paraId="6BC7731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（2）被依法暂停或取消投标/响应资格的；</w:t>
      </w:r>
    </w:p>
    <w:p w14:paraId="1100E31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（3）被责令停产停业、暂扣或者吊销许可证、暂扣或者吊销执照； </w:t>
      </w:r>
    </w:p>
    <w:p w14:paraId="1E54DB8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（4）进入清算程序，或被宣告破产，或其他丧失履约能力的情形； </w:t>
      </w:r>
    </w:p>
    <w:p w14:paraId="07455AE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（5）在最近三年内（自2023年4月1日起）被相关行业主管部门或司法机关认定骗取中标/成交、严重违约、重大工程质量或者安全问题的；</w:t>
      </w:r>
    </w:p>
    <w:p w14:paraId="51452E6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（6）在最近五年内（自2021年4月1日起）被判处单位行贿罪，且行贿行为与采购活动相关的（以“中国裁判文书网”的生效判决为准）；</w:t>
      </w:r>
    </w:p>
    <w:p w14:paraId="26D849A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（7）在最近五年内（自2021年4月1日起）被判处合同诈骗罪的（以“中国裁判文书网”的生效判决为准）；</w:t>
      </w:r>
    </w:p>
    <w:p w14:paraId="39C4408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6865CF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（9）被工商行政管理机关在国家企业信用信息公示系统中列入严重违法失信企业名单的；</w:t>
      </w:r>
    </w:p>
    <w:p w14:paraId="06CF326B">
      <w:pPr>
        <w:spacing w:line="440" w:lineRule="exact"/>
        <w:ind w:left="426"/>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（10）法律法规、询比文件限定的其他情形。</w:t>
      </w:r>
    </w:p>
    <w:p w14:paraId="5427048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2.8法律法规规定的其他要求。</w:t>
      </w:r>
    </w:p>
    <w:p w14:paraId="5C26336A">
      <w:pPr>
        <w:adjustRightInd w:val="0"/>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3.资格审查方法</w:t>
      </w:r>
      <w:bookmarkEnd w:id="9"/>
      <w:bookmarkEnd w:id="10"/>
      <w:bookmarkEnd w:id="11"/>
    </w:p>
    <w:p w14:paraId="0C87705F">
      <w:pPr>
        <w:pStyle w:val="102"/>
        <w:adjustRightInd w:val="0"/>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本项目将进行资格后审，资格审查标准和内容见询比文件第三章“评审办法”，凡未通过资格后审的供应商，其响应将被否决。</w:t>
      </w:r>
    </w:p>
    <w:p w14:paraId="492B8D61">
      <w:pPr>
        <w:pStyle w:val="102"/>
        <w:adjustRightInd w:val="0"/>
        <w:snapToGrid w:val="0"/>
        <w:spacing w:line="440" w:lineRule="exact"/>
        <w:ind w:left="5" w:firstLine="0" w:firstLineChars="0"/>
        <w:rPr>
          <w:rFonts w:asciiTheme="minorEastAsia" w:hAnsiTheme="minorEastAsia" w:eastAsiaTheme="minorEastAsia"/>
          <w:bCs/>
          <w:color w:val="auto"/>
          <w:highlight w:val="none"/>
        </w:rPr>
      </w:pPr>
      <w:r>
        <w:rPr>
          <w:rFonts w:hint="eastAsia" w:asciiTheme="minorEastAsia" w:hAnsiTheme="minorEastAsia" w:eastAsiaTheme="minorEastAsia"/>
          <w:b/>
          <w:color w:val="auto"/>
          <w:szCs w:val="21"/>
          <w:highlight w:val="none"/>
        </w:rPr>
        <w:t>4.询比文件的获取</w:t>
      </w:r>
    </w:p>
    <w:p w14:paraId="42F4DFBB">
      <w:pPr>
        <w:spacing w:line="44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4.1</w:t>
      </w:r>
      <w:r>
        <w:rPr>
          <w:rFonts w:hint="eastAsia" w:asciiTheme="minorEastAsia" w:hAnsiTheme="minorEastAsia" w:eastAsiaTheme="minorEastAsia"/>
          <w:color w:val="auto"/>
          <w:spacing w:val="2"/>
          <w:szCs w:val="21"/>
          <w:highlight w:val="none"/>
        </w:rPr>
        <w:t>询比文件获取时间：</w:t>
      </w:r>
      <w:r>
        <w:rPr>
          <w:rFonts w:hint="eastAsia" w:ascii="宋体" w:hAnsi="宋体" w:eastAsia="宋体" w:cs="Times New Roman"/>
          <w:b/>
          <w:color w:val="auto"/>
          <w:kern w:val="2"/>
          <w:szCs w:val="21"/>
          <w:highlight w:val="none"/>
          <w:u w:val="single"/>
          <w:lang w:eastAsia="zh-CN"/>
        </w:rPr>
        <w:t>202</w:t>
      </w:r>
      <w:r>
        <w:rPr>
          <w:rFonts w:hint="eastAsia" w:ascii="宋体" w:hAnsi="宋体" w:eastAsia="宋体" w:cs="Times New Roman"/>
          <w:b/>
          <w:color w:val="auto"/>
          <w:kern w:val="2"/>
          <w:szCs w:val="21"/>
          <w:highlight w:val="none"/>
          <w:u w:val="single"/>
          <w:lang w:val="en-US" w:eastAsia="zh-CN"/>
        </w:rPr>
        <w:t>6</w:t>
      </w:r>
      <w:r>
        <w:rPr>
          <w:rFonts w:hint="eastAsia" w:ascii="宋体" w:hAnsi="宋体" w:eastAsia="宋体" w:cs="Times New Roman"/>
          <w:b/>
          <w:color w:val="auto"/>
          <w:kern w:val="2"/>
          <w:szCs w:val="21"/>
          <w:highlight w:val="none"/>
          <w:u w:val="single"/>
          <w:lang w:eastAsia="zh-CN"/>
        </w:rPr>
        <w:t>年</w:t>
      </w:r>
      <w:r>
        <w:rPr>
          <w:rFonts w:hint="eastAsia" w:ascii="宋体" w:hAnsi="宋体" w:cs="Times New Roman"/>
          <w:b/>
          <w:color w:val="auto"/>
          <w:kern w:val="2"/>
          <w:szCs w:val="21"/>
          <w:highlight w:val="none"/>
          <w:u w:val="single"/>
          <w:lang w:val="en-US" w:eastAsia="zh-CN"/>
        </w:rPr>
        <w:t>5</w:t>
      </w:r>
      <w:r>
        <w:rPr>
          <w:rFonts w:hint="eastAsia" w:ascii="宋体" w:hAnsi="宋体" w:eastAsia="宋体" w:cs="Times New Roman"/>
          <w:b/>
          <w:color w:val="auto"/>
          <w:kern w:val="2"/>
          <w:szCs w:val="21"/>
          <w:highlight w:val="none"/>
          <w:u w:val="single"/>
          <w:lang w:eastAsia="zh-CN"/>
        </w:rPr>
        <w:t>月</w:t>
      </w:r>
      <w:r>
        <w:rPr>
          <w:rFonts w:hint="eastAsia" w:ascii="宋体" w:hAnsi="宋体" w:cs="Times New Roman"/>
          <w:b/>
          <w:color w:val="auto"/>
          <w:kern w:val="2"/>
          <w:szCs w:val="21"/>
          <w:highlight w:val="none"/>
          <w:u w:val="single"/>
          <w:lang w:val="en-US" w:eastAsia="zh-CN"/>
        </w:rPr>
        <w:t>07</w:t>
      </w:r>
      <w:r>
        <w:rPr>
          <w:rFonts w:hint="eastAsia" w:ascii="宋体" w:hAnsi="宋体" w:eastAsia="宋体" w:cs="Times New Roman"/>
          <w:b/>
          <w:color w:val="auto"/>
          <w:kern w:val="2"/>
          <w:szCs w:val="21"/>
          <w:highlight w:val="none"/>
          <w:u w:val="single"/>
          <w:lang w:eastAsia="zh-CN"/>
        </w:rPr>
        <w:t>日</w:t>
      </w:r>
      <w:r>
        <w:rPr>
          <w:rFonts w:hint="eastAsia" w:ascii="宋体" w:hAnsi="宋体" w:cs="Times New Roman"/>
          <w:b/>
          <w:color w:val="auto"/>
          <w:kern w:val="2"/>
          <w:szCs w:val="21"/>
          <w:highlight w:val="none"/>
          <w:u w:val="single"/>
          <w:lang w:val="en-US" w:eastAsia="zh-CN"/>
        </w:rPr>
        <w:t>18</w:t>
      </w:r>
      <w:r>
        <w:rPr>
          <w:rFonts w:hint="eastAsia" w:ascii="宋体" w:hAnsi="宋体" w:eastAsia="宋体" w:cs="Times New Roman"/>
          <w:b/>
          <w:color w:val="auto"/>
          <w:kern w:val="2"/>
          <w:szCs w:val="21"/>
          <w:highlight w:val="none"/>
          <w:u w:val="single"/>
          <w:lang w:eastAsia="zh-CN"/>
        </w:rPr>
        <w:t>时</w:t>
      </w:r>
      <w:r>
        <w:rPr>
          <w:rFonts w:hint="eastAsia" w:ascii="宋体" w:hAnsi="宋体" w:cs="Times New Roman"/>
          <w:b/>
          <w:color w:val="auto"/>
          <w:kern w:val="2"/>
          <w:szCs w:val="21"/>
          <w:highlight w:val="none"/>
          <w:u w:val="single"/>
          <w:lang w:val="en-US" w:eastAsia="zh-CN"/>
        </w:rPr>
        <w:t>00</w:t>
      </w:r>
      <w:r>
        <w:rPr>
          <w:rFonts w:hint="eastAsia" w:ascii="宋体" w:hAnsi="宋体" w:eastAsia="宋体" w:cs="Times New Roman"/>
          <w:b/>
          <w:color w:val="auto"/>
          <w:kern w:val="2"/>
          <w:szCs w:val="21"/>
          <w:highlight w:val="none"/>
          <w:u w:val="single"/>
          <w:lang w:eastAsia="zh-CN"/>
        </w:rPr>
        <w:t>分至202</w:t>
      </w:r>
      <w:r>
        <w:rPr>
          <w:rFonts w:hint="eastAsia" w:ascii="宋体" w:hAnsi="宋体" w:eastAsia="宋体" w:cs="Times New Roman"/>
          <w:b/>
          <w:color w:val="auto"/>
          <w:kern w:val="2"/>
          <w:szCs w:val="21"/>
          <w:highlight w:val="none"/>
          <w:u w:val="single"/>
          <w:lang w:val="en-US" w:eastAsia="zh-CN"/>
        </w:rPr>
        <w:t>6</w:t>
      </w:r>
      <w:r>
        <w:rPr>
          <w:rFonts w:hint="eastAsia" w:ascii="宋体" w:hAnsi="宋体" w:eastAsia="宋体" w:cs="Times New Roman"/>
          <w:b/>
          <w:color w:val="auto"/>
          <w:kern w:val="2"/>
          <w:szCs w:val="21"/>
          <w:highlight w:val="none"/>
          <w:u w:val="single"/>
          <w:lang w:eastAsia="zh-CN"/>
        </w:rPr>
        <w:t>年</w:t>
      </w:r>
      <w:r>
        <w:rPr>
          <w:rFonts w:hint="eastAsia" w:ascii="宋体" w:hAnsi="宋体" w:cs="Times New Roman"/>
          <w:b/>
          <w:color w:val="auto"/>
          <w:kern w:val="2"/>
          <w:szCs w:val="21"/>
          <w:highlight w:val="none"/>
          <w:u w:val="single"/>
          <w:lang w:val="en-US" w:eastAsia="zh-CN"/>
        </w:rPr>
        <w:t>5</w:t>
      </w:r>
      <w:r>
        <w:rPr>
          <w:rFonts w:hint="eastAsia" w:ascii="宋体" w:hAnsi="宋体" w:eastAsia="宋体" w:cs="Times New Roman"/>
          <w:b/>
          <w:color w:val="auto"/>
          <w:kern w:val="2"/>
          <w:szCs w:val="21"/>
          <w:highlight w:val="none"/>
          <w:u w:val="single"/>
          <w:lang w:eastAsia="zh-CN"/>
        </w:rPr>
        <w:t>月</w:t>
      </w:r>
      <w:r>
        <w:rPr>
          <w:rFonts w:hint="eastAsia" w:ascii="宋体" w:hAnsi="宋体" w:cs="Times New Roman"/>
          <w:b/>
          <w:color w:val="auto"/>
          <w:kern w:val="2"/>
          <w:szCs w:val="21"/>
          <w:highlight w:val="none"/>
          <w:u w:val="single"/>
          <w:lang w:val="en-US" w:eastAsia="zh-CN"/>
        </w:rPr>
        <w:t>11</w:t>
      </w:r>
      <w:r>
        <w:rPr>
          <w:rFonts w:hint="eastAsia" w:ascii="宋体" w:hAnsi="宋体" w:eastAsia="宋体" w:cs="Times New Roman"/>
          <w:b/>
          <w:color w:val="auto"/>
          <w:kern w:val="2"/>
          <w:szCs w:val="21"/>
          <w:highlight w:val="none"/>
          <w:u w:val="single"/>
          <w:lang w:eastAsia="zh-CN"/>
        </w:rPr>
        <w:t>日</w:t>
      </w:r>
      <w:r>
        <w:rPr>
          <w:rFonts w:hint="eastAsia" w:ascii="宋体" w:hAnsi="宋体" w:cs="Times New Roman"/>
          <w:b/>
          <w:color w:val="auto"/>
          <w:kern w:val="2"/>
          <w:szCs w:val="21"/>
          <w:highlight w:val="none"/>
          <w:u w:val="single"/>
          <w:lang w:val="en-US" w:eastAsia="zh-CN"/>
        </w:rPr>
        <w:t>18</w:t>
      </w:r>
      <w:r>
        <w:rPr>
          <w:rFonts w:hint="eastAsia" w:ascii="宋体" w:hAnsi="宋体" w:eastAsia="宋体" w:cs="Times New Roman"/>
          <w:b/>
          <w:color w:val="auto"/>
          <w:kern w:val="2"/>
          <w:szCs w:val="21"/>
          <w:highlight w:val="none"/>
          <w:u w:val="single"/>
          <w:lang w:eastAsia="zh-CN"/>
        </w:rPr>
        <w:t>时</w:t>
      </w:r>
      <w:r>
        <w:rPr>
          <w:rFonts w:hint="eastAsia" w:ascii="宋体" w:hAnsi="宋体" w:cs="Times New Roman"/>
          <w:b/>
          <w:color w:val="auto"/>
          <w:kern w:val="2"/>
          <w:szCs w:val="21"/>
          <w:highlight w:val="none"/>
          <w:u w:val="single"/>
          <w:lang w:val="en-US" w:eastAsia="zh-CN"/>
        </w:rPr>
        <w:t>00</w:t>
      </w:r>
      <w:r>
        <w:rPr>
          <w:rFonts w:hint="eastAsia" w:ascii="宋体" w:hAnsi="宋体" w:eastAsia="宋体" w:cs="Times New Roman"/>
          <w:b/>
          <w:color w:val="auto"/>
          <w:kern w:val="2"/>
          <w:szCs w:val="21"/>
          <w:highlight w:val="none"/>
          <w:u w:val="single"/>
          <w:lang w:eastAsia="zh-CN"/>
        </w:rPr>
        <w:t>分（北京时间，下同）</w:t>
      </w:r>
      <w:r>
        <w:rPr>
          <w:rFonts w:hint="eastAsia" w:asciiTheme="minorEastAsia" w:hAnsiTheme="minorEastAsia" w:eastAsiaTheme="minorEastAsia"/>
          <w:color w:val="auto"/>
          <w:szCs w:val="21"/>
          <w:highlight w:val="none"/>
        </w:rPr>
        <w:t>。</w:t>
      </w:r>
    </w:p>
    <w:p w14:paraId="66419A10">
      <w:pPr>
        <w:pStyle w:val="102"/>
        <w:tabs>
          <w:tab w:val="left" w:pos="993"/>
        </w:tabs>
        <w:wordWrap w:val="0"/>
        <w:adjustRightInd w:val="0"/>
        <w:snapToGrid w:val="0"/>
        <w:spacing w:line="440" w:lineRule="exact"/>
        <w:ind w:firstLine="424" w:firstLineChars="202"/>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4.2</w:t>
      </w:r>
      <w:r>
        <w:rPr>
          <w:rFonts w:hint="eastAsia" w:asciiTheme="minorEastAsia" w:hAnsiTheme="minorEastAsia" w:eastAsiaTheme="minorEastAsia"/>
          <w:color w:val="auto"/>
          <w:spacing w:val="2"/>
          <w:szCs w:val="21"/>
          <w:highlight w:val="none"/>
        </w:rPr>
        <w:t>询比文件获取方式：凡有意参与询比的潜在供应商，请按以下步骤顺序进行操作，获取询比文件</w:t>
      </w:r>
      <w:r>
        <w:rPr>
          <w:rFonts w:hint="eastAsia" w:asciiTheme="minorEastAsia" w:hAnsiTheme="minorEastAsia" w:eastAsiaTheme="minorEastAsia"/>
          <w:color w:val="auto"/>
          <w:highlight w:val="none"/>
        </w:rPr>
        <w:t>。</w:t>
      </w:r>
    </w:p>
    <w:p w14:paraId="3E30BC81">
      <w:pPr>
        <w:pStyle w:val="102"/>
        <w:tabs>
          <w:tab w:val="left" w:pos="993"/>
        </w:tabs>
        <w:wordWrap w:val="0"/>
        <w:adjustRightInd w:val="0"/>
        <w:snapToGrid w:val="0"/>
        <w:spacing w:line="440" w:lineRule="exact"/>
        <w:ind w:firstLine="424" w:firstLineChars="202"/>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4.2.1询比文件购买：登录湖北信通通信有限公司电子招标平台（https://hbzb.chinaccsscm.cn/）进行“供应商注册”（已完成注册的供应商可直接进入供应商登录），注册完成后进入“供应商登录”，点击“我要报名”，选择项目进行文件的购买。</w:t>
      </w:r>
      <w:r>
        <w:rPr>
          <w:rFonts w:hint="eastAsia" w:ascii="宋体" w:hAnsi="宋体"/>
          <w:b/>
          <w:bCs/>
          <w:spacing w:val="2"/>
          <w:szCs w:val="21"/>
        </w:rPr>
        <w:t>注册、文件购买联系人：石工：027-82417826。</w:t>
      </w:r>
    </w:p>
    <w:p w14:paraId="15099E94">
      <w:pPr>
        <w:pStyle w:val="102"/>
        <w:tabs>
          <w:tab w:val="left" w:pos="993"/>
        </w:tabs>
        <w:wordWrap w:val="0"/>
        <w:adjustRightInd w:val="0"/>
        <w:snapToGrid w:val="0"/>
        <w:spacing w:line="440" w:lineRule="exact"/>
        <w:ind w:firstLine="424" w:firstLineChars="202"/>
        <w:rPr>
          <w:rFonts w:asciiTheme="minorEastAsia" w:hAnsiTheme="minorEastAsia" w:eastAsiaTheme="minorEastAsia"/>
          <w:b/>
          <w:color w:val="auto"/>
          <w:szCs w:val="21"/>
          <w:highlight w:val="none"/>
        </w:rPr>
      </w:pPr>
      <w:r>
        <w:rPr>
          <w:rFonts w:hint="eastAsia" w:asciiTheme="minorEastAsia" w:hAnsiTheme="minorEastAsia" w:eastAsiaTheme="minorEastAsia"/>
          <w:color w:val="auto"/>
          <w:highlight w:val="none"/>
          <w:lang w:val="en-US" w:eastAsia="zh-CN"/>
        </w:rPr>
        <w:t>4.3</w:t>
      </w:r>
      <w:r>
        <w:rPr>
          <w:rFonts w:hint="eastAsia" w:asciiTheme="minorEastAsia" w:hAnsiTheme="minorEastAsia" w:eastAsiaTheme="minorEastAsia"/>
          <w:color w:val="auto"/>
          <w:spacing w:val="2"/>
          <w:szCs w:val="21"/>
          <w:highlight w:val="none"/>
        </w:rPr>
        <w:t>获取本询比文件不收取费用。</w:t>
      </w:r>
    </w:p>
    <w:p w14:paraId="6A6EB3D7">
      <w:pPr>
        <w:pStyle w:val="102"/>
        <w:adjustRightInd w:val="0"/>
        <w:snapToGrid w:val="0"/>
        <w:spacing w:line="440" w:lineRule="exact"/>
        <w:ind w:left="5" w:firstLine="0" w:firstLineChars="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5.响应文件的提交</w:t>
      </w:r>
    </w:p>
    <w:p w14:paraId="09EF39DA">
      <w:pPr>
        <w:pStyle w:val="102"/>
        <w:wordWrap w:val="0"/>
        <w:adjustRightInd w:val="0"/>
        <w:snapToGrid w:val="0"/>
        <w:spacing w:line="440" w:lineRule="exact"/>
        <w:ind w:left="426" w:firstLine="0"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5.1响应文件</w:t>
      </w:r>
      <w:r>
        <w:rPr>
          <w:rFonts w:hint="eastAsia" w:asciiTheme="minorEastAsia" w:hAnsiTheme="minorEastAsia" w:eastAsiaTheme="minorEastAsia"/>
          <w:color w:val="auto"/>
          <w:highlight w:val="none"/>
        </w:rPr>
        <w:t>提交截止时间</w:t>
      </w:r>
      <w:r>
        <w:rPr>
          <w:rFonts w:hint="eastAsia" w:asciiTheme="minorEastAsia" w:hAnsiTheme="minorEastAsia" w:eastAsiaTheme="minorEastAsia"/>
          <w:color w:val="auto"/>
          <w:szCs w:val="21"/>
          <w:highlight w:val="none"/>
        </w:rPr>
        <w:t>（即响应截止时间）：</w:t>
      </w:r>
      <w:r>
        <w:rPr>
          <w:rFonts w:hint="eastAsia" w:ascii="宋体" w:hAnsi="宋体"/>
          <w:b/>
          <w:color w:val="auto"/>
          <w:szCs w:val="21"/>
          <w:highlight w:val="none"/>
          <w:u w:val="single"/>
        </w:rPr>
        <w:t>202</w:t>
      </w:r>
      <w:r>
        <w:rPr>
          <w:rFonts w:hint="eastAsia" w:ascii="宋体" w:hAnsi="宋体"/>
          <w:b/>
          <w:color w:val="auto"/>
          <w:szCs w:val="21"/>
          <w:highlight w:val="none"/>
          <w:u w:val="single"/>
          <w:lang w:val="en-US" w:eastAsia="zh-CN"/>
        </w:rPr>
        <w:t>6</w:t>
      </w:r>
      <w:r>
        <w:rPr>
          <w:rFonts w:hint="eastAsia" w:ascii="宋体" w:hAnsi="宋体"/>
          <w:b/>
          <w:color w:val="auto"/>
          <w:szCs w:val="21"/>
          <w:highlight w:val="none"/>
          <w:u w:val="single"/>
        </w:rPr>
        <w:t>年</w:t>
      </w:r>
      <w:r>
        <w:rPr>
          <w:rFonts w:hint="eastAsia" w:ascii="宋体" w:hAnsi="宋体"/>
          <w:b/>
          <w:color w:val="auto"/>
          <w:szCs w:val="21"/>
          <w:highlight w:val="none"/>
          <w:u w:val="single"/>
          <w:lang w:val="en-US" w:eastAsia="zh-CN"/>
        </w:rPr>
        <w:t>5</w:t>
      </w:r>
      <w:r>
        <w:rPr>
          <w:rFonts w:hint="eastAsia" w:ascii="宋体" w:hAnsi="宋体"/>
          <w:b/>
          <w:color w:val="auto"/>
          <w:szCs w:val="21"/>
          <w:highlight w:val="none"/>
          <w:u w:val="single"/>
        </w:rPr>
        <w:t>月</w:t>
      </w:r>
      <w:r>
        <w:rPr>
          <w:rFonts w:hint="eastAsia" w:ascii="宋体" w:hAnsi="宋体"/>
          <w:b/>
          <w:color w:val="auto"/>
          <w:szCs w:val="21"/>
          <w:highlight w:val="none"/>
          <w:u w:val="single"/>
          <w:lang w:val="en-US" w:eastAsia="zh-CN"/>
        </w:rPr>
        <w:t>15</w:t>
      </w:r>
      <w:r>
        <w:rPr>
          <w:rFonts w:hint="eastAsia" w:ascii="宋体" w:hAnsi="宋体"/>
          <w:b/>
          <w:color w:val="auto"/>
          <w:szCs w:val="21"/>
          <w:highlight w:val="none"/>
          <w:u w:val="single"/>
        </w:rPr>
        <w:t>日</w:t>
      </w:r>
      <w:r>
        <w:rPr>
          <w:rFonts w:hint="eastAsia" w:ascii="宋体" w:hAnsi="宋体"/>
          <w:b/>
          <w:color w:val="auto"/>
          <w:szCs w:val="21"/>
          <w:highlight w:val="none"/>
          <w:u w:val="single"/>
          <w:lang w:val="en-US" w:eastAsia="zh-CN"/>
        </w:rPr>
        <w:t>09</w:t>
      </w:r>
      <w:r>
        <w:rPr>
          <w:rFonts w:hint="eastAsia" w:ascii="宋体" w:hAnsi="宋体"/>
          <w:b/>
          <w:color w:val="auto"/>
          <w:szCs w:val="21"/>
          <w:highlight w:val="none"/>
          <w:u w:val="single"/>
        </w:rPr>
        <w:t>时00分</w:t>
      </w:r>
      <w:r>
        <w:rPr>
          <w:rFonts w:hint="eastAsia" w:asciiTheme="minorEastAsia" w:hAnsiTheme="minorEastAsia" w:eastAsiaTheme="minorEastAsia"/>
          <w:color w:val="auto"/>
          <w:szCs w:val="21"/>
          <w:highlight w:val="none"/>
        </w:rPr>
        <w:t>。</w:t>
      </w:r>
    </w:p>
    <w:p w14:paraId="21E06121">
      <w:pPr>
        <w:wordWrap w:val="0"/>
        <w:adjustRightInd w:val="0"/>
        <w:snapToGrid w:val="0"/>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5.2纸质响应文件递交地点：湖北信通通信有限公司招标运营楼二楼202开标厅（武汉市江岸区惠济路10号）。</w:t>
      </w:r>
    </w:p>
    <w:p w14:paraId="119D627E">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5.3本项目将于响应文件提交截止同一时间开启响应文件，采购人邀请响应供应商的法定代表人或者其委托代理人准时参加。</w:t>
      </w:r>
    </w:p>
    <w:p w14:paraId="44E68C70">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5.4出现以下情形之一时，</w:t>
      </w:r>
      <w:r>
        <w:rPr>
          <w:rFonts w:hint="eastAsia" w:asciiTheme="minorEastAsia" w:hAnsiTheme="minorEastAsia" w:eastAsiaTheme="minorEastAsia"/>
          <w:color w:val="auto"/>
          <w:szCs w:val="21"/>
          <w:highlight w:val="none"/>
          <w:lang w:val="en-US" w:eastAsia="zh-CN"/>
        </w:rPr>
        <w:t>采购人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采购</w:t>
      </w:r>
      <w:r>
        <w:rPr>
          <w:rFonts w:hint="eastAsia" w:asciiTheme="minorEastAsia" w:hAnsiTheme="minorEastAsia" w:eastAsiaTheme="minorEastAsia"/>
          <w:color w:val="auto"/>
          <w:szCs w:val="21"/>
          <w:highlight w:val="none"/>
        </w:rPr>
        <w:t>代理机构不予接收</w:t>
      </w:r>
      <w:r>
        <w:rPr>
          <w:rFonts w:hint="eastAsia" w:asciiTheme="minorEastAsia" w:hAnsiTheme="minorEastAsia" w:eastAsiaTheme="minorEastAsia"/>
          <w:color w:val="auto"/>
          <w:szCs w:val="21"/>
          <w:highlight w:val="none"/>
          <w:lang w:val="en-US" w:eastAsia="zh-CN"/>
        </w:rPr>
        <w:t>响应</w:t>
      </w:r>
      <w:r>
        <w:rPr>
          <w:rFonts w:hint="eastAsia" w:asciiTheme="minorEastAsia" w:hAnsiTheme="minorEastAsia" w:eastAsiaTheme="minorEastAsia"/>
          <w:color w:val="auto"/>
          <w:szCs w:val="21"/>
          <w:highlight w:val="none"/>
        </w:rPr>
        <w:t>文件</w:t>
      </w:r>
    </w:p>
    <w:p w14:paraId="4B2564A9">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5.4.1纸质</w:t>
      </w:r>
      <w:r>
        <w:rPr>
          <w:rFonts w:hint="eastAsia" w:asciiTheme="minorEastAsia" w:hAnsiTheme="minorEastAsia" w:eastAsiaTheme="minorEastAsia"/>
          <w:color w:val="auto"/>
          <w:szCs w:val="21"/>
          <w:highlight w:val="none"/>
          <w:lang w:val="en-US" w:eastAsia="zh-CN"/>
        </w:rPr>
        <w:t>响应</w:t>
      </w:r>
      <w:r>
        <w:rPr>
          <w:rFonts w:hint="eastAsia" w:asciiTheme="minorEastAsia" w:hAnsiTheme="minorEastAsia" w:eastAsiaTheme="minorEastAsia"/>
          <w:color w:val="auto"/>
          <w:szCs w:val="21"/>
          <w:highlight w:val="none"/>
        </w:rPr>
        <w:t>文件逾期送达或者未送达指定地点的；</w:t>
      </w:r>
    </w:p>
    <w:p w14:paraId="272BBD9D">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5.4.2未按照</w:t>
      </w:r>
      <w:r>
        <w:rPr>
          <w:rFonts w:hint="eastAsia" w:asciiTheme="minorEastAsia" w:hAnsiTheme="minorEastAsia" w:eastAsiaTheme="minorEastAsia"/>
          <w:color w:val="auto"/>
          <w:szCs w:val="21"/>
          <w:highlight w:val="none"/>
          <w:lang w:val="en-US" w:eastAsia="zh-CN"/>
        </w:rPr>
        <w:t>询比</w:t>
      </w:r>
      <w:r>
        <w:rPr>
          <w:rFonts w:hint="eastAsia" w:asciiTheme="minorEastAsia" w:hAnsiTheme="minorEastAsia" w:eastAsiaTheme="minorEastAsia"/>
          <w:color w:val="auto"/>
          <w:szCs w:val="21"/>
          <w:highlight w:val="none"/>
        </w:rPr>
        <w:t>文件要求密封的；</w:t>
      </w:r>
    </w:p>
    <w:p w14:paraId="10E3A629">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5.4.3未按照本公告要求获得本项目</w:t>
      </w:r>
      <w:r>
        <w:rPr>
          <w:rFonts w:hint="eastAsia" w:asciiTheme="minorEastAsia" w:hAnsiTheme="minorEastAsia" w:eastAsiaTheme="minorEastAsia"/>
          <w:color w:val="auto"/>
          <w:szCs w:val="21"/>
          <w:highlight w:val="none"/>
          <w:lang w:val="en-US" w:eastAsia="zh-CN"/>
        </w:rPr>
        <w:t>询比</w:t>
      </w:r>
      <w:r>
        <w:rPr>
          <w:rFonts w:hint="eastAsia" w:asciiTheme="minorEastAsia" w:hAnsiTheme="minorEastAsia" w:eastAsiaTheme="minorEastAsia"/>
          <w:color w:val="auto"/>
          <w:szCs w:val="21"/>
          <w:highlight w:val="none"/>
        </w:rPr>
        <w:t>文件的</w:t>
      </w:r>
    </w:p>
    <w:p w14:paraId="232F112D">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40" w:lineRule="atLeast"/>
        <w:ind w:left="0" w:right="0" w:firstLine="0"/>
        <w:rPr>
          <w:rFonts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b/>
          <w:bCs/>
          <w:i w:val="0"/>
          <w:iCs w:val="0"/>
          <w:caps w:val="0"/>
          <w:color w:val="2B3642"/>
          <w:spacing w:val="0"/>
          <w:sz w:val="21"/>
          <w:szCs w:val="21"/>
          <w:shd w:val="clear" w:fill="FFFFFF"/>
        </w:rPr>
        <w:t>6.发布公告的媒介</w:t>
      </w:r>
    </w:p>
    <w:p w14:paraId="6AE77263">
      <w:pPr>
        <w:wordWrap w:val="0"/>
        <w:adjustRightInd w:val="0"/>
        <w:snapToGrid w:val="0"/>
        <w:spacing w:line="440" w:lineRule="exact"/>
        <w:ind w:firstLine="420" w:firstLineChars="200"/>
        <w:rPr>
          <w:rFonts w:hint="default"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本</w:t>
      </w:r>
      <w:r>
        <w:rPr>
          <w:rFonts w:hint="eastAsia" w:cs="Times New Roman" w:asciiTheme="minorEastAsia" w:hAnsiTheme="minorEastAsia" w:eastAsiaTheme="minorEastAsia"/>
          <w:color w:val="auto"/>
          <w:szCs w:val="21"/>
          <w:highlight w:val="none"/>
          <w:lang w:val="en-US" w:eastAsia="zh-CN"/>
        </w:rPr>
        <w:t>询比</w:t>
      </w:r>
      <w:r>
        <w:rPr>
          <w:rFonts w:hint="eastAsia" w:cs="Times New Roman" w:asciiTheme="minorEastAsia" w:hAnsiTheme="minorEastAsia" w:eastAsiaTheme="minorEastAsia"/>
          <w:color w:val="auto"/>
          <w:szCs w:val="21"/>
          <w:highlight w:val="none"/>
        </w:rPr>
        <w:t>公告在湖北信通通信有限公司电子招标系统（https://hbzb.chinaccsscm.cn/）上发布，其他媒介转载无效。</w:t>
      </w:r>
    </w:p>
    <w:p w14:paraId="6BE31BB0">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40" w:lineRule="atLeast"/>
        <w:ind w:left="0" w:right="0" w:firstLine="0"/>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b/>
          <w:bCs/>
          <w:i w:val="0"/>
          <w:iCs w:val="0"/>
          <w:caps w:val="0"/>
          <w:color w:val="2B3642"/>
          <w:spacing w:val="0"/>
          <w:sz w:val="21"/>
          <w:szCs w:val="21"/>
          <w:shd w:val="clear" w:fill="FFFFFF"/>
        </w:rPr>
        <w:t>7.联系方式</w:t>
      </w:r>
    </w:p>
    <w:p w14:paraId="266ECD42">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lang w:val="en-US" w:eastAsia="zh-CN"/>
        </w:rPr>
        <w:t>采购</w:t>
      </w:r>
      <w:r>
        <w:rPr>
          <w:rFonts w:hint="eastAsia" w:ascii="宋体" w:hAnsi="宋体" w:eastAsia="宋体" w:cs="宋体"/>
          <w:i w:val="0"/>
          <w:iCs w:val="0"/>
          <w:caps w:val="0"/>
          <w:color w:val="2B3642"/>
          <w:spacing w:val="0"/>
          <w:sz w:val="21"/>
          <w:szCs w:val="21"/>
          <w:shd w:val="clear" w:fill="FFFFFF"/>
        </w:rPr>
        <w:t>人：湖北信通通信有限公司</w:t>
      </w:r>
    </w:p>
    <w:p w14:paraId="407EB868">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地址：湖北省武汉市江岸区惠济路10号</w:t>
      </w:r>
    </w:p>
    <w:p w14:paraId="33A9EF04">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邮编：430010</w:t>
      </w:r>
    </w:p>
    <w:p w14:paraId="71652AEF">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项目咨询人：</w:t>
      </w:r>
      <w:r>
        <w:rPr>
          <w:rFonts w:hint="eastAsia" w:ascii="宋体" w:hAnsi="宋体" w:eastAsia="宋体" w:cs="宋体"/>
          <w:i w:val="0"/>
          <w:iCs w:val="0"/>
          <w:caps w:val="0"/>
          <w:color w:val="2B3642"/>
          <w:spacing w:val="0"/>
          <w:sz w:val="21"/>
          <w:szCs w:val="21"/>
          <w:shd w:val="clear" w:fill="FFFFFF"/>
          <w:lang w:val="en-US" w:eastAsia="zh-CN"/>
        </w:rPr>
        <w:t>李雪源</w:t>
      </w:r>
      <w:r>
        <w:rPr>
          <w:rFonts w:hint="eastAsia" w:ascii="宋体" w:hAnsi="宋体" w:eastAsia="宋体" w:cs="宋体"/>
          <w:i w:val="0"/>
          <w:iCs w:val="0"/>
          <w:caps w:val="0"/>
          <w:color w:val="2B3642"/>
          <w:spacing w:val="0"/>
          <w:sz w:val="21"/>
          <w:szCs w:val="21"/>
          <w:shd w:val="clear" w:fill="FFFFFF"/>
        </w:rPr>
        <w:t>、郭欢欢、林剑萍</w:t>
      </w:r>
    </w:p>
    <w:p w14:paraId="66C5D730">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宋体" w:cs="Microsoft Yahei Font"/>
          <w:i w:val="0"/>
          <w:iCs w:val="0"/>
          <w:caps w:val="0"/>
          <w:color w:val="2B3642"/>
          <w:spacing w:val="0"/>
          <w:sz w:val="24"/>
          <w:szCs w:val="24"/>
          <w:lang w:val="en-US" w:eastAsia="zh-CN"/>
        </w:rPr>
      </w:pPr>
      <w:r>
        <w:rPr>
          <w:rFonts w:hint="eastAsia" w:ascii="宋体" w:hAnsi="宋体" w:eastAsia="宋体" w:cs="宋体"/>
          <w:i w:val="0"/>
          <w:iCs w:val="0"/>
          <w:caps w:val="0"/>
          <w:color w:val="2B3642"/>
          <w:spacing w:val="0"/>
          <w:sz w:val="21"/>
          <w:szCs w:val="21"/>
          <w:shd w:val="clear" w:fill="FFFFFF"/>
        </w:rPr>
        <w:t>电话：</w:t>
      </w:r>
      <w:r>
        <w:rPr>
          <w:rFonts w:hint="eastAsia" w:ascii="宋体" w:hAnsi="宋体" w:eastAsia="宋体" w:cs="宋体"/>
          <w:i w:val="0"/>
          <w:iCs w:val="0"/>
          <w:caps w:val="0"/>
          <w:color w:val="2B3642"/>
          <w:spacing w:val="0"/>
          <w:sz w:val="21"/>
          <w:szCs w:val="21"/>
          <w:shd w:val="clear" w:fill="FFFFFF"/>
          <w:lang w:val="en-US" w:eastAsia="zh-CN"/>
        </w:rPr>
        <w:t>18942916676</w:t>
      </w:r>
    </w:p>
    <w:p w14:paraId="76DECD43">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电子邮件：lixueyuan@chinaccs.cn</w:t>
      </w:r>
    </w:p>
    <w:p w14:paraId="5486E1E5">
      <w:pPr>
        <w:pStyle w:val="102"/>
        <w:spacing w:line="400" w:lineRule="exact"/>
        <w:ind w:firstLine="3920" w:firstLineChars="1867"/>
        <w:rPr>
          <w:rFonts w:asciiTheme="minorEastAsia" w:hAnsiTheme="minorEastAsia" w:eastAsiaTheme="minorEastAsia"/>
          <w:color w:val="auto"/>
          <w:szCs w:val="21"/>
          <w:highlight w:val="none"/>
        </w:rPr>
      </w:pPr>
    </w:p>
    <w:p w14:paraId="3ADB5A34">
      <w:pPr>
        <w:pStyle w:val="102"/>
        <w:spacing w:line="400" w:lineRule="exact"/>
        <w:ind w:right="420" w:firstLine="5600" w:firstLineChars="2667"/>
        <w:rPr>
          <w:color w:val="auto"/>
          <w:highlight w:val="none"/>
        </w:rPr>
        <w:sectPr>
          <w:headerReference r:id="rId5" w:type="first"/>
          <w:headerReference r:id="rId3" w:type="default"/>
          <w:footerReference r:id="rId6" w:type="default"/>
          <w:headerReference r:id="rId4" w:type="even"/>
          <w:pgSz w:w="11906" w:h="16838"/>
          <w:pgMar w:top="1440" w:right="1800" w:bottom="1440" w:left="1800" w:header="851" w:footer="992" w:gutter="0"/>
          <w:pgNumType w:start="1"/>
          <w:cols w:space="425" w:num="1"/>
          <w:docGrid w:type="lines" w:linePitch="312" w:charSpace="0"/>
        </w:sectPr>
      </w:pPr>
      <w:bookmarkStart w:id="12" w:name="_Toc26479"/>
      <w:bookmarkStart w:id="13" w:name="_Toc7149"/>
      <w:bookmarkStart w:id="14" w:name="_Toc447265214"/>
      <w:bookmarkStart w:id="15" w:name="_Toc447265500"/>
      <w:bookmarkStart w:id="16" w:name="_Toc447188665"/>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w:t>
      </w:r>
      <w:r>
        <w:rPr>
          <w:rFonts w:hint="eastAsia" w:ascii="宋体" w:hAnsi="宋体" w:cs="宋体" w:eastAsiaTheme="minorEastAsia"/>
          <w:color w:val="auto"/>
          <w:szCs w:val="21"/>
          <w:highlight w:val="none"/>
          <w:lang w:val="en-US" w:eastAsia="zh-CN"/>
        </w:rPr>
        <w:t>5</w:t>
      </w:r>
      <w:r>
        <w:rPr>
          <w:rFonts w:hint="eastAsia" w:ascii="宋体" w:hAnsi="宋体" w:cs="宋体"/>
          <w:color w:val="auto"/>
          <w:szCs w:val="21"/>
          <w:highlight w:val="none"/>
        </w:rPr>
        <w:t>月</w:t>
      </w:r>
      <w:r>
        <w:rPr>
          <w:rFonts w:hint="eastAsia" w:ascii="宋体" w:hAnsi="宋体" w:cs="宋体" w:eastAsiaTheme="minorEastAsia"/>
          <w:color w:val="auto"/>
          <w:szCs w:val="21"/>
          <w:highlight w:val="none"/>
          <w:lang w:val="en-US" w:eastAsia="zh-CN"/>
        </w:rPr>
        <w:t>07</w:t>
      </w:r>
      <w:r>
        <w:rPr>
          <w:rFonts w:hint="eastAsia" w:ascii="宋体" w:hAnsi="宋体" w:cs="宋体"/>
          <w:color w:val="auto"/>
          <w:szCs w:val="21"/>
          <w:highlight w:val="none"/>
        </w:rPr>
        <w:t>日</w:t>
      </w:r>
    </w:p>
    <w:p w14:paraId="38039D0A">
      <w:pPr>
        <w:pStyle w:val="101"/>
        <w:spacing w:before="240" w:after="120"/>
        <w:rPr>
          <w:rFonts w:cs="宋体" w:asciiTheme="minorEastAsia" w:hAnsiTheme="minorEastAsia" w:eastAsiaTheme="minorEastAsia"/>
          <w:b/>
          <w:color w:val="auto"/>
          <w:sz w:val="28"/>
          <w:szCs w:val="28"/>
          <w:highlight w:val="none"/>
        </w:rPr>
      </w:pPr>
      <w:r>
        <w:rPr>
          <w:rFonts w:hint="eastAsia" w:cs="宋体" w:asciiTheme="minorEastAsia" w:hAnsiTheme="minorEastAsia" w:eastAsiaTheme="minorEastAsia"/>
          <w:b/>
          <w:bCs w:val="0"/>
          <w:color w:val="auto"/>
          <w:kern w:val="0"/>
          <w:sz w:val="28"/>
          <w:szCs w:val="28"/>
          <w:highlight w:val="none"/>
        </w:rPr>
        <w:t>第二章</w:t>
      </w:r>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rPr>
        <w:t>供应商须知</w:t>
      </w:r>
      <w:bookmarkEnd w:id="12"/>
      <w:bookmarkEnd w:id="13"/>
      <w:bookmarkEnd w:id="14"/>
      <w:bookmarkEnd w:id="15"/>
      <w:bookmarkEnd w:id="16"/>
    </w:p>
    <w:p w14:paraId="0B3A820D">
      <w:pPr>
        <w:pStyle w:val="3"/>
        <w:snapToGrid w:val="0"/>
        <w:spacing w:before="240" w:after="120" w:line="240" w:lineRule="auto"/>
        <w:jc w:val="center"/>
        <w:rPr>
          <w:rFonts w:cs="宋体" w:asciiTheme="minorEastAsia" w:hAnsiTheme="minorEastAsia" w:eastAsiaTheme="minorEastAsia"/>
          <w:color w:val="auto"/>
          <w:sz w:val="24"/>
          <w:szCs w:val="24"/>
          <w:highlight w:val="none"/>
        </w:rPr>
      </w:pPr>
      <w:bookmarkStart w:id="17" w:name="_Toc447265215"/>
      <w:bookmarkStart w:id="18" w:name="_Toc15557"/>
      <w:bookmarkStart w:id="19" w:name="_Toc227057884"/>
      <w:bookmarkStart w:id="20" w:name="_Toc447188666"/>
      <w:bookmarkStart w:id="21" w:name="_Toc447265501"/>
      <w:bookmarkStart w:id="22" w:name="_Toc25847"/>
      <w:bookmarkStart w:id="23" w:name="_Toc226969277"/>
      <w:bookmarkStart w:id="24" w:name="_Toc447188667"/>
      <w:bookmarkStart w:id="25" w:name="_Toc447265502"/>
      <w:bookmarkStart w:id="26" w:name="_Toc447265216"/>
      <w:bookmarkStart w:id="27" w:name="_Toc227057885"/>
      <w:bookmarkStart w:id="28" w:name="_Toc226969278"/>
      <w:bookmarkStart w:id="29" w:name="_Toc107822484"/>
      <w:bookmarkStart w:id="30" w:name="_Toc488655831"/>
      <w:r>
        <w:rPr>
          <w:rFonts w:hint="eastAsia" w:cs="宋体" w:asciiTheme="minorEastAsia" w:hAnsiTheme="minorEastAsia" w:eastAsiaTheme="minorEastAsia"/>
          <w:color w:val="auto"/>
          <w:sz w:val="24"/>
          <w:szCs w:val="24"/>
          <w:highlight w:val="none"/>
        </w:rPr>
        <w:t>供应商须知前附表</w:t>
      </w:r>
      <w:bookmarkEnd w:id="17"/>
      <w:bookmarkEnd w:id="18"/>
      <w:bookmarkEnd w:id="19"/>
      <w:bookmarkEnd w:id="20"/>
      <w:bookmarkEnd w:id="21"/>
      <w:bookmarkEnd w:id="22"/>
      <w:bookmarkEnd w:id="23"/>
    </w:p>
    <w:p w14:paraId="145A8EF3">
      <w:pPr>
        <w:autoSpaceDE w:val="0"/>
        <w:autoSpaceDN w:val="0"/>
        <w:ind w:firstLine="422" w:firstLineChars="200"/>
        <w:rPr>
          <w:rFonts w:cs="宋体" w:asciiTheme="minorEastAsia" w:hAnsiTheme="minorEastAsia" w:eastAsiaTheme="minorEastAsia"/>
          <w:color w:val="auto"/>
          <w:highlight w:val="none"/>
        </w:rPr>
      </w:pPr>
      <w:r>
        <w:rPr>
          <w:rFonts w:hint="eastAsia" w:cs="宋体" w:asciiTheme="minorEastAsia" w:hAnsiTheme="minorEastAsia" w:eastAsiaTheme="minorEastAsia"/>
          <w:b/>
          <w:bCs/>
          <w:color w:val="auto"/>
          <w:szCs w:val="21"/>
          <w:highlight w:val="none"/>
        </w:rPr>
        <w:t>本供应商须知前附表是对供应商须知正文的具体补充和修改，如有矛盾，以本前附表为准。</w:t>
      </w:r>
    </w:p>
    <w:tbl>
      <w:tblPr>
        <w:tblStyle w:val="78"/>
        <w:tblW w:w="8301"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666"/>
        <w:gridCol w:w="5795"/>
      </w:tblGrid>
      <w:tr w14:paraId="2C84FE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blHeader/>
        </w:trPr>
        <w:tc>
          <w:tcPr>
            <w:tcW w:w="840" w:type="dxa"/>
            <w:vAlign w:val="center"/>
          </w:tcPr>
          <w:p w14:paraId="4A5C5B0C">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条款号</w:t>
            </w:r>
          </w:p>
        </w:tc>
        <w:tc>
          <w:tcPr>
            <w:tcW w:w="1666" w:type="dxa"/>
            <w:vAlign w:val="center"/>
          </w:tcPr>
          <w:p w14:paraId="0DB6A378">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条款名称</w:t>
            </w:r>
          </w:p>
        </w:tc>
        <w:tc>
          <w:tcPr>
            <w:tcW w:w="5795" w:type="dxa"/>
            <w:vAlign w:val="center"/>
          </w:tcPr>
          <w:p w14:paraId="32641383">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编列内容</w:t>
            </w:r>
          </w:p>
        </w:tc>
      </w:tr>
      <w:tr w14:paraId="79855A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19FCD68A">
            <w:pPr>
              <w:autoSpaceDE w:val="0"/>
              <w:autoSpaceDN w:val="0"/>
              <w:jc w:val="center"/>
              <w:rPr>
                <w:rFonts w:hint="eastAsia" w:cs="宋体" w:asciiTheme="minorEastAsia" w:hAnsiTheme="minorEastAsia" w:eastAsiaTheme="minorEastAsia"/>
                <w:color w:val="auto"/>
                <w:szCs w:val="21"/>
                <w:highlight w:val="none"/>
                <w:lang w:eastAsia="zh-CN"/>
              </w:rPr>
            </w:pP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1</w:t>
            </w:r>
          </w:p>
        </w:tc>
        <w:tc>
          <w:tcPr>
            <w:tcW w:w="1666" w:type="dxa"/>
            <w:vAlign w:val="center"/>
          </w:tcPr>
          <w:p w14:paraId="5AA1D8B8">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w:t>
            </w:r>
          </w:p>
        </w:tc>
        <w:tc>
          <w:tcPr>
            <w:tcW w:w="5795" w:type="dxa"/>
            <w:vAlign w:val="center"/>
          </w:tcPr>
          <w:p w14:paraId="48989FC0">
            <w:pPr>
              <w:pStyle w:val="135"/>
              <w:spacing w:line="400" w:lineRule="exact"/>
              <w:ind w:firstLine="0" w:firstLineChars="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单位名称：</w:t>
            </w:r>
            <w:r>
              <w:rPr>
                <w:rFonts w:hint="eastAsia" w:ascii="宋体" w:hAnsi="宋体"/>
                <w:color w:val="auto"/>
                <w:highlight w:val="none"/>
                <w:lang w:eastAsia="zh-CN"/>
              </w:rPr>
              <w:t>湖北信通通信有限公司</w:t>
            </w:r>
          </w:p>
          <w:p w14:paraId="35CA3E00">
            <w:pPr>
              <w:autoSpaceDE w:val="0"/>
              <w:autoSpaceDN w:val="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联系方式：/</w:t>
            </w:r>
          </w:p>
        </w:tc>
      </w:tr>
      <w:tr w14:paraId="5F87101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2068DBA3">
            <w:pPr>
              <w:autoSpaceDE w:val="0"/>
              <w:autoSpaceDN w:val="0"/>
              <w:jc w:val="center"/>
              <w:rPr>
                <w:rFonts w:hint="eastAsia" w:cs="宋体" w:asciiTheme="minorEastAsia" w:hAnsiTheme="minorEastAsia" w:eastAsiaTheme="minorEastAsia"/>
                <w:color w:val="auto"/>
                <w:szCs w:val="21"/>
                <w:highlight w:val="none"/>
                <w:lang w:eastAsia="zh-CN"/>
              </w:rPr>
            </w:pP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27F7640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项目名称</w:t>
            </w:r>
          </w:p>
        </w:tc>
        <w:tc>
          <w:tcPr>
            <w:tcW w:w="5795" w:type="dxa"/>
            <w:vAlign w:val="center"/>
          </w:tcPr>
          <w:p w14:paraId="79B663BF">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项目名称：</w:t>
            </w:r>
            <w:r>
              <w:rPr>
                <w:rFonts w:hint="eastAsia" w:asciiTheme="minorEastAsia" w:hAnsiTheme="minorEastAsia" w:eastAsiaTheme="minorEastAsia"/>
                <w:color w:val="auto"/>
                <w:highlight w:val="none"/>
                <w:u w:val="single"/>
                <w:lang w:eastAsia="zh-CN"/>
              </w:rPr>
              <w:t>湖北信通通信有限公司2026-2028年荆州零星搬运服务项目</w:t>
            </w:r>
          </w:p>
          <w:p w14:paraId="7C0CE33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项目编号：</w:t>
            </w:r>
            <w:r>
              <w:rPr>
                <w:rFonts w:hint="eastAsia" w:asciiTheme="minorEastAsia" w:hAnsiTheme="minorEastAsia" w:eastAsiaTheme="minorEastAsia"/>
                <w:color w:val="auto"/>
                <w:highlight w:val="none"/>
                <w:u w:val="single"/>
                <w:lang w:eastAsia="zh-CN"/>
              </w:rPr>
              <w:t>HBXT-2026-11480</w:t>
            </w:r>
          </w:p>
        </w:tc>
      </w:tr>
      <w:tr w14:paraId="5C5BFE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51A4C7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1.3</w:t>
            </w:r>
          </w:p>
        </w:tc>
        <w:tc>
          <w:tcPr>
            <w:tcW w:w="1666" w:type="dxa"/>
            <w:vAlign w:val="center"/>
          </w:tcPr>
          <w:p w14:paraId="25C06DB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采购范围</w:t>
            </w:r>
          </w:p>
        </w:tc>
        <w:tc>
          <w:tcPr>
            <w:tcW w:w="5795" w:type="dxa"/>
            <w:vAlign w:val="center"/>
          </w:tcPr>
          <w:p w14:paraId="2860B304">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详见第一章 询比公告 “1.项目概况与采购内容”。</w:t>
            </w:r>
          </w:p>
        </w:tc>
      </w:tr>
      <w:tr w14:paraId="2856BA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0E989B72">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1.4</w:t>
            </w:r>
          </w:p>
        </w:tc>
        <w:tc>
          <w:tcPr>
            <w:tcW w:w="1666" w:type="dxa"/>
            <w:vAlign w:val="center"/>
          </w:tcPr>
          <w:p w14:paraId="0EF2463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标包划分</w:t>
            </w:r>
          </w:p>
        </w:tc>
        <w:tc>
          <w:tcPr>
            <w:tcW w:w="5795" w:type="dxa"/>
            <w:vAlign w:val="center"/>
          </w:tcPr>
          <w:p w14:paraId="65975D20">
            <w:pPr>
              <w:autoSpaceDE w:val="0"/>
              <w:autoSpaceDN w:val="0"/>
              <w:rPr>
                <w:rFonts w:asciiTheme="minorEastAsia" w:hAnsiTheme="minorEastAsia" w:eastAsiaTheme="minorEastAsia"/>
                <w:color w:val="auto"/>
                <w:highlight w:val="none"/>
              </w:rPr>
            </w:pPr>
            <w:r>
              <w:rPr>
                <w:rFonts w:hint="eastAsia" w:ascii="MS Gothic" w:hAnsi="MS Gothic" w:eastAsia="宋体" w:cs="MS Gothic"/>
                <w:color w:val="auto"/>
                <w:szCs w:val="21"/>
                <w:highlight w:val="none"/>
                <w:lang w:eastAsia="zh-CN"/>
              </w:rPr>
              <w:t>☑</w:t>
            </w:r>
            <w:r>
              <w:rPr>
                <w:rFonts w:hint="eastAsia" w:cs="宋体" w:asciiTheme="minorEastAsia" w:hAnsiTheme="minorEastAsia" w:eastAsiaTheme="minorEastAsia"/>
                <w:color w:val="auto"/>
                <w:szCs w:val="21"/>
                <w:highlight w:val="none"/>
              </w:rPr>
              <w:t>不划分标包</w:t>
            </w:r>
          </w:p>
          <w:p w14:paraId="712983D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eastAsia="zh-CN"/>
              </w:rPr>
              <w:t>□</w:t>
            </w:r>
            <w:r>
              <w:rPr>
                <w:rFonts w:hint="eastAsia" w:cs="宋体" w:asciiTheme="minorEastAsia" w:hAnsiTheme="minorEastAsia" w:eastAsiaTheme="minorEastAsia"/>
                <w:color w:val="auto"/>
                <w:szCs w:val="21"/>
                <w:highlight w:val="none"/>
              </w:rPr>
              <w:t>划分</w:t>
            </w:r>
            <w:r>
              <w:rPr>
                <w:rFonts w:hint="eastAsia" w:asciiTheme="minorEastAsia" w:hAnsiTheme="minorEastAsia" w:eastAsiaTheme="minorEastAsia"/>
                <w:color w:val="auto"/>
                <w:highlight w:val="none"/>
              </w:rPr>
              <w:t>标包【标包划分情况详见</w:t>
            </w:r>
            <w:r>
              <w:rPr>
                <w:rFonts w:hint="eastAsia" w:asciiTheme="minorEastAsia" w:hAnsiTheme="minorEastAsia" w:eastAsiaTheme="minorEastAsia"/>
                <w:color w:val="auto"/>
                <w:szCs w:val="21"/>
                <w:highlight w:val="none"/>
              </w:rPr>
              <w:t>第一章【询比公告】“1.项目概况与采购内容”。</w:t>
            </w:r>
            <w:r>
              <w:rPr>
                <w:rFonts w:hint="eastAsia" w:asciiTheme="minorEastAsia" w:hAnsiTheme="minorEastAsia" w:eastAsiaTheme="minorEastAsia"/>
                <w:color w:val="auto"/>
                <w:highlight w:val="none"/>
              </w:rPr>
              <w:t>】</w:t>
            </w:r>
          </w:p>
        </w:tc>
      </w:tr>
      <w:tr w14:paraId="30ED29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B3630E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02CC982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询比方式</w:t>
            </w:r>
          </w:p>
        </w:tc>
        <w:tc>
          <w:tcPr>
            <w:tcW w:w="5795" w:type="dxa"/>
            <w:vAlign w:val="center"/>
          </w:tcPr>
          <w:p w14:paraId="7CE7BB90">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公开询比</w:t>
            </w:r>
            <w:bookmarkStart w:id="817" w:name="_GoBack"/>
            <w:bookmarkEnd w:id="817"/>
          </w:p>
          <w:p w14:paraId="469F2DD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□邀请询比</w:t>
            </w:r>
          </w:p>
        </w:tc>
      </w:tr>
      <w:tr w14:paraId="3A1187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2F18347">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731A2AD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询比组织形式</w:t>
            </w:r>
          </w:p>
        </w:tc>
        <w:tc>
          <w:tcPr>
            <w:tcW w:w="5795" w:type="dxa"/>
            <w:vAlign w:val="center"/>
          </w:tcPr>
          <w:p w14:paraId="13BF21E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eastAsia="zh-CN"/>
              </w:rPr>
              <w:t>☑</w:t>
            </w:r>
            <w:r>
              <w:rPr>
                <w:rFonts w:hint="eastAsia" w:cs="宋体" w:asciiTheme="minorEastAsia" w:hAnsiTheme="minorEastAsia" w:eastAsiaTheme="minorEastAsia"/>
                <w:color w:val="auto"/>
                <w:szCs w:val="21"/>
                <w:highlight w:val="none"/>
              </w:rPr>
              <w:t>自行询比</w:t>
            </w:r>
          </w:p>
          <w:p w14:paraId="4B404D31">
            <w:pPr>
              <w:autoSpaceDE w:val="0"/>
              <w:autoSpaceDN w:val="0"/>
              <w:rPr>
                <w:rFonts w:hint="eastAsia" w:cs="宋体" w:asciiTheme="minorEastAsia" w:hAnsiTheme="minorEastAsia" w:eastAsiaTheme="minorEastAsia"/>
                <w:color w:val="auto"/>
                <w:szCs w:val="21"/>
                <w:highlight w:val="none"/>
                <w:lang w:eastAsia="zh-CN"/>
              </w:rPr>
            </w:pPr>
            <w:r>
              <w:rPr>
                <w:rFonts w:hint="eastAsia" w:ascii="MS Gothic" w:hAnsi="MS Gothic" w:eastAsia="宋体" w:cs="MS Gothic"/>
                <w:color w:val="auto"/>
                <w:szCs w:val="21"/>
                <w:highlight w:val="none"/>
                <w:lang w:eastAsia="zh-CN"/>
              </w:rPr>
              <w:t>□</w:t>
            </w:r>
            <w:r>
              <w:rPr>
                <w:rFonts w:hint="eastAsia" w:cs="宋体" w:asciiTheme="minorEastAsia" w:hAnsiTheme="minorEastAsia" w:eastAsiaTheme="minorEastAsia"/>
                <w:color w:val="auto"/>
                <w:szCs w:val="21"/>
                <w:highlight w:val="none"/>
              </w:rPr>
              <w:t>委托采购代理机构代理询比</w:t>
            </w:r>
          </w:p>
        </w:tc>
      </w:tr>
      <w:tr w14:paraId="5E0866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2B6E652">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5</w:t>
            </w:r>
          </w:p>
        </w:tc>
        <w:tc>
          <w:tcPr>
            <w:tcW w:w="1666" w:type="dxa"/>
            <w:vAlign w:val="center"/>
          </w:tcPr>
          <w:p w14:paraId="13E604D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资格审查方式</w:t>
            </w:r>
          </w:p>
        </w:tc>
        <w:tc>
          <w:tcPr>
            <w:tcW w:w="5795" w:type="dxa"/>
            <w:vAlign w:val="center"/>
          </w:tcPr>
          <w:p w14:paraId="78EFF5F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□资格预审，本项目已完成资格预审。</w:t>
            </w:r>
          </w:p>
          <w:p w14:paraId="3B635E12">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cs="宋体" w:asciiTheme="minorEastAsia" w:hAnsiTheme="minorEastAsia" w:eastAsiaTheme="minorEastAsia"/>
                <w:color w:val="auto"/>
                <w:szCs w:val="21"/>
                <w:highlight w:val="none"/>
              </w:rPr>
              <w:t>资格后审</w:t>
            </w:r>
            <w:r>
              <w:rPr>
                <w:rFonts w:hint="eastAsia" w:cs="宋体" w:asciiTheme="minorEastAsia" w:hAnsiTheme="minorEastAsia" w:eastAsiaTheme="minorEastAsia"/>
                <w:color w:val="auto"/>
                <w:szCs w:val="21"/>
                <w:highlight w:val="none"/>
              </w:rPr>
              <w:t>，资格条件详见第一章 询比公告“2.供应商资格</w:t>
            </w:r>
            <w:r>
              <w:rPr>
                <w:rFonts w:hint="eastAsia" w:cs="宋体" w:asciiTheme="minorEastAsia" w:hAnsiTheme="minorEastAsia" w:eastAsiaTheme="minorEastAsia"/>
                <w:color w:val="auto"/>
                <w:szCs w:val="21"/>
                <w:highlight w:val="none"/>
                <w:lang w:val="en-US" w:eastAsia="zh-CN"/>
              </w:rPr>
              <w:t>要求</w:t>
            </w:r>
            <w:r>
              <w:rPr>
                <w:rFonts w:hint="eastAsia" w:cs="宋体" w:asciiTheme="minorEastAsia" w:hAnsiTheme="minorEastAsia" w:eastAsiaTheme="minorEastAsia"/>
                <w:color w:val="auto"/>
                <w:szCs w:val="21"/>
                <w:highlight w:val="none"/>
              </w:rPr>
              <w:t>”。</w:t>
            </w:r>
          </w:p>
        </w:tc>
      </w:tr>
      <w:tr w14:paraId="21489A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1340448">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6</w:t>
            </w:r>
          </w:p>
        </w:tc>
        <w:tc>
          <w:tcPr>
            <w:tcW w:w="1666" w:type="dxa"/>
            <w:vAlign w:val="center"/>
          </w:tcPr>
          <w:p w14:paraId="58792C1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供应商不得存在的情形</w:t>
            </w:r>
          </w:p>
        </w:tc>
        <w:tc>
          <w:tcPr>
            <w:tcW w:w="5795" w:type="dxa"/>
            <w:vAlign w:val="center"/>
          </w:tcPr>
          <w:p w14:paraId="49780DC4">
            <w:pPr>
              <w:tabs>
                <w:tab w:val="left" w:pos="585"/>
              </w:tabs>
              <w:ind w:left="18"/>
              <w:rPr>
                <w:rFonts w:asciiTheme="minorEastAsia" w:hAnsiTheme="minorEastAsia" w:eastAsiaTheme="minorEastAsia"/>
                <w:color w:val="auto"/>
                <w:szCs w:val="21"/>
                <w:highlight w:val="none"/>
              </w:rPr>
            </w:pPr>
            <w:r>
              <w:rPr>
                <w:rFonts w:hint="eastAsia" w:ascii="宋体" w:hAnsi="宋体" w:cs="宋体"/>
                <w:color w:val="auto"/>
                <w:highlight w:val="none"/>
              </w:rPr>
              <w:t>详见第一章 询比公告</w:t>
            </w:r>
          </w:p>
        </w:tc>
      </w:tr>
      <w:tr w14:paraId="04654B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8C73FD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2.1.1</w:t>
            </w:r>
          </w:p>
        </w:tc>
        <w:tc>
          <w:tcPr>
            <w:tcW w:w="1666" w:type="dxa"/>
            <w:vAlign w:val="center"/>
          </w:tcPr>
          <w:p w14:paraId="7FC4A1C7">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询比文件的组成</w:t>
            </w:r>
          </w:p>
        </w:tc>
        <w:tc>
          <w:tcPr>
            <w:tcW w:w="5795" w:type="dxa"/>
            <w:vAlign w:val="center"/>
          </w:tcPr>
          <w:p w14:paraId="1AABA0A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本条款替换为：</w:t>
            </w:r>
          </w:p>
          <w:p w14:paraId="4B975E84">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第一章 询比公告</w:t>
            </w:r>
          </w:p>
          <w:p w14:paraId="54762980">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第二章 供应商须知</w:t>
            </w:r>
          </w:p>
          <w:p w14:paraId="0B28EE0E">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第三章 评审办法</w:t>
            </w:r>
          </w:p>
          <w:p w14:paraId="72860EAA">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第四章 商务规范书[即合同文本]</w:t>
            </w:r>
          </w:p>
          <w:p w14:paraId="218E65C2">
            <w:pPr>
              <w:tabs>
                <w:tab w:val="left" w:pos="799"/>
              </w:tabs>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第五章 技术规范书</w:t>
            </w:r>
          </w:p>
          <w:p w14:paraId="40A6E1F0">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w:t>
            </w:r>
            <w:r>
              <w:rPr>
                <w:rFonts w:hint="eastAsia" w:cs="宋体" w:asciiTheme="minorEastAsia" w:hAnsiTheme="minorEastAsia" w:eastAsiaTheme="minorEastAsia"/>
                <w:color w:val="auto"/>
                <w:szCs w:val="21"/>
                <w:highlight w:val="none"/>
                <w:lang w:val="en-US" w:eastAsia="zh-CN"/>
              </w:rPr>
              <w:t>六</w:t>
            </w:r>
            <w:r>
              <w:rPr>
                <w:rFonts w:hint="eastAsia" w:cs="宋体" w:asciiTheme="minorEastAsia" w:hAnsiTheme="minorEastAsia" w:eastAsiaTheme="minorEastAsia"/>
                <w:color w:val="auto"/>
                <w:szCs w:val="21"/>
                <w:highlight w:val="none"/>
              </w:rPr>
              <w:t xml:space="preserve">章 </w:t>
            </w:r>
            <w:r>
              <w:rPr>
                <w:rFonts w:hint="eastAsia" w:asciiTheme="minorEastAsia" w:hAnsiTheme="minorEastAsia" w:eastAsiaTheme="minorEastAsia"/>
                <w:color w:val="auto"/>
                <w:szCs w:val="21"/>
                <w:highlight w:val="none"/>
              </w:rPr>
              <w:t>响应</w:t>
            </w:r>
            <w:r>
              <w:rPr>
                <w:rFonts w:hint="eastAsia" w:cs="宋体" w:asciiTheme="minorEastAsia" w:hAnsiTheme="minorEastAsia" w:eastAsiaTheme="minorEastAsia"/>
                <w:color w:val="auto"/>
                <w:szCs w:val="21"/>
                <w:highlight w:val="none"/>
              </w:rPr>
              <w:t>文件格式</w:t>
            </w:r>
          </w:p>
          <w:p w14:paraId="10D67BB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w:t>
            </w:r>
            <w:r>
              <w:rPr>
                <w:rFonts w:hint="eastAsia" w:cs="宋体" w:asciiTheme="minorEastAsia" w:hAnsiTheme="minorEastAsia" w:eastAsiaTheme="minorEastAsia"/>
                <w:color w:val="auto"/>
                <w:szCs w:val="21"/>
                <w:highlight w:val="none"/>
                <w:lang w:val="en-US" w:eastAsia="zh-CN"/>
              </w:rPr>
              <w:t>七</w:t>
            </w:r>
            <w:r>
              <w:rPr>
                <w:rFonts w:hint="eastAsia" w:cs="宋体" w:asciiTheme="minorEastAsia" w:hAnsiTheme="minorEastAsia" w:eastAsiaTheme="minorEastAsia"/>
                <w:color w:val="auto"/>
                <w:szCs w:val="21"/>
                <w:highlight w:val="none"/>
              </w:rPr>
              <w:t>章 其他</w:t>
            </w:r>
          </w:p>
        </w:tc>
      </w:tr>
      <w:tr w14:paraId="5A7350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3C962F9">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2.1.</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7E1ADB9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询比文件实质性要求的标识及非实质性要求的偏离要求</w:t>
            </w:r>
          </w:p>
        </w:tc>
        <w:tc>
          <w:tcPr>
            <w:tcW w:w="5795" w:type="dxa"/>
            <w:vAlign w:val="center"/>
          </w:tcPr>
          <w:p w14:paraId="0B1BCB9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询比文件中标识“</w:t>
            </w:r>
            <w:r>
              <w:rPr>
                <w:rFonts w:hint="eastAsia"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”的条款，均为实质性条款，供应商任何不满足实质性条款的响应均将被否决。</w:t>
            </w:r>
          </w:p>
          <w:p w14:paraId="01FE5BD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非实质性要求的偏离要求：/</w:t>
            </w:r>
          </w:p>
        </w:tc>
      </w:tr>
      <w:tr w14:paraId="04E603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B7F2890">
            <w:pPr>
              <w:autoSpaceDE w:val="0"/>
              <w:autoSpaceDN w:val="0"/>
              <w:jc w:val="center"/>
              <w:rPr>
                <w:rFonts w:hint="eastAsia"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3DD8529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是否以单项报价核定低于成本</w:t>
            </w:r>
          </w:p>
        </w:tc>
        <w:tc>
          <w:tcPr>
            <w:tcW w:w="5795" w:type="dxa"/>
            <w:vAlign w:val="center"/>
          </w:tcPr>
          <w:p w14:paraId="3821E343">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不要求</w:t>
            </w:r>
          </w:p>
          <w:p w14:paraId="5332674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□要求，具体要求如下：</w:t>
            </w:r>
            <w:r>
              <w:rPr>
                <w:rFonts w:hint="eastAsia"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u w:val="single"/>
              </w:rPr>
              <w:t xml:space="preserve">          </w:t>
            </w:r>
          </w:p>
        </w:tc>
      </w:tr>
      <w:tr w14:paraId="6CABE5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1B25CF4">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724A4ED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踏勘现场</w:t>
            </w:r>
          </w:p>
        </w:tc>
        <w:tc>
          <w:tcPr>
            <w:tcW w:w="5795" w:type="dxa"/>
            <w:vAlign w:val="center"/>
          </w:tcPr>
          <w:p w14:paraId="37020760">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不组织</w:t>
            </w:r>
          </w:p>
          <w:p w14:paraId="6E2CB91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□组织，踏勘现场的时间、地点：</w:t>
            </w:r>
          </w:p>
        </w:tc>
      </w:tr>
      <w:tr w14:paraId="5C27A8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65B70B">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6FE24DA1">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预备会</w:t>
            </w:r>
          </w:p>
        </w:tc>
        <w:tc>
          <w:tcPr>
            <w:tcW w:w="5795" w:type="dxa"/>
            <w:vAlign w:val="center"/>
          </w:tcPr>
          <w:p w14:paraId="3FE98A74">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不召开</w:t>
            </w:r>
          </w:p>
          <w:p w14:paraId="7C9CF65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□召开，召开预备会时间、地点：</w:t>
            </w:r>
          </w:p>
        </w:tc>
      </w:tr>
      <w:tr w14:paraId="050154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32BC31">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.1</w:t>
            </w:r>
          </w:p>
        </w:tc>
        <w:tc>
          <w:tcPr>
            <w:tcW w:w="1666" w:type="dxa"/>
            <w:vAlign w:val="center"/>
          </w:tcPr>
          <w:p w14:paraId="796F962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供应商提出澄清问题的截止时间和方式</w:t>
            </w:r>
          </w:p>
        </w:tc>
        <w:tc>
          <w:tcPr>
            <w:tcW w:w="5795" w:type="dxa"/>
            <w:vAlign w:val="center"/>
          </w:tcPr>
          <w:p w14:paraId="5E03972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截止时间：</w:t>
            </w:r>
            <w:r>
              <w:rPr>
                <w:rFonts w:hint="eastAsia" w:ascii="宋体" w:hAnsi="宋体" w:cs="宋体"/>
                <w:b/>
                <w:color w:val="auto"/>
                <w:szCs w:val="21"/>
                <w:highlight w:val="none"/>
              </w:rPr>
              <w:t>202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年</w:t>
            </w:r>
            <w:r>
              <w:rPr>
                <w:rFonts w:hint="eastAsia" w:ascii="宋体" w:hAnsi="宋体" w:cs="宋体"/>
                <w:b/>
                <w:color w:val="auto"/>
                <w:szCs w:val="21"/>
                <w:highlight w:val="none"/>
                <w:lang w:val="en-US" w:eastAsia="zh-CN"/>
              </w:rPr>
              <w:t>5</w:t>
            </w:r>
            <w:r>
              <w:rPr>
                <w:rFonts w:hint="eastAsia" w:ascii="宋体" w:hAnsi="宋体" w:cs="宋体"/>
                <w:b/>
                <w:color w:val="auto"/>
                <w:szCs w:val="21"/>
                <w:highlight w:val="none"/>
              </w:rPr>
              <w:t>月</w:t>
            </w:r>
            <w:r>
              <w:rPr>
                <w:rFonts w:hint="eastAsia" w:ascii="宋体" w:hAnsi="宋体" w:cs="宋体"/>
                <w:b/>
                <w:color w:val="auto"/>
                <w:szCs w:val="21"/>
                <w:highlight w:val="none"/>
                <w:lang w:val="en-US" w:eastAsia="zh-CN"/>
              </w:rPr>
              <w:t>12</w:t>
            </w:r>
            <w:r>
              <w:rPr>
                <w:rFonts w:hint="eastAsia" w:ascii="宋体" w:hAnsi="宋体" w:cs="宋体"/>
                <w:b/>
                <w:color w:val="auto"/>
                <w:szCs w:val="21"/>
                <w:highlight w:val="none"/>
              </w:rPr>
              <w:t>日</w:t>
            </w:r>
            <w:r>
              <w:rPr>
                <w:rFonts w:hint="eastAsia" w:ascii="宋体" w:hAnsi="宋体" w:cs="宋体"/>
                <w:b/>
                <w:color w:val="auto"/>
                <w:szCs w:val="21"/>
                <w:highlight w:val="none"/>
                <w:lang w:val="en-US" w:eastAsia="zh-CN"/>
              </w:rPr>
              <w:t>17</w:t>
            </w:r>
            <w:r>
              <w:rPr>
                <w:rFonts w:hint="eastAsia" w:ascii="宋体" w:hAnsi="宋体" w:cs="宋体"/>
                <w:b/>
                <w:color w:val="auto"/>
                <w:szCs w:val="21"/>
                <w:highlight w:val="none"/>
              </w:rPr>
              <w:t>时00分</w:t>
            </w:r>
          </w:p>
          <w:p w14:paraId="7841F3A2">
            <w:pPr>
              <w:autoSpaceDE w:val="0"/>
              <w:autoSpaceDN w:val="0"/>
              <w:rPr>
                <w:rFonts w:hint="eastAsia" w:eastAsia="宋体" w:cs="宋体" w:asciiTheme="minorEastAsia" w:hAnsiTheme="minorEastAsia"/>
                <w:color w:val="auto"/>
                <w:szCs w:val="21"/>
                <w:highlight w:val="none"/>
                <w:lang w:eastAsia="zh-CN"/>
              </w:rPr>
            </w:pPr>
            <w:r>
              <w:rPr>
                <w:rFonts w:hint="eastAsia" w:cs="宋体" w:asciiTheme="minorEastAsia" w:hAnsiTheme="minorEastAsia" w:eastAsiaTheme="minorEastAsia"/>
                <w:color w:val="auto"/>
                <w:szCs w:val="21"/>
                <w:highlight w:val="none"/>
              </w:rPr>
              <w:t>提出澄清的方式：</w:t>
            </w:r>
            <w:r>
              <w:rPr>
                <w:rFonts w:hint="eastAsia" w:ascii="宋体" w:hAnsi="宋体" w:cs="宋体"/>
                <w:szCs w:val="21"/>
              </w:rPr>
              <w:t>书面形式提交</w:t>
            </w:r>
            <w:r>
              <w:rPr>
                <w:rFonts w:hint="eastAsia" w:ascii="宋体" w:hAnsi="宋体" w:cs="宋体"/>
                <w:szCs w:val="21"/>
                <w:lang w:val="en-US" w:eastAsia="zh-CN"/>
              </w:rPr>
              <w:t>采购人</w:t>
            </w:r>
          </w:p>
        </w:tc>
      </w:tr>
      <w:tr w14:paraId="1DE24C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16696B">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.2</w:t>
            </w:r>
          </w:p>
        </w:tc>
        <w:tc>
          <w:tcPr>
            <w:tcW w:w="1666" w:type="dxa"/>
            <w:vAlign w:val="center"/>
          </w:tcPr>
          <w:p w14:paraId="646268C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采购人发出询比文件澄清或者修改的截止时间和方式</w:t>
            </w:r>
          </w:p>
        </w:tc>
        <w:tc>
          <w:tcPr>
            <w:tcW w:w="5795" w:type="dxa"/>
            <w:vAlign w:val="center"/>
          </w:tcPr>
          <w:p w14:paraId="68811F6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截止时间：</w:t>
            </w:r>
            <w:r>
              <w:rPr>
                <w:rFonts w:hint="eastAsia" w:ascii="宋体" w:hAnsi="宋体" w:cs="宋体"/>
                <w:b/>
                <w:color w:val="auto"/>
                <w:szCs w:val="21"/>
                <w:highlight w:val="none"/>
              </w:rPr>
              <w:t>202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年</w:t>
            </w:r>
            <w:r>
              <w:rPr>
                <w:rFonts w:hint="eastAsia" w:ascii="宋体" w:hAnsi="宋体" w:cs="宋体"/>
                <w:b/>
                <w:color w:val="auto"/>
                <w:szCs w:val="21"/>
                <w:highlight w:val="none"/>
                <w:lang w:val="en-US" w:eastAsia="zh-CN"/>
              </w:rPr>
              <w:t>5</w:t>
            </w:r>
            <w:r>
              <w:rPr>
                <w:rFonts w:hint="eastAsia" w:ascii="宋体" w:hAnsi="宋体" w:cs="宋体"/>
                <w:b/>
                <w:color w:val="auto"/>
                <w:szCs w:val="21"/>
                <w:highlight w:val="none"/>
              </w:rPr>
              <w:t>月</w:t>
            </w:r>
            <w:r>
              <w:rPr>
                <w:rFonts w:hint="eastAsia" w:ascii="宋体" w:hAnsi="宋体" w:cs="宋体"/>
                <w:b/>
                <w:color w:val="auto"/>
                <w:szCs w:val="21"/>
                <w:highlight w:val="none"/>
                <w:lang w:val="en-US" w:eastAsia="zh-CN"/>
              </w:rPr>
              <w:t>13</w:t>
            </w:r>
            <w:r>
              <w:rPr>
                <w:rFonts w:hint="eastAsia" w:ascii="宋体" w:hAnsi="宋体" w:cs="宋体"/>
                <w:b/>
                <w:color w:val="auto"/>
                <w:szCs w:val="21"/>
                <w:highlight w:val="none"/>
              </w:rPr>
              <w:t>日</w:t>
            </w:r>
            <w:r>
              <w:rPr>
                <w:rFonts w:hint="eastAsia" w:ascii="宋体" w:hAnsi="宋体" w:cs="宋体"/>
                <w:b/>
                <w:color w:val="auto"/>
                <w:szCs w:val="21"/>
                <w:highlight w:val="none"/>
                <w:lang w:val="en-US" w:eastAsia="zh-CN"/>
              </w:rPr>
              <w:t>17</w:t>
            </w:r>
            <w:r>
              <w:rPr>
                <w:rFonts w:hint="eastAsia" w:ascii="宋体" w:hAnsi="宋体" w:cs="宋体"/>
                <w:b/>
                <w:color w:val="auto"/>
                <w:szCs w:val="21"/>
                <w:highlight w:val="none"/>
              </w:rPr>
              <w:t>时00分</w:t>
            </w:r>
          </w:p>
          <w:p w14:paraId="1984133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发出澄清或者修改的方式：</w:t>
            </w:r>
            <w:r>
              <w:rPr>
                <w:rFonts w:asciiTheme="minorEastAsia" w:hAnsiTheme="minorEastAsia" w:eastAsiaTheme="minorEastAsia"/>
                <w:color w:val="auto"/>
                <w:szCs w:val="21"/>
                <w:highlight w:val="none"/>
              </w:rPr>
              <w:t>通过</w:t>
            </w:r>
            <w:r>
              <w:rPr>
                <w:rFonts w:hint="eastAsia" w:asciiTheme="minorEastAsia" w:hAnsiTheme="minorEastAsia" w:eastAsiaTheme="minorEastAsia"/>
                <w:color w:val="auto"/>
                <w:highlight w:val="none"/>
              </w:rPr>
              <w:t>湖北信通通信有限公司电子招标平台</w:t>
            </w:r>
            <w:r>
              <w:rPr>
                <w:rFonts w:hint="eastAsia" w:asciiTheme="minorEastAsia" w:hAnsiTheme="minorEastAsia" w:eastAsiaTheme="minorEastAsia"/>
                <w:color w:val="auto"/>
                <w:szCs w:val="21"/>
                <w:highlight w:val="none"/>
              </w:rPr>
              <w:t>系统发</w:t>
            </w:r>
            <w:r>
              <w:rPr>
                <w:rFonts w:asciiTheme="minorEastAsia" w:hAnsiTheme="minorEastAsia" w:eastAsiaTheme="minorEastAsia"/>
                <w:color w:val="auto"/>
                <w:szCs w:val="21"/>
                <w:highlight w:val="none"/>
              </w:rPr>
              <w:t>出</w:t>
            </w:r>
          </w:p>
        </w:tc>
      </w:tr>
      <w:tr w14:paraId="394077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C9CF5AA">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.4</w:t>
            </w:r>
          </w:p>
        </w:tc>
        <w:tc>
          <w:tcPr>
            <w:tcW w:w="1666" w:type="dxa"/>
            <w:vAlign w:val="center"/>
          </w:tcPr>
          <w:p w14:paraId="4C9E38A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供应商确认收到澄清或者修改的时间和方式</w:t>
            </w:r>
          </w:p>
        </w:tc>
        <w:tc>
          <w:tcPr>
            <w:tcW w:w="5795" w:type="dxa"/>
            <w:vAlign w:val="center"/>
          </w:tcPr>
          <w:p w14:paraId="3F3F0BB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供应商收到澄清或修改文件后1日内以</w:t>
            </w:r>
            <w:r>
              <w:rPr>
                <w:rFonts w:hint="eastAsia" w:asciiTheme="minorEastAsia" w:hAnsiTheme="minorEastAsia" w:eastAsiaTheme="minorEastAsia"/>
                <w:color w:val="auto"/>
                <w:szCs w:val="21"/>
                <w:highlight w:val="none"/>
              </w:rPr>
              <w:t>书面方式确认</w:t>
            </w:r>
          </w:p>
        </w:tc>
      </w:tr>
      <w:tr w14:paraId="6005C9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E362A4A">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6</w:t>
            </w:r>
          </w:p>
        </w:tc>
        <w:tc>
          <w:tcPr>
            <w:tcW w:w="1666" w:type="dxa"/>
            <w:vAlign w:val="center"/>
          </w:tcPr>
          <w:p w14:paraId="3635399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询比文件的异议</w:t>
            </w:r>
          </w:p>
        </w:tc>
        <w:tc>
          <w:tcPr>
            <w:tcW w:w="5795" w:type="dxa"/>
            <w:vAlign w:val="center"/>
          </w:tcPr>
          <w:p w14:paraId="701B9F7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潜在供应商或者其他利害关系人对询比文件有异议的，应当在提交响应文件截止时间1日前，应以书面形式通过异议接收邮箱实名提出，书面异议材料应包括异议事项及证明材料等内容，异议应当包括下列内容：</w:t>
            </w:r>
          </w:p>
          <w:p w14:paraId="7E90EC7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（1）异议人的名称、地址、联系人及联系电话；</w:t>
            </w:r>
          </w:p>
          <w:p w14:paraId="39D8E8F1">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（2）异议项目名称、标段/包（如有）；</w:t>
            </w:r>
          </w:p>
          <w:p w14:paraId="4451C932">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（3）具体明确的异议事项和相关的主张、诉求；</w:t>
            </w:r>
          </w:p>
          <w:p w14:paraId="61F50949">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（4）必要的证明材料和依据；</w:t>
            </w:r>
          </w:p>
          <w:p w14:paraId="1421912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（5）提出异议的日期；</w:t>
            </w:r>
          </w:p>
          <w:p w14:paraId="1CD0A546">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人为法人或者其他组织的，异议函应当由法定代表人/负责人或者其授权代表签字，并加盖单位公章。异议人为自然人的，应当由本人签字并提供有效的身份证明。采购人应当自收到异议之日起3日内作出答复；作出答复前，应当暂停询比活动。已作出明确答复，且无新的事实证据，就同一事项反复提出异议的，不予受理。</w:t>
            </w:r>
          </w:p>
          <w:p w14:paraId="31C4DBAD">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异议接收邮箱：</w:t>
            </w:r>
            <w:r>
              <w:rPr>
                <w:rFonts w:hint="eastAsia" w:ascii="宋体" w:hAnsi="宋体" w:eastAsia="宋体" w:cs="宋体"/>
                <w:i w:val="0"/>
                <w:iCs w:val="0"/>
                <w:caps w:val="0"/>
                <w:color w:val="2B3642"/>
                <w:spacing w:val="0"/>
                <w:sz w:val="21"/>
                <w:szCs w:val="21"/>
                <w:shd w:val="clear" w:fill="FFFFFF"/>
              </w:rPr>
              <w:t>lixueyuan@chinaccs.cn</w:t>
            </w:r>
          </w:p>
        </w:tc>
      </w:tr>
      <w:tr w14:paraId="5823DE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554F094">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3.1</w:t>
            </w:r>
          </w:p>
        </w:tc>
        <w:tc>
          <w:tcPr>
            <w:tcW w:w="1666" w:type="dxa"/>
            <w:vAlign w:val="center"/>
          </w:tcPr>
          <w:p w14:paraId="2285183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响应文件组成</w:t>
            </w:r>
          </w:p>
        </w:tc>
        <w:tc>
          <w:tcPr>
            <w:tcW w:w="5795" w:type="dxa"/>
            <w:vAlign w:val="center"/>
          </w:tcPr>
          <w:p w14:paraId="5081B237">
            <w:pPr>
              <w:spacing w:line="320" w:lineRule="exac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详见第</w:t>
            </w:r>
            <w:r>
              <w:rPr>
                <w:rFonts w:hint="eastAsia" w:cs="宋体" w:asciiTheme="minorEastAsia" w:hAnsiTheme="minorEastAsia" w:eastAsiaTheme="minorEastAsia"/>
                <w:color w:val="auto"/>
                <w:szCs w:val="21"/>
                <w:highlight w:val="none"/>
                <w:lang w:val="en-US" w:eastAsia="zh-CN"/>
              </w:rPr>
              <w:t>六</w:t>
            </w:r>
            <w:r>
              <w:rPr>
                <w:rFonts w:cs="宋体" w:asciiTheme="minorEastAsia" w:hAnsiTheme="minorEastAsia" w:eastAsiaTheme="minorEastAsia"/>
                <w:color w:val="auto"/>
                <w:szCs w:val="21"/>
                <w:highlight w:val="none"/>
              </w:rPr>
              <w:t>章</w:t>
            </w:r>
            <w:r>
              <w:rPr>
                <w:rFonts w:hint="eastAsia" w:cs="宋体" w:asciiTheme="minorEastAsia" w:hAnsiTheme="minorEastAsia" w:eastAsiaTheme="minorEastAsia"/>
                <w:color w:val="auto"/>
                <w:szCs w:val="21"/>
                <w:highlight w:val="none"/>
              </w:rPr>
              <w:t xml:space="preserve"> 响应文件格式</w:t>
            </w:r>
          </w:p>
        </w:tc>
      </w:tr>
      <w:tr w14:paraId="0E7503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E2B3296">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3.2</w:t>
            </w:r>
          </w:p>
        </w:tc>
        <w:tc>
          <w:tcPr>
            <w:tcW w:w="1666" w:type="dxa"/>
            <w:vAlign w:val="center"/>
          </w:tcPr>
          <w:p w14:paraId="4A0759E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响应文件响应和编写</w:t>
            </w:r>
          </w:p>
        </w:tc>
        <w:tc>
          <w:tcPr>
            <w:tcW w:w="5795" w:type="dxa"/>
            <w:vAlign w:val="center"/>
          </w:tcPr>
          <w:p w14:paraId="7CDB27E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本条款增加以下规定：</w:t>
            </w:r>
          </w:p>
          <w:p w14:paraId="671C4AF6">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w:t>
            </w:r>
            <w:r>
              <w:rPr>
                <w:rFonts w:hint="eastAsia" w:asciiTheme="minorEastAsia" w:hAnsiTheme="minorEastAsia" w:eastAsiaTheme="minorEastAsia"/>
                <w:color w:val="auto"/>
                <w:szCs w:val="21"/>
                <w:highlight w:val="none"/>
              </w:rPr>
              <w:t>响应</w:t>
            </w:r>
            <w:r>
              <w:rPr>
                <w:rFonts w:hint="eastAsia" w:asciiTheme="minorEastAsia" w:hAnsiTheme="minorEastAsia" w:eastAsiaTheme="minorEastAsia"/>
                <w:color w:val="auto"/>
                <w:highlight w:val="none"/>
              </w:rPr>
              <w:t>和编写的具体要求如下：</w:t>
            </w:r>
          </w:p>
          <w:p w14:paraId="5C446DE5">
            <w:pPr>
              <w:autoSpaceDE w:val="0"/>
              <w:autoSpaceDN w:val="0"/>
              <w:rPr>
                <w:rFonts w:hint="eastAsia" w:asciiTheme="minorEastAsia" w:hAnsiTheme="minorEastAsia" w:eastAsiaTheme="minorEastAsia"/>
                <w:color w:val="auto"/>
                <w:highlight w:val="none"/>
              </w:rPr>
            </w:pP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供应商应认真阅读询比文件中所有的事项、格式、条款等。供应商没有按照询比文件要求提交全部资料，或者没有对询比文件在各方面都做出实质性响应是供应商的风险，并可能导致其响应被否决。</w:t>
            </w:r>
          </w:p>
          <w:p w14:paraId="11A7EAEF">
            <w:pPr>
              <w:autoSpaceDE w:val="0"/>
              <w:autoSpaceDN w:val="0"/>
              <w:rPr>
                <w:rFonts w:hint="eastAsia" w:ascii="宋体" w:hAnsi="宋体" w:eastAsia="宋体" w:cs="宋体"/>
                <w:szCs w:val="21"/>
              </w:rPr>
            </w:pPr>
            <w:r>
              <w:rPr>
                <w:rFonts w:hint="eastAsia" w:ascii="宋体" w:hAnsi="宋体" w:eastAsia="宋体" w:cs="宋体"/>
                <w:szCs w:val="21"/>
                <w:lang w:val="en-US" w:eastAsia="zh-CN"/>
              </w:rPr>
              <w:t>2、响应</w:t>
            </w:r>
            <w:r>
              <w:rPr>
                <w:rFonts w:hint="eastAsia" w:ascii="宋体" w:hAnsi="宋体" w:eastAsia="宋体" w:cs="宋体"/>
                <w:szCs w:val="21"/>
              </w:rPr>
              <w:t>文件第六章“</w:t>
            </w:r>
            <w:r>
              <w:rPr>
                <w:rFonts w:hint="eastAsia" w:ascii="宋体" w:hAnsi="宋体" w:eastAsia="宋体" w:cs="宋体"/>
                <w:szCs w:val="21"/>
                <w:lang w:val="en-US" w:eastAsia="zh-CN"/>
              </w:rPr>
              <w:t>响应</w:t>
            </w:r>
            <w:r>
              <w:rPr>
                <w:rFonts w:hint="eastAsia" w:ascii="宋体" w:hAnsi="宋体" w:eastAsia="宋体" w:cs="宋体"/>
                <w:szCs w:val="21"/>
              </w:rPr>
              <w:t>文件格式”中有</w:t>
            </w:r>
            <w:r>
              <w:rPr>
                <w:rFonts w:hint="eastAsia" w:ascii="宋体" w:hAnsi="宋体" w:eastAsia="宋体" w:cs="Times New Roman"/>
                <w:szCs w:val="21"/>
                <w:lang w:val="en-US" w:eastAsia="zh-CN"/>
              </w:rPr>
              <w:t>供应商</w:t>
            </w:r>
            <w:r>
              <w:rPr>
                <w:rFonts w:hint="eastAsia" w:ascii="宋体" w:hAnsi="宋体" w:eastAsia="宋体" w:cs="Times New Roman"/>
                <w:szCs w:val="21"/>
              </w:rPr>
              <w:t>名称（盖单位公章）</w:t>
            </w:r>
            <w:r>
              <w:rPr>
                <w:rFonts w:hint="eastAsia" w:ascii="宋体" w:hAnsi="宋体" w:eastAsia="宋体" w:cs="宋体"/>
                <w:szCs w:val="21"/>
              </w:rPr>
              <w:t>处必须加盖单位公章，有</w:t>
            </w:r>
            <w:r>
              <w:rPr>
                <w:rFonts w:hint="eastAsia" w:ascii="宋体" w:hAnsi="宋体" w:eastAsia="宋体" w:cs="Times New Roman"/>
                <w:szCs w:val="21"/>
              </w:rPr>
              <w:t>法定代表人/负责人（签字或盖章）</w:t>
            </w:r>
            <w:r>
              <w:rPr>
                <w:rFonts w:ascii="宋体" w:hAnsi="宋体" w:eastAsia="宋体" w:cs="Times New Roman"/>
                <w:szCs w:val="21"/>
              </w:rPr>
              <w:t>或者其委托代理人</w:t>
            </w:r>
            <w:r>
              <w:rPr>
                <w:rFonts w:hint="eastAsia" w:ascii="宋体" w:hAnsi="宋体" w:eastAsia="宋体" w:cs="Times New Roman"/>
                <w:szCs w:val="21"/>
              </w:rPr>
              <w:t>（签字）处必须有法定代表人/负责人签字或盖章</w:t>
            </w:r>
            <w:r>
              <w:rPr>
                <w:rFonts w:ascii="宋体" w:hAnsi="宋体" w:eastAsia="宋体" w:cs="Times New Roman"/>
                <w:szCs w:val="21"/>
              </w:rPr>
              <w:t>或者其委托代理人</w:t>
            </w:r>
            <w:r>
              <w:rPr>
                <w:rFonts w:hint="eastAsia" w:ascii="宋体" w:hAnsi="宋体" w:eastAsia="宋体" w:cs="Times New Roman"/>
                <w:szCs w:val="21"/>
              </w:rPr>
              <w:t>签字</w:t>
            </w:r>
            <w:r>
              <w:rPr>
                <w:rFonts w:hint="eastAsia" w:ascii="宋体" w:hAnsi="宋体" w:eastAsia="宋体" w:cs="宋体"/>
                <w:szCs w:val="21"/>
              </w:rPr>
              <w:t>。</w:t>
            </w:r>
          </w:p>
          <w:p w14:paraId="0080D404">
            <w:pPr>
              <w:autoSpaceDE w:val="0"/>
              <w:autoSpaceDN w:val="0"/>
              <w:rPr>
                <w:rFonts w:hint="eastAsia" w:asciiTheme="minorEastAsia" w:hAnsiTheme="minorEastAsia" w:eastAsiaTheme="minorEastAsia"/>
                <w:color w:val="auto"/>
                <w:highlight w:val="none"/>
              </w:rPr>
            </w:pPr>
            <w:r>
              <w:rPr>
                <w:rFonts w:hint="eastAsia" w:ascii="宋体" w:hAnsi="宋体" w:eastAsia="宋体" w:cs="宋体"/>
                <w:szCs w:val="21"/>
                <w:lang w:val="en-US" w:eastAsia="zh-CN"/>
              </w:rPr>
              <w:t>/3、</w:t>
            </w:r>
            <w:r>
              <w:rPr>
                <w:rFonts w:hint="eastAsia" w:ascii="宋体" w:hAnsi="宋体" w:eastAsia="宋体" w:cs="宋体"/>
                <w:szCs w:val="21"/>
              </w:rPr>
              <w:t>除上述文件以外的其他</w:t>
            </w:r>
            <w:r>
              <w:rPr>
                <w:rFonts w:hint="eastAsia" w:ascii="宋体" w:hAnsi="宋体" w:eastAsia="宋体" w:cs="宋体"/>
                <w:szCs w:val="21"/>
                <w:lang w:val="en-US" w:eastAsia="zh-CN"/>
              </w:rPr>
              <w:t>响应</w:t>
            </w:r>
            <w:r>
              <w:rPr>
                <w:rFonts w:hint="eastAsia" w:ascii="宋体" w:hAnsi="宋体" w:eastAsia="宋体" w:cs="宋体"/>
                <w:szCs w:val="21"/>
              </w:rPr>
              <w:t>文件组成部分必须加盖骑缝章（</w:t>
            </w:r>
            <w:r>
              <w:rPr>
                <w:rFonts w:hint="eastAsia" w:ascii="宋体" w:hAnsi="宋体" w:eastAsia="宋体" w:cs="宋体"/>
                <w:b/>
                <w:bCs/>
                <w:szCs w:val="21"/>
              </w:rPr>
              <w:t>骑缝章必须覆盖所有</w:t>
            </w:r>
            <w:r>
              <w:rPr>
                <w:rFonts w:hint="eastAsia" w:ascii="宋体" w:hAnsi="宋体" w:eastAsia="宋体" w:cs="宋体"/>
                <w:b/>
                <w:bCs/>
                <w:szCs w:val="21"/>
                <w:lang w:val="en-US" w:eastAsia="zh-CN"/>
              </w:rPr>
              <w:t>响应</w:t>
            </w:r>
            <w:r>
              <w:rPr>
                <w:rFonts w:hint="eastAsia" w:ascii="宋体" w:hAnsi="宋体" w:eastAsia="宋体" w:cs="宋体"/>
                <w:b/>
                <w:bCs/>
                <w:szCs w:val="21"/>
              </w:rPr>
              <w:t>文件</w:t>
            </w:r>
            <w:r>
              <w:rPr>
                <w:rFonts w:hint="eastAsia" w:ascii="宋体" w:hAnsi="宋体" w:eastAsia="宋体" w:cs="宋体"/>
                <w:szCs w:val="21"/>
              </w:rPr>
              <w:t>），或逐页加盖单位公章，或由</w:t>
            </w:r>
            <w:r>
              <w:rPr>
                <w:rFonts w:hint="eastAsia" w:ascii="宋体" w:hAnsi="宋体" w:eastAsia="宋体" w:cs="Times New Roman"/>
                <w:szCs w:val="21"/>
              </w:rPr>
              <w:t>法定代表人/负责人</w:t>
            </w:r>
            <w:r>
              <w:rPr>
                <w:rFonts w:hint="eastAsia" w:ascii="宋体" w:hAnsi="宋体" w:eastAsia="宋体" w:cs="宋体"/>
                <w:szCs w:val="21"/>
              </w:rPr>
              <w:t>或其委托代理人逐页手签或盖人名章。</w:t>
            </w:r>
          </w:p>
        </w:tc>
      </w:tr>
      <w:tr w14:paraId="1838F68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35121DA4">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3.1</w:t>
            </w:r>
          </w:p>
        </w:tc>
        <w:tc>
          <w:tcPr>
            <w:tcW w:w="1666" w:type="dxa"/>
            <w:vAlign w:val="center"/>
          </w:tcPr>
          <w:p w14:paraId="09F1908E">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最高响应限价或者其计算方法</w:t>
            </w:r>
          </w:p>
        </w:tc>
        <w:tc>
          <w:tcPr>
            <w:tcW w:w="5795" w:type="dxa"/>
            <w:vAlign w:val="center"/>
          </w:tcPr>
          <w:p w14:paraId="28C0A94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□不设置最高响应限价</w:t>
            </w:r>
          </w:p>
          <w:p w14:paraId="4440CF30">
            <w:pPr>
              <w:autoSpaceDE w:val="0"/>
              <w:autoSpaceDN w:val="0"/>
              <w:rPr>
                <w:rFonts w:cs="宋体" w:asciiTheme="minorEastAsia" w:hAnsiTheme="minorEastAsia" w:eastAsiaTheme="minorEastAsia"/>
                <w:color w:val="auto"/>
                <w:szCs w:val="21"/>
                <w:highlight w:val="none"/>
                <w:u w:val="single"/>
              </w:rPr>
            </w:pPr>
            <w:r>
              <w:rPr>
                <w:rFonts w:hint="eastAsia" w:ascii="MS Gothic" w:hAnsi="MS Gothic" w:eastAsia="MS Gothic" w:cs="MS Gothic"/>
                <w:color w:val="auto"/>
                <w:szCs w:val="21"/>
                <w:highlight w:val="none"/>
              </w:rPr>
              <w:t>☑</w:t>
            </w:r>
            <w:r>
              <w:rPr>
                <w:rFonts w:hint="eastAsia" w:ascii="宋体" w:hAnsi="宋体" w:cs="宋体"/>
                <w:color w:val="auto"/>
                <w:szCs w:val="21"/>
                <w:highlight w:val="none"/>
              </w:rPr>
              <w:t>设置最高响应限价，最高响应限价详见</w:t>
            </w:r>
            <w:r>
              <w:rPr>
                <w:rFonts w:hint="eastAsia" w:asciiTheme="minorEastAsia" w:hAnsiTheme="minorEastAsia" w:eastAsiaTheme="minorEastAsia"/>
                <w:color w:val="auto"/>
                <w:szCs w:val="21"/>
                <w:highlight w:val="none"/>
              </w:rPr>
              <w:t>第一章 询比公告 “1.项目概况与采购内容”。</w:t>
            </w:r>
          </w:p>
        </w:tc>
      </w:tr>
      <w:tr w14:paraId="1CDBB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F71E8E3">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3.3</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55D3D98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响应报价</w:t>
            </w:r>
            <w:r>
              <w:rPr>
                <w:rFonts w:hint="eastAsia" w:asciiTheme="minorEastAsia" w:hAnsiTheme="minorEastAsia" w:eastAsiaTheme="minorEastAsia"/>
                <w:color w:val="auto"/>
                <w:highlight w:val="none"/>
              </w:rPr>
              <w:t>优惠条件</w:t>
            </w:r>
          </w:p>
        </w:tc>
        <w:tc>
          <w:tcPr>
            <w:tcW w:w="5795" w:type="dxa"/>
            <w:vAlign w:val="center"/>
          </w:tcPr>
          <w:p w14:paraId="57CED591">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□报优惠价</w:t>
            </w:r>
          </w:p>
          <w:p w14:paraId="617EE3CA">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不接受报优惠价</w:t>
            </w:r>
          </w:p>
          <w:p w14:paraId="283A0E4E">
            <w:pPr>
              <w:autoSpaceDE w:val="0"/>
              <w:autoSpaceDN w:val="0"/>
              <w:rPr>
                <w:rFonts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rPr>
              <w:t>□报优惠价的其他方式：</w:t>
            </w:r>
            <w:r>
              <w:rPr>
                <w:rFonts w:hint="eastAsia" w:asciiTheme="minorEastAsia" w:hAnsiTheme="minorEastAsia" w:eastAsiaTheme="minorEastAsia"/>
                <w:color w:val="auto"/>
                <w:szCs w:val="21"/>
                <w:highlight w:val="none"/>
                <w:u w:val="single"/>
              </w:rPr>
              <w:t>【</w:t>
            </w:r>
            <w:r>
              <w:rPr>
                <w:rFonts w:hint="eastAsia" w:cs="宋体" w:asciiTheme="minorEastAsia" w:hAnsiTheme="minorEastAsia" w:eastAsiaTheme="minorEastAsia"/>
                <w:color w:val="auto"/>
                <w:szCs w:val="21"/>
                <w:highlight w:val="none"/>
                <w:u w:val="single"/>
              </w:rPr>
              <w:t>具体方式</w:t>
            </w:r>
            <w:r>
              <w:rPr>
                <w:rFonts w:hint="eastAsia" w:asciiTheme="minorEastAsia" w:hAnsiTheme="minorEastAsia" w:eastAsiaTheme="minorEastAsia"/>
                <w:color w:val="auto"/>
                <w:szCs w:val="21"/>
                <w:highlight w:val="none"/>
                <w:u w:val="single"/>
              </w:rPr>
              <w:t>】</w:t>
            </w:r>
          </w:p>
        </w:tc>
      </w:tr>
      <w:tr w14:paraId="5B185F7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3FA73B1">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3.3.</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3BE74C8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响应报价具体要求</w:t>
            </w:r>
          </w:p>
        </w:tc>
        <w:tc>
          <w:tcPr>
            <w:tcW w:w="5795" w:type="dxa"/>
            <w:vAlign w:val="center"/>
          </w:tcPr>
          <w:p w14:paraId="7FCC7F3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本条款增加以下规定：</w:t>
            </w:r>
          </w:p>
          <w:p w14:paraId="6377002B">
            <w:pPr>
              <w:autoSpaceDE w:val="0"/>
              <w:autoSpaceDN w:val="0"/>
              <w:rPr>
                <w:rFonts w:ascii="宋体" w:hAnsi="宋体" w:cs="宋体"/>
                <w:color w:val="auto"/>
                <w:szCs w:val="21"/>
                <w:highlight w:val="none"/>
              </w:rPr>
            </w:pPr>
            <w:r>
              <w:rPr>
                <w:rFonts w:hint="eastAsia" w:ascii="宋体" w:hAnsi="宋体" w:cs="宋体"/>
                <w:color w:val="auto"/>
                <w:szCs w:val="21"/>
                <w:highlight w:val="none"/>
              </w:rPr>
              <w:t>（1）供应商按询比文件要求的内容提供报价一览表，详见第六章响应文件格式。</w:t>
            </w:r>
          </w:p>
          <w:p w14:paraId="5CFBE285">
            <w:pPr>
              <w:autoSpaceDE w:val="0"/>
              <w:autoSpaceDN w:val="0"/>
              <w:rPr>
                <w:rFonts w:ascii="宋体" w:hAnsi="宋体" w:cs="宋体"/>
                <w:color w:val="auto"/>
                <w:szCs w:val="21"/>
                <w:highlight w:val="none"/>
              </w:rPr>
            </w:pPr>
            <w:r>
              <w:rPr>
                <w:rFonts w:hint="eastAsia" w:ascii="宋体" w:hAnsi="宋体" w:cs="宋体"/>
                <w:color w:val="auto"/>
                <w:szCs w:val="21"/>
                <w:highlight w:val="none"/>
              </w:rPr>
              <w:t>（2）响应货币：人民币。</w:t>
            </w:r>
          </w:p>
          <w:p w14:paraId="5450F5F8">
            <w:pPr>
              <w:autoSpaceDE w:val="0"/>
              <w:autoSpaceDN w:val="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（3）响应语言：简体中文。</w:t>
            </w:r>
          </w:p>
        </w:tc>
      </w:tr>
      <w:tr w14:paraId="0A3135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574B88F">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3.4.1</w:t>
            </w:r>
          </w:p>
        </w:tc>
        <w:tc>
          <w:tcPr>
            <w:tcW w:w="1666" w:type="dxa"/>
            <w:vAlign w:val="center"/>
          </w:tcPr>
          <w:p w14:paraId="262BAE3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响应有效期</w:t>
            </w:r>
          </w:p>
        </w:tc>
        <w:tc>
          <w:tcPr>
            <w:tcW w:w="5795" w:type="dxa"/>
            <w:vAlign w:val="center"/>
          </w:tcPr>
          <w:p w14:paraId="6051282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响应有效期：</w:t>
            </w:r>
            <w:r>
              <w:rPr>
                <w:rFonts w:hint="eastAsia" w:asciiTheme="minorEastAsia" w:hAnsiTheme="minorEastAsia" w:eastAsiaTheme="minorEastAsia"/>
                <w:color w:val="auto"/>
                <w:szCs w:val="21"/>
                <w:highlight w:val="none"/>
              </w:rPr>
              <w:t>120</w:t>
            </w:r>
            <w:r>
              <w:rPr>
                <w:rFonts w:hint="eastAsia" w:cs="宋体" w:asciiTheme="minorEastAsia" w:hAnsiTheme="minorEastAsia" w:eastAsiaTheme="minorEastAsia"/>
                <w:color w:val="auto"/>
                <w:szCs w:val="21"/>
                <w:highlight w:val="none"/>
              </w:rPr>
              <w:t>天</w:t>
            </w:r>
          </w:p>
        </w:tc>
      </w:tr>
      <w:tr w14:paraId="6C271F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5188D3B">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3.4.2</w:t>
            </w:r>
          </w:p>
        </w:tc>
        <w:tc>
          <w:tcPr>
            <w:tcW w:w="1666" w:type="dxa"/>
            <w:vAlign w:val="center"/>
          </w:tcPr>
          <w:p w14:paraId="11DBD22A">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rPr>
              <w:t>响应保证金递交要求和金额</w:t>
            </w:r>
          </w:p>
        </w:tc>
        <w:tc>
          <w:tcPr>
            <w:tcW w:w="5795" w:type="dxa"/>
            <w:vAlign w:val="center"/>
          </w:tcPr>
          <w:p w14:paraId="476F90A0">
            <w:pPr>
              <w:autoSpaceDE w:val="0"/>
              <w:autoSpaceDN w:val="0"/>
              <w:jc w:val="left"/>
              <w:rPr>
                <w:rFonts w:hint="eastAsia" w:cs="宋体" w:asciiTheme="minorEastAsia" w:hAnsiTheme="minorEastAsia" w:eastAsiaTheme="minorEastAsia"/>
                <w:szCs w:val="21"/>
                <w:lang w:val="en-US" w:eastAsia="zh-CN"/>
              </w:rPr>
            </w:pP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要求提交响应保证金，响应保证金金额：</w:t>
            </w:r>
            <w:r>
              <w:rPr>
                <w:rFonts w:hint="eastAsia" w:cs="宋体" w:asciiTheme="minorEastAsia" w:hAnsiTheme="minorEastAsia" w:eastAsiaTheme="minorEastAsia"/>
                <w:szCs w:val="21"/>
                <w:lang w:val="en-US" w:eastAsia="zh-CN"/>
              </w:rPr>
              <w:t>/</w:t>
            </w:r>
          </w:p>
          <w:p w14:paraId="65772809">
            <w:pPr>
              <w:autoSpaceDE w:val="0"/>
              <w:autoSpaceDN w:val="0"/>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无需提交响应保证金</w:t>
            </w:r>
          </w:p>
        </w:tc>
      </w:tr>
      <w:tr w14:paraId="52D18D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90EBB6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3.4.3</w:t>
            </w:r>
          </w:p>
        </w:tc>
        <w:tc>
          <w:tcPr>
            <w:tcW w:w="1666" w:type="dxa"/>
            <w:vAlign w:val="center"/>
          </w:tcPr>
          <w:p w14:paraId="19F2A1E3">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采购代理服务费金额</w:t>
            </w:r>
          </w:p>
        </w:tc>
        <w:tc>
          <w:tcPr>
            <w:tcW w:w="5795" w:type="dxa"/>
            <w:vAlign w:val="center"/>
          </w:tcPr>
          <w:p w14:paraId="1CEF8E61">
            <w:pPr>
              <w:autoSpaceDE w:val="0"/>
              <w:autoSpaceDN w:val="0"/>
              <w:jc w:val="left"/>
              <w:rPr>
                <w:rFonts w:hint="default"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本项目不收取</w:t>
            </w:r>
            <w:r>
              <w:rPr>
                <w:rFonts w:hint="eastAsia" w:cs="宋体" w:asciiTheme="minorEastAsia" w:hAnsiTheme="minorEastAsia" w:eastAsiaTheme="minorEastAsia"/>
                <w:szCs w:val="21"/>
              </w:rPr>
              <w:t>采购代理服务费</w:t>
            </w:r>
          </w:p>
        </w:tc>
      </w:tr>
      <w:tr w14:paraId="1D5C01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081992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5.1</w:t>
            </w:r>
          </w:p>
        </w:tc>
        <w:tc>
          <w:tcPr>
            <w:tcW w:w="1666" w:type="dxa"/>
            <w:vAlign w:val="center"/>
          </w:tcPr>
          <w:p w14:paraId="4272927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备选响应方案</w:t>
            </w:r>
          </w:p>
        </w:tc>
        <w:tc>
          <w:tcPr>
            <w:tcW w:w="5795" w:type="dxa"/>
            <w:vAlign w:val="center"/>
          </w:tcPr>
          <w:p w14:paraId="09D919B8">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不允许</w:t>
            </w:r>
          </w:p>
          <w:p w14:paraId="59A3218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□允许</w:t>
            </w:r>
          </w:p>
        </w:tc>
      </w:tr>
      <w:tr w14:paraId="2BFB94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517EDB7">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5.2</w:t>
            </w:r>
          </w:p>
        </w:tc>
        <w:tc>
          <w:tcPr>
            <w:tcW w:w="1666" w:type="dxa"/>
            <w:vAlign w:val="center"/>
          </w:tcPr>
          <w:p w14:paraId="20FEFDB2">
            <w:pPr>
              <w:autoSpaceDE w:val="0"/>
              <w:autoSpaceDN w:val="0"/>
              <w:rPr>
                <w:rFonts w:hint="eastAsia" w:cs="宋体" w:asciiTheme="minorEastAsia" w:hAnsiTheme="minorEastAsia" w:eastAsiaTheme="minorEastAsia"/>
                <w:color w:val="auto"/>
                <w:szCs w:val="21"/>
                <w:highlight w:val="none"/>
              </w:rPr>
            </w:pPr>
            <w:r>
              <w:rPr>
                <w:rFonts w:hint="eastAsia" w:ascii="宋体" w:hAnsi="宋体" w:cs="宋体"/>
                <w:szCs w:val="21"/>
                <w:lang w:val="en-US" w:eastAsia="zh-CN"/>
              </w:rPr>
              <w:t>响应</w:t>
            </w:r>
            <w:r>
              <w:rPr>
                <w:rFonts w:hint="eastAsia" w:ascii="宋体" w:hAnsi="宋体" w:cs="宋体"/>
                <w:szCs w:val="21"/>
              </w:rPr>
              <w:t>文件份数</w:t>
            </w:r>
          </w:p>
        </w:tc>
        <w:tc>
          <w:tcPr>
            <w:tcW w:w="5795" w:type="dxa"/>
            <w:vAlign w:val="center"/>
          </w:tcPr>
          <w:p w14:paraId="3745B9D5">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rPr>
              <w:t>正本一份，电子版1份（电子版应为U盘存储）。</w:t>
            </w:r>
          </w:p>
        </w:tc>
      </w:tr>
      <w:tr w14:paraId="0A5213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43D52AF">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5.3</w:t>
            </w:r>
          </w:p>
        </w:tc>
        <w:tc>
          <w:tcPr>
            <w:tcW w:w="1666" w:type="dxa"/>
            <w:vAlign w:val="center"/>
          </w:tcPr>
          <w:p w14:paraId="3568E200">
            <w:pPr>
              <w:autoSpaceDE w:val="0"/>
              <w:autoSpaceDN w:val="0"/>
              <w:rPr>
                <w:rFonts w:hint="eastAsia" w:cs="宋体" w:asciiTheme="minorEastAsia" w:hAnsiTheme="minorEastAsia" w:eastAsiaTheme="minorEastAsia"/>
                <w:color w:val="auto"/>
                <w:szCs w:val="21"/>
                <w:highlight w:val="none"/>
              </w:rPr>
            </w:pPr>
            <w:r>
              <w:rPr>
                <w:rFonts w:hint="eastAsia" w:ascii="宋体" w:hAnsi="宋体" w:cs="宋体"/>
                <w:szCs w:val="21"/>
                <w:lang w:val="en-US" w:eastAsia="zh-CN"/>
              </w:rPr>
              <w:t>响应</w:t>
            </w:r>
            <w:r>
              <w:rPr>
                <w:rFonts w:hint="eastAsia" w:ascii="宋体" w:hAnsi="宋体" w:cs="宋体"/>
                <w:szCs w:val="21"/>
              </w:rPr>
              <w:t>文件的外层包封</w:t>
            </w:r>
          </w:p>
        </w:tc>
        <w:tc>
          <w:tcPr>
            <w:tcW w:w="5795" w:type="dxa"/>
            <w:vAlign w:val="center"/>
          </w:tcPr>
          <w:p w14:paraId="29283BB9">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本条款增加以下规定：</w:t>
            </w:r>
          </w:p>
          <w:p w14:paraId="386C4E52">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在外层包封上应写明参选人的名称与地址、邮政编码，以便参选出现逾期送达时能原封退回。具体样式如下：</w:t>
            </w:r>
          </w:p>
          <w:p w14:paraId="0C13892E">
            <w:pPr>
              <w:autoSpaceDE w:val="0"/>
              <w:autoSpaceDN w:val="0"/>
              <w:rPr>
                <w:rFonts w:hint="eastAsia" w:ascii="宋体" w:hAnsi="宋体" w:cs="宋体"/>
                <w:szCs w:val="21"/>
              </w:rPr>
            </w:pPr>
            <w:r>
              <mc:AlternateContent>
                <mc:Choice Requires="wps">
                  <w:drawing>
                    <wp:anchor distT="0" distB="0" distL="0" distR="0" simplePos="0" relativeHeight="251666432" behindDoc="0" locked="0" layoutInCell="1" allowOverlap="1">
                      <wp:simplePos x="0" y="0"/>
                      <wp:positionH relativeFrom="column">
                        <wp:posOffset>95885</wp:posOffset>
                      </wp:positionH>
                      <wp:positionV relativeFrom="paragraph">
                        <wp:posOffset>59690</wp:posOffset>
                      </wp:positionV>
                      <wp:extent cx="3268345" cy="2453005"/>
                      <wp:effectExtent l="4445" t="4445" r="22860" b="19050"/>
                      <wp:wrapNone/>
                      <wp:docPr id="1" name="文本框 5"/>
                      <wp:cNvGraphicFramePr/>
                      <a:graphic xmlns:a="http://schemas.openxmlformats.org/drawingml/2006/main">
                        <a:graphicData uri="http://schemas.microsoft.com/office/word/2010/wordprocessingShape">
                          <wps:wsp>
                            <wps:cNvSpPr/>
                            <wps:spPr>
                              <a:xfrm>
                                <a:off x="0" y="0"/>
                                <a:ext cx="3268345" cy="24530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6E9A4">
                                  <w:pPr>
                                    <w:ind w:firstLine="1050" w:firstLineChars="500"/>
                                    <w:rPr>
                                      <w:rFonts w:hint="eastAsia" w:ascii="仿宋_GB2312" w:hAnsi="仿宋" w:eastAsia="仿宋_GB2312" w:cs="Arial"/>
                                      <w:kern w:val="0"/>
                                      <w:szCs w:val="21"/>
                                    </w:rPr>
                                  </w:pPr>
                                  <w:r>
                                    <w:rPr>
                                      <w:rFonts w:hint="eastAsia" w:ascii="仿宋_GB2312" w:hAnsi="仿宋" w:eastAsia="仿宋_GB2312" w:cs="Arial"/>
                                      <w:kern w:val="0"/>
                                      <w:szCs w:val="21"/>
                                    </w:rPr>
                                    <w:t>响应文件（文件）</w:t>
                                  </w:r>
                                </w:p>
                                <w:p w14:paraId="0224301B">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询比</w:t>
                                  </w:r>
                                  <w:r>
                                    <w:rPr>
                                      <w:rFonts w:hint="eastAsia" w:ascii="仿宋_GB2312" w:hAnsi="仿宋" w:eastAsia="仿宋_GB2312" w:cs="Arial"/>
                                      <w:kern w:val="0"/>
                                      <w:szCs w:val="21"/>
                                    </w:rPr>
                                    <w:t>项目：</w:t>
                                  </w:r>
                                </w:p>
                                <w:p w14:paraId="3BF33855">
                                  <w:pPr>
                                    <w:rPr>
                                      <w:rFonts w:hint="eastAsia" w:ascii="仿宋_GB2312" w:hAnsi="仿宋" w:eastAsia="仿宋_GB2312" w:cs="Arial"/>
                                      <w:kern w:val="0"/>
                                      <w:szCs w:val="21"/>
                                      <w:u w:val="single"/>
                                    </w:rPr>
                                  </w:pPr>
                                  <w:r>
                                    <w:rPr>
                                      <w:rFonts w:hint="eastAsia" w:ascii="仿宋_GB2312" w:hAnsi="仿宋" w:eastAsia="仿宋_GB2312" w:cs="Arial"/>
                                      <w:bCs/>
                                      <w:szCs w:val="21"/>
                                    </w:rPr>
                                    <w:t>项目编号：</w:t>
                                  </w:r>
                                </w:p>
                                <w:p w14:paraId="439ACDE2">
                                  <w:pPr>
                                    <w:rPr>
                                      <w:rFonts w:hint="eastAsia" w:ascii="仿宋_GB2312" w:hAnsi="仿宋" w:eastAsia="仿宋_GB2312" w:cs="Arial"/>
                                      <w:kern w:val="0"/>
                                      <w:szCs w:val="21"/>
                                    </w:rPr>
                                  </w:pPr>
                                  <w:r>
                                    <w:rPr>
                                      <w:rFonts w:hint="eastAsia" w:ascii="仿宋_GB2312" w:hAnsi="仿宋" w:eastAsia="仿宋_GB2312" w:cs="Arial"/>
                                      <w:kern w:val="0"/>
                                      <w:szCs w:val="21"/>
                                    </w:rPr>
                                    <w:t>标包号（如有）：</w:t>
                                  </w:r>
                                </w:p>
                                <w:p w14:paraId="60D5FD90">
                                  <w:pPr>
                                    <w:rPr>
                                      <w:rFonts w:hint="eastAsia" w:ascii="仿宋_GB2312" w:hAnsi="仿宋" w:eastAsia="仿宋_GB2312" w:cs="Arial"/>
                                      <w:kern w:val="0"/>
                                      <w:szCs w:val="21"/>
                                      <w:u w:val="single"/>
                                    </w:rPr>
                                  </w:pPr>
                                  <w:r>
                                    <w:rPr>
                                      <w:rFonts w:hint="eastAsia" w:ascii="仿宋_GB2312" w:hAnsi="仿宋" w:eastAsia="仿宋_GB2312" w:cs="Arial"/>
                                      <w:kern w:val="0"/>
                                      <w:szCs w:val="21"/>
                                    </w:rPr>
                                    <w:t>采购人名称：</w:t>
                                  </w:r>
                                </w:p>
                                <w:p w14:paraId="04C05FD6">
                                  <w:pPr>
                                    <w:ind w:firstLine="420" w:firstLineChars="200"/>
                                    <w:rPr>
                                      <w:rFonts w:hint="eastAsia" w:ascii="仿宋_GB2312" w:hAnsi="仿宋" w:eastAsia="仿宋_GB2312" w:cs="Arial"/>
                                      <w:kern w:val="0"/>
                                      <w:szCs w:val="21"/>
                                    </w:rPr>
                                  </w:pPr>
                                  <w:r>
                                    <w:rPr>
                                      <w:rFonts w:hint="eastAsia" w:ascii="仿宋_GB2312" w:hAnsi="仿宋" w:eastAsia="仿宋_GB2312" w:cs="Arial"/>
                                      <w:kern w:val="0"/>
                                      <w:szCs w:val="21"/>
                                    </w:rPr>
                                    <w:t>本文件于年月日点分（北京时间）（比选截止时间）前不得开封此文件</w:t>
                                  </w:r>
                                </w:p>
                                <w:p w14:paraId="7166BAD7">
                                  <w:pPr>
                                    <w:rPr>
                                      <w:rFonts w:hint="eastAsia" w:ascii="仿宋_GB2312" w:hAnsi="仿宋" w:eastAsia="仿宋_GB2312" w:cs="Arial"/>
                                      <w:kern w:val="0"/>
                                      <w:szCs w:val="21"/>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名称：（公章）</w:t>
                                  </w:r>
                                </w:p>
                                <w:p w14:paraId="76E796F4">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地址、邮编：</w:t>
                                  </w:r>
                                </w:p>
                                <w:p w14:paraId="33FD5FC7">
                                  <w:pPr>
                                    <w:rPr>
                                      <w:rFonts w:hint="eastAsia" w:ascii="仿宋_GB2312" w:hAnsi="仿宋" w:eastAsia="仿宋_GB2312" w:cs="Arial"/>
                                      <w:kern w:val="0"/>
                                      <w:szCs w:val="21"/>
                                      <w:u w:val="single"/>
                                    </w:rPr>
                                  </w:pPr>
                                  <w:r>
                                    <w:rPr>
                                      <w:rFonts w:hint="eastAsia" w:ascii="仿宋_GB2312" w:hAnsi="仿宋" w:eastAsia="仿宋_GB2312" w:cs="Arial"/>
                                      <w:kern w:val="0"/>
                                      <w:szCs w:val="21"/>
                                    </w:rPr>
                                    <w:t>封装文件内容：</w:t>
                                  </w:r>
                                </w:p>
                                <w:p w14:paraId="48816A69">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联系人及联系电话：</w:t>
                                  </w:r>
                                </w:p>
                              </w:txbxContent>
                            </wps:txbx>
                            <wps:bodyPr upright="1"/>
                          </wps:wsp>
                        </a:graphicData>
                      </a:graphic>
                    </wp:anchor>
                  </w:drawing>
                </mc:Choice>
                <mc:Fallback>
                  <w:pict>
                    <v:rect id="文本框 5" o:spid="_x0000_s1026" o:spt="1" style="position:absolute;left:0pt;margin-left:7.55pt;margin-top:4.7pt;height:193.15pt;width:257.35pt;z-index:251666432;mso-width-relative:page;mso-height-relative:page;" fillcolor="#FFFFFF" filled="t" stroked="t" coordsize="21600,21600" o:gfxdata="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&#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HxDW1gAAAAgBAAAPAAAAAAAAAAEAIAAAACIAAABk&#10;cnMvZG93bnJldi54bWxQSwECFAAUAAAACACHTuJAtvCKqAgCAAAtBAAADgAAAAAAAAABACAAAAAl&#10;AQAAZHJzL2Uyb0RvYy54bWxQSwUGAAAAAAYABgBZAQAAnwUAAAAA&#10;">
                      <v:fill on="t" focussize="0,0"/>
                      <v:stroke color="#000000" joinstyle="miter"/>
                      <v:imagedata o:title=""/>
                      <o:lock v:ext="edit" aspectratio="f"/>
                      <v:textbox>
                        <w:txbxContent>
                          <w:p w14:paraId="76B6E9A4">
                            <w:pPr>
                              <w:ind w:firstLine="1050" w:firstLineChars="500"/>
                              <w:rPr>
                                <w:rFonts w:hint="eastAsia" w:ascii="仿宋_GB2312" w:hAnsi="仿宋" w:eastAsia="仿宋_GB2312" w:cs="Arial"/>
                                <w:kern w:val="0"/>
                                <w:szCs w:val="21"/>
                              </w:rPr>
                            </w:pPr>
                            <w:r>
                              <w:rPr>
                                <w:rFonts w:hint="eastAsia" w:ascii="仿宋_GB2312" w:hAnsi="仿宋" w:eastAsia="仿宋_GB2312" w:cs="Arial"/>
                                <w:kern w:val="0"/>
                                <w:szCs w:val="21"/>
                              </w:rPr>
                              <w:t>响应文件（文件）</w:t>
                            </w:r>
                          </w:p>
                          <w:p w14:paraId="0224301B">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询比</w:t>
                            </w:r>
                            <w:r>
                              <w:rPr>
                                <w:rFonts w:hint="eastAsia" w:ascii="仿宋_GB2312" w:hAnsi="仿宋" w:eastAsia="仿宋_GB2312" w:cs="Arial"/>
                                <w:kern w:val="0"/>
                                <w:szCs w:val="21"/>
                              </w:rPr>
                              <w:t>项目：</w:t>
                            </w:r>
                          </w:p>
                          <w:p w14:paraId="3BF33855">
                            <w:pPr>
                              <w:rPr>
                                <w:rFonts w:hint="eastAsia" w:ascii="仿宋_GB2312" w:hAnsi="仿宋" w:eastAsia="仿宋_GB2312" w:cs="Arial"/>
                                <w:kern w:val="0"/>
                                <w:szCs w:val="21"/>
                                <w:u w:val="single"/>
                              </w:rPr>
                            </w:pPr>
                            <w:r>
                              <w:rPr>
                                <w:rFonts w:hint="eastAsia" w:ascii="仿宋_GB2312" w:hAnsi="仿宋" w:eastAsia="仿宋_GB2312" w:cs="Arial"/>
                                <w:bCs/>
                                <w:szCs w:val="21"/>
                              </w:rPr>
                              <w:t>项目编号：</w:t>
                            </w:r>
                          </w:p>
                          <w:p w14:paraId="439ACDE2">
                            <w:pPr>
                              <w:rPr>
                                <w:rFonts w:hint="eastAsia" w:ascii="仿宋_GB2312" w:hAnsi="仿宋" w:eastAsia="仿宋_GB2312" w:cs="Arial"/>
                                <w:kern w:val="0"/>
                                <w:szCs w:val="21"/>
                              </w:rPr>
                            </w:pPr>
                            <w:r>
                              <w:rPr>
                                <w:rFonts w:hint="eastAsia" w:ascii="仿宋_GB2312" w:hAnsi="仿宋" w:eastAsia="仿宋_GB2312" w:cs="Arial"/>
                                <w:kern w:val="0"/>
                                <w:szCs w:val="21"/>
                              </w:rPr>
                              <w:t>标包号（如有）：</w:t>
                            </w:r>
                          </w:p>
                          <w:p w14:paraId="60D5FD90">
                            <w:pPr>
                              <w:rPr>
                                <w:rFonts w:hint="eastAsia" w:ascii="仿宋_GB2312" w:hAnsi="仿宋" w:eastAsia="仿宋_GB2312" w:cs="Arial"/>
                                <w:kern w:val="0"/>
                                <w:szCs w:val="21"/>
                                <w:u w:val="single"/>
                              </w:rPr>
                            </w:pPr>
                            <w:r>
                              <w:rPr>
                                <w:rFonts w:hint="eastAsia" w:ascii="仿宋_GB2312" w:hAnsi="仿宋" w:eastAsia="仿宋_GB2312" w:cs="Arial"/>
                                <w:kern w:val="0"/>
                                <w:szCs w:val="21"/>
                              </w:rPr>
                              <w:t>采购人名称：</w:t>
                            </w:r>
                          </w:p>
                          <w:p w14:paraId="04C05FD6">
                            <w:pPr>
                              <w:ind w:firstLine="420" w:firstLineChars="200"/>
                              <w:rPr>
                                <w:rFonts w:hint="eastAsia" w:ascii="仿宋_GB2312" w:hAnsi="仿宋" w:eastAsia="仿宋_GB2312" w:cs="Arial"/>
                                <w:kern w:val="0"/>
                                <w:szCs w:val="21"/>
                              </w:rPr>
                            </w:pPr>
                            <w:r>
                              <w:rPr>
                                <w:rFonts w:hint="eastAsia" w:ascii="仿宋_GB2312" w:hAnsi="仿宋" w:eastAsia="仿宋_GB2312" w:cs="Arial"/>
                                <w:kern w:val="0"/>
                                <w:szCs w:val="21"/>
                              </w:rPr>
                              <w:t>本文件于年月日点分（北京时间）（比选截止时间）前不得开封此文件</w:t>
                            </w:r>
                          </w:p>
                          <w:p w14:paraId="7166BAD7">
                            <w:pPr>
                              <w:rPr>
                                <w:rFonts w:hint="eastAsia" w:ascii="仿宋_GB2312" w:hAnsi="仿宋" w:eastAsia="仿宋_GB2312" w:cs="Arial"/>
                                <w:kern w:val="0"/>
                                <w:szCs w:val="21"/>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名称：（公章）</w:t>
                            </w:r>
                          </w:p>
                          <w:p w14:paraId="76E796F4">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地址、邮编：</w:t>
                            </w:r>
                          </w:p>
                          <w:p w14:paraId="33FD5FC7">
                            <w:pPr>
                              <w:rPr>
                                <w:rFonts w:hint="eastAsia" w:ascii="仿宋_GB2312" w:hAnsi="仿宋" w:eastAsia="仿宋_GB2312" w:cs="Arial"/>
                                <w:kern w:val="0"/>
                                <w:szCs w:val="21"/>
                                <w:u w:val="single"/>
                              </w:rPr>
                            </w:pPr>
                            <w:r>
                              <w:rPr>
                                <w:rFonts w:hint="eastAsia" w:ascii="仿宋_GB2312" w:hAnsi="仿宋" w:eastAsia="仿宋_GB2312" w:cs="Arial"/>
                                <w:kern w:val="0"/>
                                <w:szCs w:val="21"/>
                              </w:rPr>
                              <w:t>封装文件内容：</w:t>
                            </w:r>
                          </w:p>
                          <w:p w14:paraId="48816A69">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联系人及联系电话：</w:t>
                            </w:r>
                          </w:p>
                        </w:txbxContent>
                      </v:textbox>
                    </v:rect>
                  </w:pict>
                </mc:Fallback>
              </mc:AlternateContent>
            </w:r>
          </w:p>
          <w:p w14:paraId="66DC1CEE">
            <w:pPr>
              <w:autoSpaceDE w:val="0"/>
              <w:autoSpaceDN w:val="0"/>
              <w:rPr>
                <w:rFonts w:hint="eastAsia" w:ascii="宋体" w:hAnsi="宋体" w:cs="宋体"/>
                <w:szCs w:val="21"/>
              </w:rPr>
            </w:pPr>
          </w:p>
          <w:p w14:paraId="2C391CF4">
            <w:pPr>
              <w:autoSpaceDE w:val="0"/>
              <w:autoSpaceDN w:val="0"/>
              <w:rPr>
                <w:rFonts w:hint="eastAsia" w:ascii="宋体" w:hAnsi="宋体" w:cs="宋体"/>
                <w:szCs w:val="21"/>
              </w:rPr>
            </w:pPr>
          </w:p>
          <w:p w14:paraId="17FA5F5C">
            <w:pPr>
              <w:autoSpaceDE w:val="0"/>
              <w:autoSpaceDN w:val="0"/>
              <w:rPr>
                <w:rFonts w:hint="eastAsia" w:ascii="宋体" w:hAnsi="宋体" w:cs="宋体"/>
                <w:szCs w:val="21"/>
              </w:rPr>
            </w:pPr>
          </w:p>
          <w:p w14:paraId="51F22127">
            <w:pPr>
              <w:autoSpaceDE w:val="0"/>
              <w:autoSpaceDN w:val="0"/>
              <w:rPr>
                <w:rFonts w:hint="eastAsia" w:ascii="宋体" w:hAnsi="宋体" w:cs="宋体"/>
                <w:szCs w:val="21"/>
              </w:rPr>
            </w:pPr>
          </w:p>
          <w:p w14:paraId="33325B13">
            <w:pPr>
              <w:autoSpaceDE w:val="0"/>
              <w:autoSpaceDN w:val="0"/>
              <w:rPr>
                <w:rFonts w:hint="eastAsia" w:ascii="宋体" w:hAnsi="宋体" w:cs="宋体"/>
                <w:szCs w:val="21"/>
              </w:rPr>
            </w:pPr>
          </w:p>
          <w:p w14:paraId="33EB5985">
            <w:pPr>
              <w:autoSpaceDE w:val="0"/>
              <w:autoSpaceDN w:val="0"/>
              <w:rPr>
                <w:rFonts w:hint="eastAsia" w:ascii="宋体" w:hAnsi="宋体" w:cs="宋体"/>
                <w:szCs w:val="21"/>
              </w:rPr>
            </w:pPr>
          </w:p>
          <w:p w14:paraId="059DE0D1">
            <w:pPr>
              <w:autoSpaceDE w:val="0"/>
              <w:autoSpaceDN w:val="0"/>
              <w:rPr>
                <w:rFonts w:hint="eastAsia" w:ascii="宋体" w:hAnsi="宋体" w:cs="宋体"/>
                <w:szCs w:val="21"/>
              </w:rPr>
            </w:pPr>
          </w:p>
          <w:p w14:paraId="4F3A7517">
            <w:pPr>
              <w:autoSpaceDE w:val="0"/>
              <w:autoSpaceDN w:val="0"/>
              <w:rPr>
                <w:rFonts w:hint="eastAsia" w:ascii="宋体" w:hAnsi="宋体" w:cs="宋体"/>
                <w:szCs w:val="21"/>
              </w:rPr>
            </w:pPr>
          </w:p>
          <w:p w14:paraId="212D0647">
            <w:pPr>
              <w:autoSpaceDE w:val="0"/>
              <w:autoSpaceDN w:val="0"/>
              <w:rPr>
                <w:rFonts w:hint="eastAsia" w:ascii="宋体" w:hAnsi="宋体" w:cs="宋体"/>
                <w:szCs w:val="21"/>
              </w:rPr>
            </w:pPr>
          </w:p>
          <w:p w14:paraId="731815A9">
            <w:pPr>
              <w:autoSpaceDE w:val="0"/>
              <w:autoSpaceDN w:val="0"/>
              <w:rPr>
                <w:rFonts w:hint="eastAsia" w:ascii="宋体" w:hAnsi="宋体" w:cs="宋体"/>
                <w:szCs w:val="21"/>
              </w:rPr>
            </w:pPr>
          </w:p>
          <w:p w14:paraId="5F2B0327">
            <w:pPr>
              <w:autoSpaceDE w:val="0"/>
              <w:autoSpaceDN w:val="0"/>
              <w:rPr>
                <w:rFonts w:hint="eastAsia" w:ascii="宋体" w:hAnsi="宋体" w:cs="宋体"/>
                <w:szCs w:val="21"/>
              </w:rPr>
            </w:pPr>
          </w:p>
          <w:p w14:paraId="7764146E">
            <w:pPr>
              <w:autoSpaceDE w:val="0"/>
              <w:autoSpaceDN w:val="0"/>
              <w:rPr>
                <w:rFonts w:hint="eastAsia" w:cs="宋体" w:asciiTheme="minorEastAsia" w:hAnsiTheme="minorEastAsia" w:eastAsiaTheme="minorEastAsia"/>
                <w:color w:val="auto"/>
                <w:szCs w:val="21"/>
                <w:highlight w:val="none"/>
              </w:rPr>
            </w:pPr>
          </w:p>
        </w:tc>
      </w:tr>
      <w:tr w14:paraId="43EB86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3BE2355">
            <w:pPr>
              <w:autoSpaceDE w:val="0"/>
              <w:autoSpaceDN w:val="0"/>
              <w:jc w:val="center"/>
              <w:rPr>
                <w:rFonts w:hint="default" w:cs="宋体" w:asciiTheme="minorEastAsia" w:hAnsiTheme="minorEastAsia" w:eastAsiaTheme="minorEastAsia"/>
                <w:color w:val="auto"/>
                <w:szCs w:val="21"/>
                <w:highlight w:val="none"/>
                <w:lang w:val="en-US"/>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5.4</w:t>
            </w:r>
          </w:p>
        </w:tc>
        <w:tc>
          <w:tcPr>
            <w:tcW w:w="1666" w:type="dxa"/>
            <w:vAlign w:val="center"/>
          </w:tcPr>
          <w:p w14:paraId="18166E77">
            <w:pPr>
              <w:autoSpaceDE w:val="0"/>
              <w:autoSpaceDN w:val="0"/>
              <w:jc w:val="left"/>
              <w:rPr>
                <w:rFonts w:hint="eastAsia" w:cs="宋体" w:asciiTheme="minorEastAsia" w:hAnsiTheme="minorEastAsia" w:eastAsiaTheme="minorEastAsia"/>
                <w:szCs w:val="21"/>
              </w:rPr>
            </w:pPr>
            <w:r>
              <w:rPr>
                <w:rFonts w:hint="eastAsia" w:ascii="宋体" w:hAnsi="宋体" w:cs="宋体"/>
                <w:szCs w:val="21"/>
                <w:lang w:val="en-US" w:eastAsia="zh-CN"/>
              </w:rPr>
              <w:t>响应</w:t>
            </w:r>
            <w:r>
              <w:rPr>
                <w:rFonts w:hint="eastAsia" w:cs="宋体" w:asciiTheme="minorEastAsia" w:hAnsiTheme="minorEastAsia" w:eastAsiaTheme="minorEastAsia"/>
                <w:szCs w:val="21"/>
              </w:rPr>
              <w:t>文件的密封和标记要求</w:t>
            </w:r>
          </w:p>
        </w:tc>
        <w:tc>
          <w:tcPr>
            <w:tcW w:w="5795" w:type="dxa"/>
            <w:vAlign w:val="center"/>
          </w:tcPr>
          <w:p w14:paraId="26ADB422">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本条款增加如下规定：</w:t>
            </w:r>
          </w:p>
          <w:p w14:paraId="0CEB1BC5">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（1）所有纸质文件采用A4纸胶装、平装。所有纸质</w:t>
            </w:r>
            <w:r>
              <w:rPr>
                <w:rFonts w:hint="eastAsia" w:ascii="宋体" w:hAnsi="宋体" w:cs="宋体"/>
                <w:szCs w:val="21"/>
                <w:lang w:val="en-US" w:eastAsia="zh-CN"/>
              </w:rPr>
              <w:t>响应</w:t>
            </w:r>
            <w:r>
              <w:rPr>
                <w:rFonts w:hint="eastAsia" w:cs="宋体" w:asciiTheme="minorEastAsia" w:hAnsiTheme="minorEastAsia" w:eastAsiaTheme="minorEastAsia"/>
                <w:szCs w:val="21"/>
              </w:rPr>
              <w:t>文件（除报价文件外）应增加统一外层包封。</w:t>
            </w:r>
          </w:p>
          <w:p w14:paraId="70BD3BDA">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（2）报价文件（单独封装）：封装于独立的信封内，信封上标明“报价文件”字样，并在封口处加盖单位公章或专用章的骑缝章。</w:t>
            </w:r>
          </w:p>
          <w:p w14:paraId="59E2E2E9">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（3）电子参选文件须存储在USB移动存储介质中，单独密封包装，并于包装上清楚地标记“电子参选文件”字样。</w:t>
            </w:r>
          </w:p>
        </w:tc>
      </w:tr>
      <w:tr w14:paraId="33591B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2B56137">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.1</w:t>
            </w:r>
          </w:p>
        </w:tc>
        <w:tc>
          <w:tcPr>
            <w:tcW w:w="1666" w:type="dxa"/>
            <w:vAlign w:val="center"/>
          </w:tcPr>
          <w:p w14:paraId="76C610FA">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响应文件提交截止时间</w:t>
            </w:r>
          </w:p>
        </w:tc>
        <w:tc>
          <w:tcPr>
            <w:tcW w:w="5795" w:type="dxa"/>
            <w:vAlign w:val="center"/>
          </w:tcPr>
          <w:p w14:paraId="02C3FB47">
            <w:pPr>
              <w:autoSpaceDE w:val="0"/>
              <w:autoSpaceDN w:val="0"/>
              <w:rPr>
                <w:rFonts w:cs="宋体" w:asciiTheme="minorEastAsia" w:hAnsiTheme="minorEastAsia" w:eastAsiaTheme="minorEastAsia"/>
                <w:color w:val="auto"/>
                <w:szCs w:val="21"/>
                <w:highlight w:val="none"/>
              </w:rPr>
            </w:pPr>
            <w:r>
              <w:rPr>
                <w:rFonts w:hint="eastAsia" w:ascii="宋体" w:hAnsi="宋体"/>
                <w:color w:val="auto"/>
                <w:szCs w:val="21"/>
                <w:highlight w:val="none"/>
                <w:u w:val="single"/>
              </w:rPr>
              <w:t>详见询比公告</w:t>
            </w:r>
          </w:p>
        </w:tc>
      </w:tr>
      <w:tr w14:paraId="40B7D0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DB59641">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.2</w:t>
            </w:r>
          </w:p>
        </w:tc>
        <w:tc>
          <w:tcPr>
            <w:tcW w:w="1666" w:type="dxa"/>
            <w:vAlign w:val="center"/>
          </w:tcPr>
          <w:p w14:paraId="6BE66A56">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响应文件提交地点</w:t>
            </w:r>
          </w:p>
        </w:tc>
        <w:tc>
          <w:tcPr>
            <w:tcW w:w="5795" w:type="dxa"/>
            <w:vAlign w:val="center"/>
          </w:tcPr>
          <w:p w14:paraId="7F3A93B3">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湖北信通通信有限公司招标运营楼二楼202开标厅（武汉市江岸区惠济路10号）</w:t>
            </w:r>
          </w:p>
        </w:tc>
      </w:tr>
      <w:tr w14:paraId="57F4CC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1273E58">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70B61E17">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响应文件退还</w:t>
            </w:r>
          </w:p>
        </w:tc>
        <w:tc>
          <w:tcPr>
            <w:tcW w:w="5795" w:type="dxa"/>
            <w:vAlign w:val="center"/>
          </w:tcPr>
          <w:p w14:paraId="10903C1C">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不退还</w:t>
            </w:r>
          </w:p>
          <w:p w14:paraId="4F72CBE3">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□退还，</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响应文件退还的具体要求</w:t>
            </w:r>
            <w:r>
              <w:rPr>
                <w:rFonts w:hint="eastAsia" w:asciiTheme="minorEastAsia" w:hAnsiTheme="minorEastAsia" w:eastAsiaTheme="minorEastAsia"/>
                <w:color w:val="auto"/>
                <w:szCs w:val="21"/>
                <w:highlight w:val="none"/>
              </w:rPr>
              <w:t>】</w:t>
            </w:r>
          </w:p>
        </w:tc>
      </w:tr>
      <w:tr w14:paraId="364D5F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7D633B5">
            <w:pPr>
              <w:autoSpaceDE w:val="0"/>
              <w:autoSpaceDN w:val="0"/>
              <w:jc w:val="center"/>
              <w:rPr>
                <w:rFonts w:hint="eastAsia"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496C1917">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提交响应文件的供应商不足三家的处理原则</w:t>
            </w:r>
          </w:p>
        </w:tc>
        <w:tc>
          <w:tcPr>
            <w:tcW w:w="5795" w:type="dxa"/>
            <w:vAlign w:val="center"/>
          </w:tcPr>
          <w:p w14:paraId="264E6D28">
            <w:pPr>
              <w:autoSpaceDE w:val="0"/>
              <w:autoSpaceDN w:val="0"/>
              <w:rPr>
                <w:rFonts w:cs="宋体" w:asciiTheme="minorEastAsia" w:hAnsiTheme="minorEastAsia"/>
                <w:color w:val="auto"/>
                <w:szCs w:val="21"/>
                <w:highlight w:val="none"/>
              </w:rPr>
            </w:pPr>
            <w:r>
              <w:rPr>
                <w:rFonts w:hint="eastAsia" w:cs="宋体" w:asciiTheme="minorEastAsia" w:hAnsiTheme="minorEastAsia"/>
                <w:color w:val="auto"/>
                <w:szCs w:val="21"/>
                <w:highlight w:val="none"/>
              </w:rPr>
              <w:t>第一次递交响应文件不足三家，不得唱价，重新询比。</w:t>
            </w:r>
          </w:p>
          <w:p w14:paraId="143229A9">
            <w:pPr>
              <w:autoSpaceDE w:val="0"/>
              <w:autoSpaceDN w:val="0"/>
              <w:rPr>
                <w:rFonts w:hint="eastAsia" w:eastAsia="宋体" w:cs="宋体" w:asciiTheme="minorEastAsia" w:hAnsiTheme="minorEastAsia"/>
                <w:color w:val="auto"/>
                <w:szCs w:val="21"/>
                <w:highlight w:val="none"/>
                <w:lang w:eastAsia="zh-CN"/>
              </w:rPr>
            </w:pPr>
            <w:r>
              <w:rPr>
                <w:rFonts w:hint="eastAsia" w:cs="宋体" w:asciiTheme="minorEastAsia" w:hAnsiTheme="minorEastAsia"/>
                <w:color w:val="auto"/>
                <w:szCs w:val="21"/>
                <w:highlight w:val="none"/>
              </w:rPr>
              <w:t>重新询比后，递交响应文件不足三家，采购人可对2家可以继续评审、1家可以转为直接采购，或重新组织询比。</w:t>
            </w:r>
          </w:p>
        </w:tc>
      </w:tr>
      <w:tr w14:paraId="3052BC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D36C333">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3.7</w:t>
            </w:r>
          </w:p>
        </w:tc>
        <w:tc>
          <w:tcPr>
            <w:tcW w:w="1666" w:type="dxa"/>
            <w:vAlign w:val="center"/>
          </w:tcPr>
          <w:p w14:paraId="540184B1">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询比响应文件提交异常的处理方式</w:t>
            </w:r>
          </w:p>
        </w:tc>
        <w:tc>
          <w:tcPr>
            <w:tcW w:w="5795" w:type="dxa"/>
            <w:vAlign w:val="center"/>
          </w:tcPr>
          <w:p w14:paraId="09D4915E">
            <w:pPr>
              <w:autoSpaceDE w:val="0"/>
              <w:autoSpaceDN w:val="0"/>
              <w:rPr>
                <w:rFonts w:hint="eastAsia" w:eastAsia="宋体" w:cs="宋体" w:asciiTheme="minorEastAsia" w:hAnsiTheme="minorEastAsia"/>
                <w:color w:val="auto"/>
                <w:szCs w:val="21"/>
                <w:highlight w:val="none"/>
              </w:rPr>
            </w:pPr>
            <w:r>
              <w:rPr>
                <w:rFonts w:hint="eastAsia" w:eastAsia="宋体" w:cs="宋体" w:asciiTheme="minorEastAsia" w:hAnsiTheme="minorEastAsia"/>
                <w:color w:val="auto"/>
                <w:szCs w:val="21"/>
                <w:highlight w:val="none"/>
              </w:rPr>
              <w:t>纸质</w:t>
            </w:r>
            <w:r>
              <w:rPr>
                <w:rFonts w:hint="eastAsia" w:eastAsia="宋体" w:cs="宋体" w:asciiTheme="minorEastAsia" w:hAnsiTheme="minorEastAsia"/>
                <w:color w:val="auto"/>
                <w:szCs w:val="21"/>
                <w:highlight w:val="none"/>
                <w:lang w:val="en-US" w:eastAsia="zh-CN"/>
              </w:rPr>
              <w:t>响应</w:t>
            </w:r>
            <w:r>
              <w:rPr>
                <w:rFonts w:hint="eastAsia" w:eastAsia="宋体" w:cs="宋体" w:asciiTheme="minorEastAsia" w:hAnsiTheme="minorEastAsia"/>
                <w:color w:val="auto"/>
                <w:szCs w:val="21"/>
                <w:highlight w:val="none"/>
              </w:rPr>
              <w:t>文件逾期送达或者未送达指定地点的；</w:t>
            </w:r>
          </w:p>
          <w:p w14:paraId="4EF18927">
            <w:pPr>
              <w:autoSpaceDE w:val="0"/>
              <w:autoSpaceDN w:val="0"/>
              <w:rPr>
                <w:rFonts w:hint="eastAsia" w:eastAsia="宋体" w:cs="宋体" w:asciiTheme="minorEastAsia" w:hAnsiTheme="minorEastAsia"/>
                <w:color w:val="auto"/>
                <w:szCs w:val="21"/>
                <w:highlight w:val="none"/>
              </w:rPr>
            </w:pPr>
            <w:r>
              <w:rPr>
                <w:rFonts w:hint="eastAsia" w:eastAsia="宋体" w:cs="宋体" w:asciiTheme="minorEastAsia" w:hAnsiTheme="minorEastAsia"/>
                <w:color w:val="auto"/>
                <w:szCs w:val="21"/>
                <w:highlight w:val="none"/>
              </w:rPr>
              <w:t>未按照</w:t>
            </w:r>
            <w:r>
              <w:rPr>
                <w:rFonts w:hint="eastAsia" w:eastAsia="宋体" w:cs="宋体" w:asciiTheme="minorEastAsia" w:hAnsiTheme="minorEastAsia"/>
                <w:color w:val="auto"/>
                <w:szCs w:val="21"/>
                <w:highlight w:val="none"/>
                <w:lang w:val="en-US" w:eastAsia="zh-CN"/>
              </w:rPr>
              <w:t>询比</w:t>
            </w:r>
            <w:r>
              <w:rPr>
                <w:rFonts w:hint="eastAsia" w:eastAsia="宋体" w:cs="宋体" w:asciiTheme="minorEastAsia" w:hAnsiTheme="minorEastAsia"/>
                <w:color w:val="auto"/>
                <w:szCs w:val="21"/>
                <w:highlight w:val="none"/>
              </w:rPr>
              <w:t>文件要求密封的；</w:t>
            </w:r>
          </w:p>
          <w:p w14:paraId="4999D8B3">
            <w:pPr>
              <w:autoSpaceDE w:val="0"/>
              <w:autoSpaceDN w:val="0"/>
              <w:rPr>
                <w:rFonts w:hint="eastAsia" w:eastAsia="宋体" w:asciiTheme="minorEastAsia" w:hAnsiTheme="minorEastAsia"/>
                <w:color w:val="auto"/>
                <w:szCs w:val="21"/>
                <w:highlight w:val="none"/>
                <w:lang w:eastAsia="zh-CN"/>
              </w:rPr>
            </w:pPr>
            <w:r>
              <w:rPr>
                <w:rFonts w:hint="eastAsia" w:eastAsia="宋体" w:cs="宋体" w:asciiTheme="minorEastAsia" w:hAnsiTheme="minorEastAsia"/>
                <w:color w:val="auto"/>
                <w:szCs w:val="21"/>
                <w:highlight w:val="none"/>
              </w:rPr>
              <w:t>未按照本公告要求获得本项目</w:t>
            </w:r>
            <w:r>
              <w:rPr>
                <w:rFonts w:hint="eastAsia" w:eastAsia="宋体" w:cs="宋体" w:asciiTheme="minorEastAsia" w:hAnsiTheme="minorEastAsia"/>
                <w:color w:val="auto"/>
                <w:szCs w:val="21"/>
                <w:highlight w:val="none"/>
                <w:lang w:val="en-US" w:eastAsia="zh-CN"/>
              </w:rPr>
              <w:t>询比</w:t>
            </w:r>
            <w:r>
              <w:rPr>
                <w:rFonts w:hint="eastAsia" w:eastAsia="宋体" w:cs="宋体" w:asciiTheme="minorEastAsia" w:hAnsiTheme="minorEastAsia"/>
                <w:color w:val="auto"/>
                <w:szCs w:val="21"/>
                <w:highlight w:val="none"/>
              </w:rPr>
              <w:t>文件的</w:t>
            </w:r>
            <w:r>
              <w:rPr>
                <w:rFonts w:hint="eastAsia" w:eastAsia="宋体" w:cs="宋体" w:asciiTheme="minorEastAsia" w:hAnsiTheme="minorEastAsia"/>
                <w:color w:val="auto"/>
                <w:szCs w:val="21"/>
                <w:highlight w:val="none"/>
                <w:lang w:eastAsia="zh-CN"/>
              </w:rPr>
              <w:t>。</w:t>
            </w:r>
          </w:p>
        </w:tc>
      </w:tr>
      <w:tr w14:paraId="7E9B40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93" w:hRule="atLeast"/>
        </w:trPr>
        <w:tc>
          <w:tcPr>
            <w:tcW w:w="840" w:type="dxa"/>
            <w:vAlign w:val="center"/>
          </w:tcPr>
          <w:p w14:paraId="643FE38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3.8</w:t>
            </w:r>
          </w:p>
        </w:tc>
        <w:tc>
          <w:tcPr>
            <w:tcW w:w="1666" w:type="dxa"/>
            <w:vAlign w:val="center"/>
          </w:tcPr>
          <w:p w14:paraId="6B17A0E9">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已提交的响应文件的修改或者撤回</w:t>
            </w:r>
          </w:p>
        </w:tc>
        <w:tc>
          <w:tcPr>
            <w:tcW w:w="5795" w:type="dxa"/>
            <w:vAlign w:val="center"/>
          </w:tcPr>
          <w:p w14:paraId="465D5B1C">
            <w:pPr>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供应商可以撤回响应文件，供应商可</w:t>
            </w:r>
            <w:r>
              <w:rPr>
                <w:rFonts w:hint="eastAsia" w:asciiTheme="minorEastAsia" w:hAnsiTheme="minorEastAsia" w:eastAsiaTheme="minorEastAsia"/>
                <w:color w:val="auto"/>
                <w:szCs w:val="21"/>
                <w:highlight w:val="none"/>
                <w:lang w:val="en-US" w:eastAsia="zh-CN"/>
              </w:rPr>
              <w:t>在响应截止时间前</w:t>
            </w:r>
            <w:r>
              <w:rPr>
                <w:rFonts w:hint="eastAsia" w:asciiTheme="minorEastAsia" w:hAnsiTheme="minorEastAsia" w:eastAsiaTheme="minorEastAsia"/>
                <w:color w:val="auto"/>
                <w:szCs w:val="21"/>
                <w:highlight w:val="none"/>
              </w:rPr>
              <w:t>重新</w:t>
            </w:r>
            <w:r>
              <w:rPr>
                <w:rFonts w:hint="eastAsia" w:asciiTheme="minorEastAsia" w:hAnsiTheme="minorEastAsia" w:eastAsiaTheme="minorEastAsia"/>
                <w:color w:val="auto"/>
                <w:szCs w:val="21"/>
                <w:highlight w:val="none"/>
                <w:lang w:val="en-US" w:eastAsia="zh-CN"/>
              </w:rPr>
              <w:t>提交</w:t>
            </w:r>
            <w:r>
              <w:rPr>
                <w:rFonts w:hint="eastAsia" w:asciiTheme="minorEastAsia" w:hAnsiTheme="minorEastAsia" w:eastAsiaTheme="minorEastAsia"/>
                <w:color w:val="auto"/>
                <w:szCs w:val="21"/>
                <w:highlight w:val="none"/>
              </w:rPr>
              <w:t>响应文件。</w:t>
            </w:r>
          </w:p>
        </w:tc>
      </w:tr>
      <w:tr w14:paraId="0E1236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954883F">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3.9</w:t>
            </w:r>
          </w:p>
        </w:tc>
        <w:tc>
          <w:tcPr>
            <w:tcW w:w="1666" w:type="dxa"/>
            <w:vAlign w:val="center"/>
          </w:tcPr>
          <w:p w14:paraId="64A6C86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响应文件开启时间和地点</w:t>
            </w:r>
          </w:p>
        </w:tc>
        <w:tc>
          <w:tcPr>
            <w:tcW w:w="5795" w:type="dxa"/>
            <w:vAlign w:val="center"/>
          </w:tcPr>
          <w:p w14:paraId="72CB5A70">
            <w:pPr>
              <w:autoSpaceDE w:val="0"/>
              <w:autoSpaceDN w:val="0"/>
              <w:rPr>
                <w:rFonts w:hint="default" w:cs="宋体" w:asciiTheme="minorEastAsia" w:hAnsiTheme="minorEastAsia" w:eastAsiaTheme="minorEastAsia"/>
                <w:color w:val="auto"/>
                <w:szCs w:val="21"/>
                <w:highlight w:val="none"/>
                <w:lang w:val="en-US" w:eastAsia="zh-CN"/>
              </w:rPr>
            </w:pPr>
            <w:r>
              <w:rPr>
                <w:rFonts w:hint="eastAsia" w:ascii="宋体" w:hAnsi="宋体" w:cs="宋体"/>
                <w:szCs w:val="21"/>
              </w:rPr>
              <w:t>同</w:t>
            </w:r>
            <w:r>
              <w:rPr>
                <w:rFonts w:hint="eastAsia" w:ascii="宋体" w:hAnsi="宋体" w:cs="宋体"/>
                <w:szCs w:val="21"/>
                <w:lang w:val="en-US" w:eastAsia="zh-CN"/>
              </w:rPr>
              <w:t>响应</w:t>
            </w:r>
            <w:r>
              <w:rPr>
                <w:rFonts w:hint="eastAsia" w:ascii="宋体" w:hAnsi="宋体" w:cs="宋体"/>
                <w:szCs w:val="21"/>
              </w:rPr>
              <w:t>文件递交截止时间和地点。</w:t>
            </w:r>
          </w:p>
        </w:tc>
      </w:tr>
      <w:tr w14:paraId="7D4E94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E92AA5">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w:t>
            </w:r>
            <w:r>
              <w:rPr>
                <w:rFonts w:hint="eastAsia" w:cs="宋体" w:asciiTheme="minorEastAsia" w:hAnsiTheme="minorEastAsia" w:eastAsiaTheme="minorEastAsia"/>
                <w:color w:val="auto"/>
                <w:szCs w:val="21"/>
                <w:highlight w:val="none"/>
                <w:lang w:val="en-US" w:eastAsia="zh-CN"/>
              </w:rPr>
              <w:t>1</w:t>
            </w:r>
          </w:p>
        </w:tc>
        <w:tc>
          <w:tcPr>
            <w:tcW w:w="1666" w:type="dxa"/>
            <w:vAlign w:val="center"/>
          </w:tcPr>
          <w:p w14:paraId="2688803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询比的其他要求及异常处理</w:t>
            </w:r>
          </w:p>
        </w:tc>
        <w:tc>
          <w:tcPr>
            <w:tcW w:w="5795" w:type="dxa"/>
            <w:vAlign w:val="center"/>
          </w:tcPr>
          <w:p w14:paraId="52FD892B">
            <w:pPr>
              <w:autoSpaceDE w:val="0"/>
              <w:autoSpaceDN w:val="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val="en-US" w:eastAsia="zh-CN"/>
              </w:rPr>
              <w:t>/</w:t>
            </w:r>
          </w:p>
        </w:tc>
      </w:tr>
      <w:tr w14:paraId="21D32A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0BA6806">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6.</w:t>
            </w:r>
            <w:r>
              <w:rPr>
                <w:rFonts w:hint="eastAsia" w:cs="宋体" w:asciiTheme="minorEastAsia" w:hAnsiTheme="minorEastAsia" w:eastAsiaTheme="minorEastAsia"/>
                <w:color w:val="auto"/>
                <w:szCs w:val="21"/>
                <w:highlight w:val="none"/>
                <w:lang w:val="en-US" w:eastAsia="zh-CN"/>
              </w:rPr>
              <w:t>1</w:t>
            </w:r>
            <w:r>
              <w:rPr>
                <w:rFonts w:hint="eastAsia" w:cs="宋体" w:asciiTheme="minorEastAsia" w:hAnsiTheme="minorEastAsia" w:eastAsiaTheme="minorEastAsia"/>
                <w:color w:val="auto"/>
                <w:szCs w:val="21"/>
                <w:highlight w:val="none"/>
              </w:rPr>
              <w:t xml:space="preserve"> </w:t>
            </w:r>
          </w:p>
        </w:tc>
        <w:tc>
          <w:tcPr>
            <w:tcW w:w="1666" w:type="dxa"/>
            <w:vAlign w:val="center"/>
          </w:tcPr>
          <w:p w14:paraId="24D1034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成交候选人推荐原则</w:t>
            </w:r>
          </w:p>
        </w:tc>
        <w:tc>
          <w:tcPr>
            <w:tcW w:w="5795" w:type="dxa"/>
            <w:vAlign w:val="center"/>
          </w:tcPr>
          <w:p w14:paraId="0EC2106A">
            <w:pPr>
              <w:autoSpaceDE w:val="0"/>
              <w:autoSpaceDN w:val="0"/>
              <w:rPr>
                <w:rFonts w:cs="Times New Roman" w:asciiTheme="minorEastAsia" w:hAnsiTheme="minorEastAsia" w:eastAsiaTheme="minorEastAsia"/>
                <w:color w:val="auto"/>
                <w:szCs w:val="21"/>
                <w:highlight w:val="none"/>
              </w:rPr>
            </w:pPr>
            <w:bookmarkStart w:id="31" w:name="_Toc346159396"/>
            <w:r>
              <w:rPr>
                <w:rFonts w:hint="eastAsia" w:cs="Times New Roman" w:asciiTheme="minorEastAsia" w:hAnsiTheme="minorEastAsia" w:eastAsiaTheme="minorEastAsia"/>
                <w:color w:val="auto"/>
                <w:szCs w:val="21"/>
                <w:highlight w:val="none"/>
              </w:rPr>
              <w:t>推荐原则如下：</w:t>
            </w:r>
            <w:bookmarkEnd w:id="31"/>
          </w:p>
          <w:p w14:paraId="57A630C8">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当通过初步评审的有效响应供应商为3名或以上时，推荐综合排名前2名为成交候选人；当通过初步评审的有效响应供应商为2名时，可推荐综合排名第1名为成交候选人或重新询比；当通过初步评审的有效响应供应商为1名时，可转为直接采购或重新询比。</w:t>
            </w:r>
          </w:p>
          <w:p w14:paraId="7A2C1D39">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通过初步评审的有效响应供应商不足3家，经评审委员会认定具备竞争性可以继续评审，或认定不具备竞争性的否决全部响应，竞争性论证过程和结果，应在评审报告中如实记载。</w:t>
            </w:r>
          </w:p>
          <w:p w14:paraId="3AD31059">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如综合得分排名相同，评审委员会则优先选取价格较低的供应商为成交候选人；出现价格得分相同时，评审委员会按照技术得分，由高到低依次推荐成交候选人。</w:t>
            </w:r>
          </w:p>
        </w:tc>
      </w:tr>
      <w:tr w14:paraId="31664A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D8F7664">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7.1</w:t>
            </w:r>
          </w:p>
        </w:tc>
        <w:tc>
          <w:tcPr>
            <w:tcW w:w="1666" w:type="dxa"/>
            <w:vAlign w:val="center"/>
          </w:tcPr>
          <w:p w14:paraId="64E4E53B">
            <w:pPr>
              <w:autoSpaceDE w:val="0"/>
              <w:autoSpaceDN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成交结果的异议</w:t>
            </w:r>
          </w:p>
        </w:tc>
        <w:tc>
          <w:tcPr>
            <w:tcW w:w="5795" w:type="dxa"/>
            <w:vAlign w:val="center"/>
          </w:tcPr>
          <w:p w14:paraId="012172EE">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1.异议提出人应为</w:t>
            </w:r>
            <w:r>
              <w:rPr>
                <w:rFonts w:hint="eastAsia" w:cs="宋体" w:asciiTheme="minorEastAsia" w:hAnsiTheme="minorEastAsia" w:eastAsiaTheme="minorEastAsia"/>
                <w:color w:val="auto"/>
                <w:szCs w:val="21"/>
                <w:highlight w:val="none"/>
                <w:lang w:eastAsia="zh-CN"/>
              </w:rPr>
              <w:t>响应供应商</w:t>
            </w:r>
            <w:r>
              <w:rPr>
                <w:rFonts w:hint="eastAsia" w:cs="宋体" w:asciiTheme="minorEastAsia" w:hAnsiTheme="minorEastAsia" w:eastAsiaTheme="minorEastAsia"/>
                <w:color w:val="auto"/>
                <w:szCs w:val="21"/>
                <w:highlight w:val="none"/>
              </w:rPr>
              <w:t>或与本项目有关的利害关系人；</w:t>
            </w:r>
          </w:p>
          <w:p w14:paraId="0F710C59">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2.异议应以书面形式通过异议接收邮箱实名提出，书面异议材料应包括异议事项及证明材料等内容，异议应当包括下列内容：</w:t>
            </w:r>
          </w:p>
          <w:p w14:paraId="351257A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（1）异议人的名称、地址、联系人及联系电话；</w:t>
            </w:r>
          </w:p>
          <w:p w14:paraId="1043547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（2）异议项目名称、标段/包（如有）；</w:t>
            </w:r>
          </w:p>
          <w:p w14:paraId="293416F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（3）具体明确的异议事项和相关的主张、诉求；</w:t>
            </w:r>
          </w:p>
          <w:p w14:paraId="6FFE31A7">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（4）必要的证明材料和依据；</w:t>
            </w:r>
          </w:p>
          <w:p w14:paraId="718747F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（5）提出异议的日期；</w:t>
            </w:r>
          </w:p>
          <w:p w14:paraId="47AC346C">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3.异议人为法人或者其他组织的，异议函应当由法定代表人/负责人或者其授权代表签字，并加盖单位公章。异议人为自然人的，应当由本人签字并提供有效的身份证明；</w:t>
            </w:r>
          </w:p>
          <w:p w14:paraId="72134C4D">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4.异议应在公示期内提出;</w:t>
            </w:r>
          </w:p>
          <w:p w14:paraId="77BC6AF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5.异议人应提供关于异议事项的有效线索，且应配合查证；</w:t>
            </w:r>
          </w:p>
          <w:p w14:paraId="5DF9BD6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6.书面异议材料加盖单位公章后以纸质文件或电子扫描件提交；</w:t>
            </w:r>
          </w:p>
          <w:p w14:paraId="63DA04F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7.异议人对其他</w:t>
            </w:r>
            <w:r>
              <w:rPr>
                <w:rFonts w:hint="eastAsia" w:cs="宋体" w:asciiTheme="minorEastAsia" w:hAnsiTheme="minorEastAsia" w:eastAsiaTheme="minorEastAsia"/>
                <w:color w:val="auto"/>
                <w:szCs w:val="21"/>
                <w:highlight w:val="none"/>
                <w:lang w:eastAsia="zh-CN"/>
              </w:rPr>
              <w:t>响应供应商</w:t>
            </w:r>
            <w:r>
              <w:rPr>
                <w:rFonts w:hint="eastAsia" w:cs="宋体" w:asciiTheme="minorEastAsia" w:hAnsiTheme="minorEastAsia" w:eastAsiaTheme="minorEastAsia"/>
                <w:color w:val="auto"/>
                <w:szCs w:val="21"/>
                <w:highlight w:val="none"/>
              </w:rPr>
              <w:t>的投标文件及评审资料等非公开内容提出异议的，应提供合法信息来源；</w:t>
            </w:r>
          </w:p>
          <w:p w14:paraId="2D80D0F8">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8.</w:t>
            </w:r>
            <w:r>
              <w:rPr>
                <w:rFonts w:hint="eastAsia" w:cs="宋体" w:asciiTheme="minorEastAsia" w:hAnsiTheme="minorEastAsia" w:eastAsiaTheme="minorEastAsia"/>
                <w:color w:val="auto"/>
                <w:szCs w:val="21"/>
                <w:highlight w:val="none"/>
                <w:lang w:val="en-US" w:eastAsia="zh-CN"/>
              </w:rPr>
              <w:t>采购人</w:t>
            </w:r>
            <w:r>
              <w:rPr>
                <w:rFonts w:hint="eastAsia" w:cs="宋体" w:asciiTheme="minorEastAsia" w:hAnsiTheme="minorEastAsia" w:eastAsiaTheme="minorEastAsia"/>
                <w:color w:val="auto"/>
                <w:szCs w:val="21"/>
                <w:highlight w:val="none"/>
              </w:rPr>
              <w:t>认为异议材料不明确、不充分，需要异议人进一步明确或补充的，异议人应按要求进行明确或补充；</w:t>
            </w:r>
          </w:p>
          <w:p w14:paraId="3F7666E3">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9.异议人提出的异议事项属于以下三种情况的，</w:t>
            </w:r>
            <w:r>
              <w:rPr>
                <w:rFonts w:hint="eastAsia" w:cs="宋体" w:asciiTheme="minorEastAsia" w:hAnsiTheme="minorEastAsia" w:eastAsiaTheme="minorEastAsia"/>
                <w:color w:val="auto"/>
                <w:szCs w:val="21"/>
                <w:highlight w:val="none"/>
                <w:lang w:val="en-US" w:eastAsia="zh-CN"/>
              </w:rPr>
              <w:t>采购人</w:t>
            </w:r>
            <w:r>
              <w:rPr>
                <w:rFonts w:hint="eastAsia" w:cs="宋体" w:asciiTheme="minorEastAsia" w:hAnsiTheme="minorEastAsia" w:eastAsiaTheme="minorEastAsia"/>
                <w:color w:val="auto"/>
                <w:szCs w:val="21"/>
                <w:highlight w:val="none"/>
              </w:rPr>
              <w:t>有权不予受理：</w:t>
            </w:r>
          </w:p>
          <w:p w14:paraId="27D91F58">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（1）异议提出不符合上述任意一项要求的；</w:t>
            </w:r>
          </w:p>
          <w:p w14:paraId="69928777">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（2）已作出明确答复，且无新的事实证据，就同一事项反复提出异议的；</w:t>
            </w:r>
          </w:p>
          <w:p w14:paraId="1D72A58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（3）异议事项已进入行政投诉、行政复议、行政诉讼或者其他司法程序的；</w:t>
            </w:r>
          </w:p>
          <w:p w14:paraId="1CF75543">
            <w:pPr>
              <w:wordWrap w:val="0"/>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10.异议人应保证异议内容和相关证明材料的真实性及其来源的合法性，并承担相应的法律责任</w:t>
            </w:r>
          </w:p>
          <w:p w14:paraId="48134AB0">
            <w:pPr>
              <w:wordWrap w:val="0"/>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异议接收邮箱：</w:t>
            </w:r>
            <w:r>
              <w:rPr>
                <w:rFonts w:hint="eastAsia" w:ascii="宋体" w:hAnsi="宋体" w:eastAsia="宋体" w:cs="宋体"/>
                <w:i w:val="0"/>
                <w:iCs w:val="0"/>
                <w:caps w:val="0"/>
                <w:color w:val="2B3642"/>
                <w:spacing w:val="0"/>
                <w:sz w:val="21"/>
                <w:szCs w:val="21"/>
                <w:shd w:val="clear" w:fill="FFFFFF"/>
              </w:rPr>
              <w:t>lixueyuan@chinaccs.cn</w:t>
            </w:r>
          </w:p>
        </w:tc>
      </w:tr>
      <w:tr w14:paraId="5E4642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935322C">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.1</w:t>
            </w:r>
          </w:p>
        </w:tc>
        <w:tc>
          <w:tcPr>
            <w:tcW w:w="1666" w:type="dxa"/>
            <w:vAlign w:val="center"/>
          </w:tcPr>
          <w:p w14:paraId="357C1558">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成交供应商数量</w:t>
            </w:r>
          </w:p>
        </w:tc>
        <w:tc>
          <w:tcPr>
            <w:tcW w:w="5795" w:type="dxa"/>
            <w:vAlign w:val="center"/>
          </w:tcPr>
          <w:p w14:paraId="1D257645">
            <w:pPr>
              <w:autoSpaceDE w:val="0"/>
              <w:autoSpaceDN w:val="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成交供应商数量：</w:t>
            </w:r>
            <w:r>
              <w:rPr>
                <w:rFonts w:hint="eastAsia" w:asciiTheme="minorEastAsia" w:hAnsiTheme="minorEastAsia" w:eastAsiaTheme="minorEastAsia"/>
                <w:color w:val="auto"/>
                <w:szCs w:val="21"/>
                <w:highlight w:val="none"/>
                <w:u w:val="single"/>
              </w:rPr>
              <w:t>1</w:t>
            </w:r>
            <w:r>
              <w:rPr>
                <w:rFonts w:hint="eastAsia" w:asciiTheme="minorEastAsia" w:hAnsiTheme="minorEastAsia" w:eastAsiaTheme="minorEastAsia"/>
                <w:color w:val="auto"/>
                <w:szCs w:val="21"/>
                <w:highlight w:val="none"/>
              </w:rPr>
              <w:t>家</w:t>
            </w:r>
          </w:p>
        </w:tc>
      </w:tr>
      <w:tr w14:paraId="71DB96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291444B">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.2</w:t>
            </w:r>
          </w:p>
        </w:tc>
        <w:tc>
          <w:tcPr>
            <w:tcW w:w="1666" w:type="dxa"/>
            <w:vAlign w:val="center"/>
          </w:tcPr>
          <w:p w14:paraId="04F0424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成交原则</w:t>
            </w:r>
          </w:p>
        </w:tc>
        <w:tc>
          <w:tcPr>
            <w:tcW w:w="5795" w:type="dxa"/>
            <w:vAlign w:val="center"/>
          </w:tcPr>
          <w:p w14:paraId="6F9FDCBD">
            <w:pPr>
              <w:autoSpaceDE w:val="0"/>
              <w:autoSpaceDN w:val="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成交原则如下：</w:t>
            </w:r>
          </w:p>
          <w:p w14:paraId="72A5C790">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采购人根据评审委员会推荐的成交候选人确定排名第一的成交候选人为成交人。</w:t>
            </w:r>
          </w:p>
        </w:tc>
      </w:tr>
      <w:tr w14:paraId="562589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268A3D">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7.2.3</w:t>
            </w:r>
          </w:p>
        </w:tc>
        <w:tc>
          <w:tcPr>
            <w:tcW w:w="1666" w:type="dxa"/>
            <w:vAlign w:val="center"/>
          </w:tcPr>
          <w:p w14:paraId="44F06B3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确定成交供应商的特殊情形</w:t>
            </w:r>
          </w:p>
        </w:tc>
        <w:tc>
          <w:tcPr>
            <w:tcW w:w="5795" w:type="dxa"/>
            <w:vAlign w:val="center"/>
          </w:tcPr>
          <w:p w14:paraId="05341FC8">
            <w:pPr>
              <w:wordWrap w:val="0"/>
              <w:autoSpaceDE w:val="0"/>
              <w:autoSpaceDN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在合同签订之前，排名第一的成交候选人放弃成交、因不可抗力提出不能履行合同、不按照询比文件要求在规定的时间内提交履约保证金、被查实存在影响成交结果的违法行为、未通过网络安全审查等不符合成交条件情形的，采购人按评审委员会提出的排名顺序依次确定其他成交候选人为成交供应商，或重新询比。</w:t>
            </w:r>
          </w:p>
        </w:tc>
      </w:tr>
      <w:tr w14:paraId="3524FE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3C7B07A5">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8.1</w:t>
            </w:r>
          </w:p>
        </w:tc>
        <w:tc>
          <w:tcPr>
            <w:tcW w:w="1666" w:type="dxa"/>
            <w:vAlign w:val="center"/>
          </w:tcPr>
          <w:p w14:paraId="4772B00A">
            <w:pPr>
              <w:autoSpaceDE w:val="0"/>
              <w:autoSpaceDN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履约保证金金额和形式</w:t>
            </w:r>
          </w:p>
        </w:tc>
        <w:tc>
          <w:tcPr>
            <w:tcW w:w="5795" w:type="dxa"/>
            <w:vAlign w:val="center"/>
          </w:tcPr>
          <w:p w14:paraId="72494F01">
            <w:pPr>
              <w:autoSpaceDE w:val="0"/>
              <w:autoSpaceDN w:val="0"/>
              <w:jc w:val="left"/>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rPr>
              <w:t>不收取</w:t>
            </w:r>
          </w:p>
        </w:tc>
      </w:tr>
      <w:tr w14:paraId="49BD23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1037DCA1">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9</w:t>
            </w:r>
          </w:p>
        </w:tc>
        <w:tc>
          <w:tcPr>
            <w:tcW w:w="1666" w:type="dxa"/>
            <w:vAlign w:val="center"/>
          </w:tcPr>
          <w:p w14:paraId="20B31BD7">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w:t>
            </w:r>
          </w:p>
        </w:tc>
        <w:tc>
          <w:tcPr>
            <w:tcW w:w="5795" w:type="dxa"/>
            <w:vAlign w:val="center"/>
          </w:tcPr>
          <w:p w14:paraId="757A6E34">
            <w:pPr>
              <w:numPr>
                <w:ilvl w:val="0"/>
                <w:numId w:val="0"/>
              </w:num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1.</w:t>
            </w:r>
            <w:r>
              <w:rPr>
                <w:rFonts w:hint="eastAsia" w:cs="宋体" w:asciiTheme="minorEastAsia" w:hAnsiTheme="minorEastAsia" w:eastAsiaTheme="minorEastAsia"/>
                <w:color w:val="auto"/>
                <w:szCs w:val="21"/>
                <w:highlight w:val="none"/>
              </w:rPr>
              <w:t>供应商试图对采购人进行影响，或对评审委员会的评审、比较或成交候选人的决定进行影响，都可能导致其响应被否决。</w:t>
            </w:r>
          </w:p>
          <w:p w14:paraId="28F629C3">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2.</w:t>
            </w:r>
            <w:r>
              <w:rPr>
                <w:rFonts w:hint="eastAsia" w:cs="宋体" w:asciiTheme="minorEastAsia" w:hAnsiTheme="minorEastAsia" w:eastAsiaTheme="minorEastAsia"/>
                <w:b w:val="0"/>
                <w:bCs w:val="0"/>
                <w:color w:val="auto"/>
                <w:szCs w:val="21"/>
                <w:highlight w:val="none"/>
                <w:lang w:eastAsia="zh-CN"/>
              </w:rPr>
              <w:t>不</w:t>
            </w:r>
            <w:r>
              <w:rPr>
                <w:rFonts w:hint="eastAsia" w:cs="宋体" w:asciiTheme="minorEastAsia" w:hAnsiTheme="minorEastAsia" w:eastAsiaTheme="minorEastAsia"/>
                <w:color w:val="auto"/>
                <w:szCs w:val="21"/>
                <w:highlight w:val="none"/>
                <w:lang w:eastAsia="zh-CN"/>
              </w:rPr>
              <w:t>同供应商之间有下列</w:t>
            </w:r>
            <w:r>
              <w:rPr>
                <w:rFonts w:hint="eastAsia" w:cs="宋体" w:asciiTheme="minorEastAsia" w:hAnsiTheme="minorEastAsia" w:eastAsiaTheme="minorEastAsia"/>
                <w:b w:val="0"/>
                <w:bCs w:val="0"/>
                <w:color w:val="auto"/>
                <w:szCs w:val="21"/>
                <w:highlight w:val="none"/>
                <w:lang w:eastAsia="zh-CN"/>
              </w:rPr>
              <w:t>情形的，视为供应商相互串通</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，评</w:t>
            </w:r>
            <w:r>
              <w:rPr>
                <w:rFonts w:hint="eastAsia" w:cs="宋体" w:asciiTheme="minorEastAsia" w:hAnsiTheme="minorEastAsia" w:eastAsiaTheme="minorEastAsia"/>
                <w:b w:val="0"/>
                <w:bCs w:val="0"/>
                <w:color w:val="auto"/>
                <w:szCs w:val="21"/>
                <w:highlight w:val="none"/>
                <w:lang w:val="en-US" w:eastAsia="zh-CN"/>
              </w:rPr>
              <w:t>审</w:t>
            </w:r>
            <w:r>
              <w:rPr>
                <w:rFonts w:hint="eastAsia" w:cs="宋体" w:asciiTheme="minorEastAsia" w:hAnsiTheme="minorEastAsia" w:eastAsiaTheme="minorEastAsia"/>
                <w:b w:val="0"/>
                <w:bCs w:val="0"/>
                <w:color w:val="auto"/>
                <w:szCs w:val="21"/>
                <w:highlight w:val="none"/>
                <w:lang w:eastAsia="zh-CN"/>
              </w:rPr>
              <w:t>委员会应当否决相关</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w:t>
            </w:r>
          </w:p>
          <w:p w14:paraId="545D6835">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（1）不同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文件由同一单位或者个人编制；</w:t>
            </w:r>
          </w:p>
          <w:p w14:paraId="0F334218">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（2）不同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委托同一单位或者个人办理</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事宜；</w:t>
            </w:r>
          </w:p>
          <w:p w14:paraId="325E0995">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（3）不同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文件载明的项目管理成员为同一人；</w:t>
            </w:r>
          </w:p>
          <w:p w14:paraId="0F2C4083">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（4）不同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文件异常一致或者</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报价呈规律性差异；</w:t>
            </w:r>
          </w:p>
          <w:p w14:paraId="766DE331">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（5）不同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文件相互混装；</w:t>
            </w:r>
          </w:p>
          <w:p w14:paraId="2E744EEA">
            <w:pPr>
              <w:numPr>
                <w:ilvl w:val="0"/>
                <w:numId w:val="0"/>
              </w:numPr>
              <w:autoSpaceDE w:val="0"/>
              <w:autoSpaceDN w:val="0"/>
              <w:ind w:left="0" w:leftChars="0" w:firstLine="0" w:firstLineChars="0"/>
              <w:rPr>
                <w:rFonts w:hint="eastAsia" w:ascii="宋体" w:hAnsi="宋体" w:cs="宋体"/>
                <w:color w:val="auto"/>
                <w:szCs w:val="21"/>
                <w:highlight w:val="none"/>
              </w:rPr>
            </w:pPr>
            <w:r>
              <w:rPr>
                <w:rFonts w:hint="eastAsia" w:cs="宋体" w:asciiTheme="minorEastAsia" w:hAnsiTheme="minorEastAsia" w:eastAsiaTheme="minorEastAsia"/>
                <w:b w:val="0"/>
                <w:bCs w:val="0"/>
                <w:color w:val="auto"/>
                <w:szCs w:val="21"/>
                <w:highlight w:val="none"/>
                <w:lang w:eastAsia="zh-CN"/>
              </w:rPr>
              <w:t>（</w:t>
            </w:r>
            <w:r>
              <w:rPr>
                <w:rFonts w:hint="eastAsia" w:cs="宋体" w:asciiTheme="minorEastAsia" w:hAnsiTheme="minorEastAsia" w:eastAsiaTheme="minorEastAsia"/>
                <w:b w:val="0"/>
                <w:bCs w:val="0"/>
                <w:color w:val="auto"/>
                <w:szCs w:val="21"/>
                <w:highlight w:val="none"/>
                <w:lang w:val="en-US" w:eastAsia="zh-CN"/>
              </w:rPr>
              <w:t>6</w:t>
            </w:r>
            <w:r>
              <w:rPr>
                <w:rFonts w:hint="eastAsia" w:cs="宋体" w:asciiTheme="minorEastAsia" w:hAnsiTheme="minorEastAsia" w:eastAsiaTheme="minorEastAsia"/>
                <w:b w:val="0"/>
                <w:bCs w:val="0"/>
                <w:color w:val="auto"/>
                <w:szCs w:val="21"/>
                <w:highlight w:val="none"/>
                <w:lang w:eastAsia="zh-CN"/>
              </w:rPr>
              <w:t>）法律法规规定的其他情形。</w:t>
            </w:r>
          </w:p>
        </w:tc>
      </w:tr>
      <w:tr w14:paraId="7106B2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7FB96DCF">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10</w:t>
            </w:r>
          </w:p>
        </w:tc>
        <w:tc>
          <w:tcPr>
            <w:tcW w:w="1666" w:type="dxa"/>
            <w:vAlign w:val="center"/>
          </w:tcPr>
          <w:p w14:paraId="470E870E">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合同金额</w:t>
            </w:r>
          </w:p>
        </w:tc>
        <w:tc>
          <w:tcPr>
            <w:tcW w:w="5795" w:type="dxa"/>
            <w:vAlign w:val="center"/>
          </w:tcPr>
          <w:p w14:paraId="392FFC01">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本项目合同金额为预算金额。</w:t>
            </w:r>
          </w:p>
        </w:tc>
      </w:tr>
      <w:tr w14:paraId="11F540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301" w:type="dxa"/>
            <w:gridSpan w:val="3"/>
            <w:vAlign w:val="center"/>
          </w:tcPr>
          <w:p w14:paraId="47190F84">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询比文件否决响应条款汇总</w:t>
            </w:r>
          </w:p>
        </w:tc>
      </w:tr>
      <w:tr w14:paraId="6EAEE7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46466297">
            <w:pPr>
              <w:autoSpaceDE w:val="0"/>
              <w:autoSpaceDN w:val="0"/>
              <w:jc w:val="center"/>
              <w:rPr>
                <w:rFonts w:ascii="宋体" w:hAnsi="宋体" w:cs="宋体"/>
                <w:color w:val="auto"/>
                <w:szCs w:val="21"/>
                <w:highlight w:val="none"/>
              </w:rPr>
            </w:pPr>
            <w:bookmarkStart w:id="32" w:name="_Toc28292"/>
            <w:r>
              <w:rPr>
                <w:rFonts w:hint="eastAsia" w:ascii="宋体" w:hAnsi="宋体" w:cs="宋体"/>
                <w:color w:val="auto"/>
                <w:szCs w:val="21"/>
                <w:highlight w:val="none"/>
              </w:rPr>
              <w:t>第</w:t>
            </w:r>
            <w:r>
              <w:rPr>
                <w:rFonts w:ascii="宋体" w:hAnsi="宋体" w:cs="宋体"/>
                <w:color w:val="auto"/>
                <w:szCs w:val="21"/>
                <w:highlight w:val="none"/>
              </w:rPr>
              <w:t>二</w:t>
            </w:r>
            <w:r>
              <w:rPr>
                <w:rFonts w:hint="eastAsia" w:ascii="宋体" w:hAnsi="宋体" w:cs="宋体"/>
                <w:color w:val="auto"/>
                <w:szCs w:val="21"/>
                <w:highlight w:val="none"/>
              </w:rPr>
              <w:t>章 供应商须知</w:t>
            </w:r>
          </w:p>
        </w:tc>
        <w:tc>
          <w:tcPr>
            <w:tcW w:w="1666" w:type="dxa"/>
            <w:vAlign w:val="center"/>
          </w:tcPr>
          <w:p w14:paraId="7979BCBB">
            <w:pPr>
              <w:autoSpaceDE w:val="0"/>
              <w:autoSpaceDN w:val="0"/>
              <w:rPr>
                <w:rFonts w:ascii="宋体" w:hAnsi="宋体" w:cs="宋体"/>
                <w:color w:val="auto"/>
                <w:szCs w:val="21"/>
                <w:highlight w:val="none"/>
              </w:rPr>
            </w:pPr>
            <w:r>
              <w:rPr>
                <w:rFonts w:hint="eastAsia" w:ascii="宋体" w:hAnsi="宋体" w:cs="宋体"/>
                <w:color w:val="auto"/>
                <w:szCs w:val="20"/>
                <w:highlight w:val="none"/>
              </w:rPr>
              <w:t>1.7.2 资格审查</w:t>
            </w:r>
          </w:p>
        </w:tc>
        <w:tc>
          <w:tcPr>
            <w:tcW w:w="5795" w:type="dxa"/>
            <w:vAlign w:val="center"/>
          </w:tcPr>
          <w:p w14:paraId="25C7416C">
            <w:pPr>
              <w:autoSpaceDE w:val="0"/>
              <w:autoSpaceDN w:val="0"/>
              <w:rPr>
                <w:rFonts w:ascii="宋体" w:hAnsi="宋体"/>
                <w:color w:val="auto"/>
                <w:highlight w:val="none"/>
              </w:rPr>
            </w:pPr>
            <w:r>
              <w:rPr>
                <w:rFonts w:hint="eastAsia" w:ascii="宋体" w:hAnsi="宋体"/>
                <w:color w:val="auto"/>
                <w:szCs w:val="20"/>
                <w:highlight w:val="none"/>
              </w:rPr>
              <w:t>资格后审不合格的供应商，评审委员会应当否决其响应。</w:t>
            </w:r>
          </w:p>
        </w:tc>
      </w:tr>
      <w:tr w14:paraId="3E0894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32182023">
            <w:pPr>
              <w:autoSpaceDE w:val="0"/>
              <w:autoSpaceDN w:val="0"/>
              <w:jc w:val="center"/>
              <w:rPr>
                <w:rFonts w:ascii="宋体" w:hAnsi="宋体" w:cs="宋体"/>
                <w:color w:val="auto"/>
                <w:szCs w:val="21"/>
                <w:highlight w:val="none"/>
              </w:rPr>
            </w:pPr>
          </w:p>
        </w:tc>
        <w:tc>
          <w:tcPr>
            <w:tcW w:w="1666" w:type="dxa"/>
            <w:vAlign w:val="center"/>
          </w:tcPr>
          <w:p w14:paraId="73671835">
            <w:pPr>
              <w:autoSpaceDE w:val="0"/>
              <w:autoSpaceDN w:val="0"/>
              <w:rPr>
                <w:rFonts w:ascii="宋体" w:hAnsi="宋体" w:cs="宋体"/>
                <w:color w:val="auto"/>
                <w:szCs w:val="21"/>
                <w:highlight w:val="none"/>
              </w:rPr>
            </w:pPr>
            <w:r>
              <w:rPr>
                <w:rFonts w:hint="eastAsia" w:ascii="宋体" w:hAnsi="宋体" w:cs="宋体"/>
                <w:color w:val="auto"/>
                <w:szCs w:val="20"/>
                <w:highlight w:val="none"/>
              </w:rPr>
              <w:t>2.1.3 实质性条款不满足</w:t>
            </w:r>
          </w:p>
        </w:tc>
        <w:tc>
          <w:tcPr>
            <w:tcW w:w="5795" w:type="dxa"/>
            <w:vAlign w:val="center"/>
          </w:tcPr>
          <w:p w14:paraId="6A5913C9">
            <w:pPr>
              <w:autoSpaceDE w:val="0"/>
              <w:autoSpaceDN w:val="0"/>
              <w:rPr>
                <w:rFonts w:ascii="宋体" w:hAnsi="宋体" w:cs="宋体"/>
                <w:color w:val="auto"/>
                <w:szCs w:val="20"/>
                <w:highlight w:val="none"/>
              </w:rPr>
            </w:pPr>
            <w:r>
              <w:rPr>
                <w:rFonts w:hint="eastAsia" w:ascii="宋体" w:hAnsi="宋体" w:cs="宋体"/>
                <w:color w:val="auto"/>
                <w:szCs w:val="20"/>
                <w:highlight w:val="none"/>
              </w:rPr>
              <w:t>（1）询比文件中标识“</w:t>
            </w:r>
            <w:r>
              <w:rPr>
                <w:rFonts w:ascii="宋体" w:hAnsi="宋体"/>
                <w:color w:val="auto"/>
                <w:szCs w:val="20"/>
                <w:highlight w:val="none"/>
              </w:rPr>
              <w:t>★</w:t>
            </w:r>
            <w:r>
              <w:rPr>
                <w:rFonts w:hint="eastAsia" w:ascii="宋体" w:hAnsi="宋体" w:cs="宋体"/>
                <w:color w:val="auto"/>
                <w:szCs w:val="20"/>
                <w:highlight w:val="none"/>
              </w:rPr>
              <w:t>”的条款，均为实质性条款，供应商任何不满足实质性条款的响应均将被否决。</w:t>
            </w:r>
          </w:p>
          <w:p w14:paraId="3ABC851D">
            <w:pPr>
              <w:autoSpaceDE w:val="0"/>
              <w:autoSpaceDN w:val="0"/>
              <w:rPr>
                <w:rFonts w:ascii="宋体" w:hAnsi="宋体" w:cs="宋体"/>
                <w:color w:val="auto"/>
                <w:szCs w:val="21"/>
                <w:highlight w:val="none"/>
              </w:rPr>
            </w:pPr>
            <w:r>
              <w:rPr>
                <w:rFonts w:hint="eastAsia" w:ascii="宋体" w:hAnsi="宋体" w:cs="宋体"/>
                <w:color w:val="auto"/>
                <w:szCs w:val="20"/>
                <w:highlight w:val="none"/>
              </w:rPr>
              <w:t>（2）非实质性要求的偏离要求：</w:t>
            </w:r>
            <w:r>
              <w:rPr>
                <w:rFonts w:hint="eastAsia" w:ascii="宋体" w:hAnsi="宋体" w:cs="宋体"/>
                <w:color w:val="auto"/>
                <w:szCs w:val="20"/>
                <w:highlight w:val="none"/>
                <w:u w:val="single"/>
              </w:rPr>
              <w:t xml:space="preserve"> /</w:t>
            </w:r>
            <w:r>
              <w:rPr>
                <w:rFonts w:ascii="宋体" w:hAnsi="宋体" w:cs="宋体"/>
                <w:color w:val="auto"/>
                <w:szCs w:val="20"/>
                <w:highlight w:val="none"/>
                <w:u w:val="single"/>
              </w:rPr>
              <w:t xml:space="preserve"> </w:t>
            </w:r>
          </w:p>
        </w:tc>
      </w:tr>
      <w:tr w14:paraId="58EED1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4D9E0D89">
            <w:pPr>
              <w:autoSpaceDE w:val="0"/>
              <w:autoSpaceDN w:val="0"/>
              <w:jc w:val="center"/>
              <w:rPr>
                <w:rFonts w:ascii="宋体" w:hAnsi="宋体" w:cs="宋体"/>
                <w:color w:val="auto"/>
                <w:szCs w:val="21"/>
                <w:highlight w:val="none"/>
              </w:rPr>
            </w:pPr>
          </w:p>
        </w:tc>
        <w:tc>
          <w:tcPr>
            <w:tcW w:w="1666" w:type="dxa"/>
            <w:vAlign w:val="center"/>
          </w:tcPr>
          <w:p w14:paraId="2064677C">
            <w:pPr>
              <w:autoSpaceDE w:val="0"/>
              <w:autoSpaceDN w:val="0"/>
              <w:rPr>
                <w:rFonts w:ascii="宋体" w:hAnsi="宋体" w:cs="宋体"/>
                <w:color w:val="auto"/>
                <w:szCs w:val="20"/>
                <w:highlight w:val="none"/>
              </w:rPr>
            </w:pPr>
            <w:r>
              <w:rPr>
                <w:rFonts w:hint="eastAsia" w:ascii="宋体" w:hAnsi="宋体" w:cs="宋体"/>
                <w:color w:val="auto"/>
                <w:szCs w:val="20"/>
                <w:highlight w:val="none"/>
              </w:rPr>
              <w:t>3.2.2 响应文件编制</w:t>
            </w:r>
          </w:p>
        </w:tc>
        <w:tc>
          <w:tcPr>
            <w:tcW w:w="5795" w:type="dxa"/>
            <w:vAlign w:val="center"/>
          </w:tcPr>
          <w:p w14:paraId="62923000">
            <w:pPr>
              <w:autoSpaceDE w:val="0"/>
              <w:autoSpaceDN w:val="0"/>
              <w:rPr>
                <w:rFonts w:ascii="宋体" w:hAnsi="宋体" w:cs="宋体"/>
                <w:color w:val="auto"/>
                <w:szCs w:val="20"/>
                <w:highlight w:val="yellow"/>
              </w:rPr>
            </w:pPr>
            <w:r>
              <w:rPr>
                <w:rFonts w:hint="eastAsia" w:asciiTheme="minorEastAsia" w:hAnsiTheme="minorEastAsia" w:eastAsiaTheme="minorEastAsia"/>
                <w:color w:val="auto"/>
                <w:highlight w:val="yellow"/>
              </w:rPr>
              <w:t>供应商应认真阅读询比文件中所有的事项、格式、条款等。供应商没有按照询比文件要求提交全部资料，或者响应没有对响应文件在各方面都做出实质性响应是供应商的风险，并可能导致其响应被否决。</w:t>
            </w:r>
          </w:p>
        </w:tc>
      </w:tr>
      <w:tr w14:paraId="3ACCFC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68617943">
            <w:pPr>
              <w:autoSpaceDE w:val="0"/>
              <w:autoSpaceDN w:val="0"/>
              <w:jc w:val="center"/>
              <w:rPr>
                <w:rFonts w:ascii="宋体" w:hAnsi="宋体" w:cs="宋体"/>
                <w:color w:val="auto"/>
                <w:szCs w:val="21"/>
                <w:highlight w:val="none"/>
              </w:rPr>
            </w:pPr>
          </w:p>
        </w:tc>
        <w:tc>
          <w:tcPr>
            <w:tcW w:w="1666" w:type="dxa"/>
            <w:vAlign w:val="center"/>
          </w:tcPr>
          <w:p w14:paraId="14D620A3">
            <w:pPr>
              <w:autoSpaceDE w:val="0"/>
              <w:autoSpaceDN w:val="0"/>
              <w:rPr>
                <w:rFonts w:ascii="宋体" w:hAnsi="宋体" w:cs="宋体"/>
                <w:color w:val="auto"/>
                <w:szCs w:val="20"/>
                <w:highlight w:val="none"/>
              </w:rPr>
            </w:pPr>
            <w:r>
              <w:rPr>
                <w:rFonts w:hint="eastAsia" w:ascii="宋体" w:hAnsi="宋体" w:cs="宋体"/>
                <w:color w:val="auto"/>
                <w:szCs w:val="20"/>
                <w:highlight w:val="none"/>
              </w:rPr>
              <w:t>3.3.3 最高响应限价</w:t>
            </w:r>
          </w:p>
        </w:tc>
        <w:tc>
          <w:tcPr>
            <w:tcW w:w="5795" w:type="dxa"/>
            <w:vAlign w:val="center"/>
          </w:tcPr>
          <w:p w14:paraId="54C82FB4">
            <w:pPr>
              <w:autoSpaceDE w:val="0"/>
              <w:autoSpaceDN w:val="0"/>
              <w:rPr>
                <w:rFonts w:ascii="宋体" w:hAnsi="宋体"/>
                <w:color w:val="auto"/>
                <w:szCs w:val="20"/>
                <w:highlight w:val="yellow"/>
              </w:rPr>
            </w:pPr>
            <w:r>
              <w:rPr>
                <w:rFonts w:hint="eastAsia" w:ascii="宋体" w:hAnsi="宋体"/>
                <w:color w:val="auto"/>
                <w:szCs w:val="20"/>
                <w:highlight w:val="yellow"/>
              </w:rPr>
              <w:t>采购人设有最高响应限价的，供应商的响应报价不得超过最高响应限价，否则其响应将被否决。</w:t>
            </w:r>
          </w:p>
        </w:tc>
      </w:tr>
      <w:tr w14:paraId="5DDC0D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5038B22D">
            <w:pPr>
              <w:autoSpaceDE w:val="0"/>
              <w:autoSpaceDN w:val="0"/>
              <w:jc w:val="center"/>
              <w:rPr>
                <w:rFonts w:ascii="宋体" w:hAnsi="宋体" w:cs="宋体"/>
                <w:color w:val="auto"/>
                <w:szCs w:val="21"/>
                <w:highlight w:val="none"/>
              </w:rPr>
            </w:pPr>
          </w:p>
        </w:tc>
        <w:tc>
          <w:tcPr>
            <w:tcW w:w="1666" w:type="dxa"/>
            <w:vAlign w:val="center"/>
          </w:tcPr>
          <w:p w14:paraId="035B415A">
            <w:pPr>
              <w:autoSpaceDE w:val="0"/>
              <w:autoSpaceDN w:val="0"/>
              <w:rPr>
                <w:rFonts w:ascii="宋体" w:hAnsi="宋体" w:cs="宋体"/>
                <w:color w:val="auto"/>
                <w:szCs w:val="20"/>
                <w:highlight w:val="none"/>
              </w:rPr>
            </w:pPr>
            <w:r>
              <w:rPr>
                <w:rFonts w:hint="eastAsia" w:ascii="宋体" w:hAnsi="宋体" w:cs="宋体"/>
                <w:color w:val="auto"/>
                <w:szCs w:val="20"/>
                <w:highlight w:val="none"/>
              </w:rPr>
              <w:t>3.4.1 响应有效期</w:t>
            </w:r>
          </w:p>
        </w:tc>
        <w:tc>
          <w:tcPr>
            <w:tcW w:w="5795" w:type="dxa"/>
            <w:vAlign w:val="center"/>
          </w:tcPr>
          <w:p w14:paraId="601C2596">
            <w:pPr>
              <w:autoSpaceDE w:val="0"/>
              <w:autoSpaceDN w:val="0"/>
              <w:rPr>
                <w:rFonts w:ascii="宋体" w:hAnsi="宋体"/>
                <w:color w:val="auto"/>
                <w:szCs w:val="20"/>
                <w:highlight w:val="none"/>
              </w:rPr>
            </w:pPr>
            <w:r>
              <w:rPr>
                <w:rFonts w:hint="eastAsia" w:ascii="宋体" w:hAnsi="宋体"/>
                <w:color w:val="auto"/>
                <w:szCs w:val="20"/>
                <w:highlight w:val="none"/>
              </w:rPr>
              <w:t>响应有效期不满足询比文件要求的响应将被否决。</w:t>
            </w:r>
          </w:p>
        </w:tc>
      </w:tr>
      <w:tr w14:paraId="734123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6381AE20">
            <w:pPr>
              <w:autoSpaceDE w:val="0"/>
              <w:autoSpaceDN w:val="0"/>
              <w:jc w:val="center"/>
              <w:rPr>
                <w:rFonts w:ascii="宋体" w:hAnsi="宋体" w:cs="宋体"/>
                <w:color w:val="auto"/>
                <w:szCs w:val="21"/>
                <w:highlight w:val="none"/>
              </w:rPr>
            </w:pPr>
            <w:r>
              <w:rPr>
                <w:rFonts w:ascii="宋体" w:hAnsi="宋体" w:cs="宋体"/>
                <w:color w:val="auto"/>
                <w:szCs w:val="21"/>
                <w:highlight w:val="none"/>
              </w:rPr>
              <w:t>评选办法</w:t>
            </w:r>
          </w:p>
        </w:tc>
        <w:tc>
          <w:tcPr>
            <w:tcW w:w="1666" w:type="dxa"/>
            <w:vAlign w:val="center"/>
          </w:tcPr>
          <w:p w14:paraId="0E2994FC">
            <w:pPr>
              <w:autoSpaceDE w:val="0"/>
              <w:autoSpaceDN w:val="0"/>
              <w:rPr>
                <w:rFonts w:ascii="宋体" w:hAnsi="宋体" w:cs="宋体"/>
                <w:color w:val="auto"/>
                <w:szCs w:val="20"/>
                <w:highlight w:val="none"/>
              </w:rPr>
            </w:pPr>
            <w:r>
              <w:rPr>
                <w:rFonts w:hint="eastAsia" w:ascii="宋体" w:hAnsi="宋体" w:cs="宋体"/>
                <w:color w:val="auto"/>
                <w:szCs w:val="21"/>
                <w:highlight w:val="none"/>
              </w:rPr>
              <w:t>3.1.1 初步评审</w:t>
            </w:r>
          </w:p>
        </w:tc>
        <w:tc>
          <w:tcPr>
            <w:tcW w:w="5795" w:type="dxa"/>
            <w:vAlign w:val="center"/>
          </w:tcPr>
          <w:p w14:paraId="7D9516D2">
            <w:pPr>
              <w:autoSpaceDE w:val="0"/>
              <w:autoSpaceDN w:val="0"/>
              <w:rPr>
                <w:rFonts w:ascii="宋体" w:hAnsi="宋体"/>
                <w:color w:val="auto"/>
                <w:szCs w:val="20"/>
                <w:highlight w:val="none"/>
              </w:rPr>
            </w:pPr>
            <w:r>
              <w:rPr>
                <w:rFonts w:hint="eastAsia" w:ascii="宋体" w:hAnsi="宋体"/>
                <w:color w:val="auto"/>
                <w:highlight w:val="none"/>
              </w:rPr>
              <w:t>评审委员会根据第三章第2.1款规定的初步评审标准对响应文件进行初步评审。有一项不符合评审标准的，评审委员会应当否决其响应。</w:t>
            </w:r>
          </w:p>
        </w:tc>
      </w:tr>
      <w:tr w14:paraId="40D2ED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6CA022A7">
            <w:pPr>
              <w:autoSpaceDE w:val="0"/>
              <w:autoSpaceDN w:val="0"/>
              <w:jc w:val="center"/>
              <w:rPr>
                <w:rFonts w:ascii="宋体" w:hAnsi="宋体" w:cs="宋体"/>
                <w:color w:val="auto"/>
                <w:szCs w:val="21"/>
                <w:highlight w:val="none"/>
              </w:rPr>
            </w:pPr>
          </w:p>
        </w:tc>
        <w:tc>
          <w:tcPr>
            <w:tcW w:w="1666" w:type="dxa"/>
            <w:vAlign w:val="center"/>
          </w:tcPr>
          <w:p w14:paraId="4884ED5A">
            <w:pPr>
              <w:autoSpaceDE w:val="0"/>
              <w:autoSpaceDN w:val="0"/>
              <w:rPr>
                <w:rFonts w:ascii="宋体" w:hAnsi="宋体" w:cs="宋体"/>
                <w:color w:val="auto"/>
                <w:szCs w:val="21"/>
                <w:highlight w:val="none"/>
              </w:rPr>
            </w:pPr>
            <w:r>
              <w:rPr>
                <w:rFonts w:hint="eastAsia" w:ascii="宋体" w:hAnsi="宋体" w:cs="宋体"/>
                <w:color w:val="auto"/>
                <w:szCs w:val="21"/>
                <w:highlight w:val="none"/>
              </w:rPr>
              <w:t xml:space="preserve">3.1.2 初步评审 </w:t>
            </w:r>
          </w:p>
        </w:tc>
        <w:tc>
          <w:tcPr>
            <w:tcW w:w="5795" w:type="dxa"/>
            <w:vAlign w:val="center"/>
          </w:tcPr>
          <w:p w14:paraId="5DD8EB47">
            <w:pPr>
              <w:autoSpaceDE w:val="0"/>
              <w:autoSpaceDN w:val="0"/>
              <w:adjustRightInd w:val="0"/>
              <w:snapToGrid w:val="0"/>
              <w:rPr>
                <w:rFonts w:ascii="宋体" w:hAnsi="宋体"/>
                <w:color w:val="auto"/>
                <w:highlight w:val="none"/>
              </w:rPr>
            </w:pPr>
            <w:r>
              <w:rPr>
                <w:rFonts w:hint="eastAsia" w:ascii="宋体" w:hAnsi="宋体"/>
                <w:color w:val="auto"/>
                <w:highlight w:val="none"/>
              </w:rPr>
              <w:t>供应商有以下情形之一的，评审委员会应当否决其响应：</w:t>
            </w:r>
          </w:p>
          <w:p w14:paraId="41284BB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（1）第二章“供应商须知”第1.8款规定的任何一种情形的；</w:t>
            </w:r>
          </w:p>
          <w:p w14:paraId="41EDAC4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（2）响应文件未按照询比文件要求盖章和签字的；</w:t>
            </w:r>
          </w:p>
          <w:p w14:paraId="05F4DB6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（3）响应供应商提交两份以上不同内容的响应文件，或在一份响应文件中有两个或多个报价，且未声明哪一个为最终报价的，但按询比文件规定提交备选响应方案的除外；</w:t>
            </w:r>
          </w:p>
          <w:p w14:paraId="7DD79C84">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4</w:t>
            </w:r>
            <w:r>
              <w:rPr>
                <w:rFonts w:hint="eastAsia" w:ascii="宋体" w:hAnsi="宋体" w:eastAsia="宋体" w:cs="Times New Roman"/>
                <w:color w:val="auto"/>
                <w:highlight w:val="none"/>
              </w:rPr>
              <w:t>）响应供应商名称或组织结构与资格预审时不一致且未提供有效证明的；</w:t>
            </w:r>
          </w:p>
          <w:p w14:paraId="539C8144">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6</w:t>
            </w:r>
            <w:r>
              <w:rPr>
                <w:rFonts w:hint="eastAsia" w:ascii="宋体" w:hAnsi="宋体" w:eastAsia="宋体" w:cs="Times New Roman"/>
                <w:color w:val="auto"/>
                <w:highlight w:val="none"/>
              </w:rPr>
              <w:t>）响应供应商以他人名义响应或者响应供应商经资格审查不符合资格条件的；</w:t>
            </w:r>
          </w:p>
          <w:p w14:paraId="3617FDB9">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7</w:t>
            </w:r>
            <w:r>
              <w:rPr>
                <w:rFonts w:hint="eastAsia" w:ascii="宋体" w:hAnsi="宋体" w:eastAsia="宋体" w:cs="Times New Roman"/>
                <w:color w:val="auto"/>
                <w:highlight w:val="none"/>
              </w:rPr>
              <w:t>）响应有效期不满足询比文件要求或响应文件载明的询比项目完成期限超过询比文件规定的期限的；</w:t>
            </w:r>
          </w:p>
          <w:p w14:paraId="516D6AE3">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8</w:t>
            </w:r>
            <w:r>
              <w:rPr>
                <w:rFonts w:hint="eastAsia" w:ascii="宋体" w:hAnsi="宋体" w:eastAsia="宋体" w:cs="Times New Roman"/>
                <w:color w:val="auto"/>
                <w:highlight w:val="none"/>
              </w:rPr>
              <w:t>）响应供应商报价低于成本价或严重影响履约，且供应商不能按评审委员会要求对其报价进行合理说明或提供相关证明材料的；</w:t>
            </w:r>
          </w:p>
          <w:p w14:paraId="6DAA67A5">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9</w:t>
            </w:r>
            <w:r>
              <w:rPr>
                <w:rFonts w:hint="eastAsia" w:ascii="宋体" w:hAnsi="宋体" w:eastAsia="宋体" w:cs="Times New Roman"/>
                <w:color w:val="auto"/>
                <w:highlight w:val="none"/>
              </w:rPr>
              <w:t>）响应供应商报价高于询比文件设定的最高响应限价的；</w:t>
            </w:r>
          </w:p>
          <w:p w14:paraId="3D571556">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10</w:t>
            </w:r>
            <w:r>
              <w:rPr>
                <w:rFonts w:hint="eastAsia" w:ascii="宋体" w:hAnsi="宋体" w:eastAsia="宋体" w:cs="Times New Roman"/>
                <w:color w:val="auto"/>
                <w:highlight w:val="none"/>
              </w:rPr>
              <w:t>）明显不符合技术规格、技术标准的要求；</w:t>
            </w:r>
          </w:p>
          <w:p w14:paraId="50DA4966">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11</w:t>
            </w:r>
            <w:r>
              <w:rPr>
                <w:rFonts w:hint="eastAsia" w:ascii="宋体" w:hAnsi="宋体" w:eastAsia="宋体" w:cs="Times New Roman"/>
                <w:color w:val="auto"/>
                <w:highlight w:val="none"/>
              </w:rPr>
              <w:t>）响应文件载明的货物包装方式、检验标准和方法等不符合询比文件的要求；</w:t>
            </w:r>
          </w:p>
          <w:p w14:paraId="613EC0FE">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12</w:t>
            </w:r>
            <w:r>
              <w:rPr>
                <w:rFonts w:hint="eastAsia" w:ascii="宋体" w:hAnsi="宋体" w:eastAsia="宋体" w:cs="Times New Roman"/>
                <w:color w:val="auto"/>
                <w:highlight w:val="none"/>
              </w:rPr>
              <w:t>）响应文件附有采购人不能接受的条件；</w:t>
            </w:r>
          </w:p>
          <w:p w14:paraId="3F7EC28A">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13</w:t>
            </w:r>
            <w:r>
              <w:rPr>
                <w:rFonts w:hint="eastAsia" w:ascii="宋体" w:hAnsi="宋体" w:eastAsia="宋体" w:cs="Times New Roman"/>
                <w:color w:val="auto"/>
                <w:highlight w:val="none"/>
              </w:rPr>
              <w:t>）响应文件未能对询比文件中提出的实质性要求和条件做出实质性响应的；</w:t>
            </w:r>
          </w:p>
          <w:p w14:paraId="7CFA020B">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14</w:t>
            </w:r>
            <w:r>
              <w:rPr>
                <w:rFonts w:hint="eastAsia" w:ascii="宋体" w:hAnsi="宋体" w:eastAsia="宋体" w:cs="Times New Roman"/>
                <w:color w:val="auto"/>
                <w:highlight w:val="none"/>
              </w:rPr>
              <w:t>）响应供应商有串通响应、弄虚作假、行贿等违法行为的；</w:t>
            </w:r>
          </w:p>
          <w:p w14:paraId="1E2D5F00">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（1</w:t>
            </w:r>
            <w:r>
              <w:rPr>
                <w:rFonts w:hint="eastAsia" w:ascii="宋体" w:hAnsi="宋体" w:cs="Times New Roman"/>
                <w:color w:val="auto"/>
                <w:highlight w:val="none"/>
                <w:lang w:val="en-US" w:eastAsia="zh-CN"/>
              </w:rPr>
              <w:t>5</w:t>
            </w:r>
            <w:r>
              <w:rPr>
                <w:rFonts w:hint="eastAsia" w:ascii="宋体" w:hAnsi="宋体" w:eastAsia="宋体" w:cs="Times New Roman"/>
                <w:color w:val="auto"/>
                <w:highlight w:val="none"/>
              </w:rPr>
              <w:t>）响应供应商拒不按照要求对响应文件进行澄清、说明或者补正的；</w:t>
            </w:r>
          </w:p>
          <w:p w14:paraId="1808B5AB">
            <w:pPr>
              <w:autoSpaceDE w:val="0"/>
              <w:autoSpaceDN w:val="0"/>
              <w:adjustRightInd w:val="0"/>
              <w:snapToGrid w:val="0"/>
              <w:rPr>
                <w:rFonts w:ascii="宋体" w:hAnsi="宋体"/>
                <w:color w:val="auto"/>
                <w:highlight w:val="none"/>
              </w:rPr>
            </w:pPr>
            <w:r>
              <w:rPr>
                <w:rFonts w:hint="eastAsia" w:ascii="宋体" w:hAnsi="宋体" w:eastAsia="宋体" w:cs="Times New Roman"/>
                <w:color w:val="auto"/>
                <w:highlight w:val="none"/>
              </w:rPr>
              <w:t>（1</w:t>
            </w:r>
            <w:r>
              <w:rPr>
                <w:rFonts w:hint="eastAsia" w:ascii="宋体" w:hAnsi="宋体" w:cs="Times New Roman"/>
                <w:color w:val="auto"/>
                <w:highlight w:val="none"/>
                <w:lang w:val="en-US" w:eastAsia="zh-CN"/>
              </w:rPr>
              <w:t>6</w:t>
            </w:r>
            <w:r>
              <w:rPr>
                <w:rFonts w:hint="eastAsia" w:ascii="宋体" w:hAnsi="宋体" w:eastAsia="宋体" w:cs="Times New Roman"/>
                <w:color w:val="auto"/>
                <w:highlight w:val="none"/>
              </w:rPr>
              <w:t>）询比文件明确规定可以否决响应的其他情形。</w:t>
            </w:r>
          </w:p>
        </w:tc>
      </w:tr>
      <w:tr w14:paraId="64B14A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7932F283">
            <w:pPr>
              <w:autoSpaceDE w:val="0"/>
              <w:autoSpaceDN w:val="0"/>
              <w:jc w:val="center"/>
              <w:rPr>
                <w:rFonts w:ascii="宋体" w:hAnsi="宋体" w:cs="宋体"/>
                <w:color w:val="auto"/>
                <w:szCs w:val="21"/>
                <w:highlight w:val="none"/>
              </w:rPr>
            </w:pPr>
          </w:p>
        </w:tc>
        <w:tc>
          <w:tcPr>
            <w:tcW w:w="1666" w:type="dxa"/>
            <w:vAlign w:val="center"/>
          </w:tcPr>
          <w:p w14:paraId="2028239B">
            <w:pPr>
              <w:autoSpaceDE w:val="0"/>
              <w:autoSpaceDN w:val="0"/>
              <w:rPr>
                <w:rFonts w:ascii="宋体" w:hAnsi="宋体" w:cs="宋体"/>
                <w:color w:val="auto"/>
                <w:szCs w:val="21"/>
                <w:highlight w:val="none"/>
              </w:rPr>
            </w:pPr>
            <w:r>
              <w:rPr>
                <w:rFonts w:hint="eastAsia" w:ascii="宋体" w:hAnsi="宋体" w:cs="宋体"/>
                <w:color w:val="auto"/>
                <w:szCs w:val="21"/>
                <w:highlight w:val="none"/>
              </w:rPr>
              <w:t>3.1.3 低于成本价</w:t>
            </w:r>
          </w:p>
        </w:tc>
        <w:tc>
          <w:tcPr>
            <w:tcW w:w="5795" w:type="dxa"/>
            <w:vAlign w:val="center"/>
          </w:tcPr>
          <w:p w14:paraId="4BE481FE">
            <w:pPr>
              <w:autoSpaceDE w:val="0"/>
              <w:autoSpaceDN w:val="0"/>
              <w:adjustRightInd w:val="0"/>
              <w:snapToGrid w:val="0"/>
              <w:rPr>
                <w:rFonts w:ascii="宋体" w:hAnsi="宋体"/>
                <w:color w:val="auto"/>
                <w:highlight w:val="none"/>
              </w:rPr>
            </w:pPr>
            <w:r>
              <w:rPr>
                <w:rFonts w:hint="eastAsia" w:ascii="宋体" w:hAnsi="宋体"/>
                <w:color w:val="auto"/>
                <w:highlight w:val="none"/>
              </w:rPr>
              <w:t>供应商不能合理说明或者不能提供相应证明材料的，由评审委员会认定该供应商以低于成本报价竞标，评审委员会应当否决其响应。</w:t>
            </w:r>
          </w:p>
        </w:tc>
      </w:tr>
      <w:tr w14:paraId="3EFD6F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0857EEA0">
            <w:pPr>
              <w:autoSpaceDE w:val="0"/>
              <w:autoSpaceDN w:val="0"/>
              <w:jc w:val="center"/>
              <w:rPr>
                <w:rFonts w:ascii="宋体" w:hAnsi="宋体" w:cs="宋体"/>
                <w:color w:val="auto"/>
                <w:szCs w:val="21"/>
                <w:highlight w:val="none"/>
              </w:rPr>
            </w:pPr>
          </w:p>
        </w:tc>
        <w:tc>
          <w:tcPr>
            <w:tcW w:w="1666" w:type="dxa"/>
            <w:vAlign w:val="center"/>
          </w:tcPr>
          <w:p w14:paraId="00E08FF3">
            <w:pPr>
              <w:autoSpaceDE w:val="0"/>
              <w:autoSpaceDN w:val="0"/>
              <w:rPr>
                <w:rFonts w:ascii="宋体" w:hAnsi="宋体" w:cs="宋体"/>
                <w:color w:val="auto"/>
                <w:szCs w:val="21"/>
                <w:highlight w:val="none"/>
              </w:rPr>
            </w:pPr>
            <w:r>
              <w:rPr>
                <w:rFonts w:hint="eastAsia" w:ascii="宋体" w:hAnsi="宋体" w:cs="宋体"/>
                <w:color w:val="auto"/>
                <w:szCs w:val="21"/>
                <w:highlight w:val="none"/>
              </w:rPr>
              <w:t>3.1.4 算术修正</w:t>
            </w:r>
          </w:p>
        </w:tc>
        <w:tc>
          <w:tcPr>
            <w:tcW w:w="5795" w:type="dxa"/>
            <w:vAlign w:val="center"/>
          </w:tcPr>
          <w:p w14:paraId="5C304BD1">
            <w:pPr>
              <w:autoSpaceDE w:val="0"/>
              <w:autoSpaceDN w:val="0"/>
              <w:adjustRightInd w:val="0"/>
              <w:snapToGrid w:val="0"/>
              <w:rPr>
                <w:rFonts w:ascii="宋体" w:hAnsi="宋体"/>
                <w:color w:val="auto"/>
                <w:highlight w:val="none"/>
              </w:rPr>
            </w:pPr>
            <w:r>
              <w:rPr>
                <w:rFonts w:hint="eastAsia" w:ascii="宋体" w:hAnsi="宋体"/>
                <w:color w:val="auto"/>
                <w:highlight w:val="none"/>
              </w:rPr>
              <w:t>响应报价有算术错误的，评审委员会按照以下原则对响应报价进行修正，修正的价格经供应商书面确认后具有约束力。供应商不接受修正价格的，评审委员会应当否决其响应。</w:t>
            </w:r>
          </w:p>
          <w:p w14:paraId="66729B2E">
            <w:pPr>
              <w:autoSpaceDE w:val="0"/>
              <w:autoSpaceDN w:val="0"/>
              <w:adjustRightInd w:val="0"/>
              <w:snapToGrid w:val="0"/>
              <w:rPr>
                <w:rFonts w:ascii="宋体" w:hAnsi="宋体"/>
                <w:color w:val="auto"/>
                <w:highlight w:val="none"/>
              </w:rPr>
            </w:pPr>
            <w:r>
              <w:rPr>
                <w:rFonts w:hint="eastAsia" w:ascii="宋体" w:hAnsi="宋体"/>
                <w:color w:val="auto"/>
                <w:highlight w:val="none"/>
              </w:rPr>
              <w:t>（1）响应文件中的大写金额与小写金额不一致的，以大写金额为准；</w:t>
            </w:r>
          </w:p>
          <w:p w14:paraId="4D171ACC">
            <w:pPr>
              <w:autoSpaceDE w:val="0"/>
              <w:autoSpaceDN w:val="0"/>
              <w:adjustRightInd w:val="0"/>
              <w:snapToGrid w:val="0"/>
              <w:rPr>
                <w:rFonts w:ascii="宋体" w:hAnsi="宋体"/>
                <w:color w:val="auto"/>
                <w:highlight w:val="none"/>
              </w:rPr>
            </w:pPr>
            <w:r>
              <w:rPr>
                <w:rFonts w:hint="eastAsia" w:ascii="宋体" w:hAnsi="宋体"/>
                <w:color w:val="auto"/>
                <w:highlight w:val="none"/>
              </w:rPr>
              <w:t>（2）总价金额与根据单价计算出的结果不一致的，以单价金额为准修正总价，但单价金额小数点有明显错误的除外。</w:t>
            </w:r>
          </w:p>
        </w:tc>
      </w:tr>
    </w:tbl>
    <w:p w14:paraId="6E86ADC9">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3" w:name="_Toc21785"/>
      <w:r>
        <w:rPr>
          <w:rFonts w:hint="eastAsia" w:asciiTheme="minorEastAsia" w:hAnsiTheme="minorEastAsia" w:eastAsiaTheme="minorEastAsia"/>
          <w:color w:val="auto"/>
          <w:sz w:val="28"/>
          <w:szCs w:val="28"/>
          <w:highlight w:val="none"/>
        </w:rPr>
        <w:t>总则</w:t>
      </w:r>
      <w:bookmarkEnd w:id="24"/>
      <w:bookmarkEnd w:id="25"/>
      <w:bookmarkEnd w:id="26"/>
      <w:bookmarkEnd w:id="32"/>
      <w:bookmarkEnd w:id="33"/>
    </w:p>
    <w:p w14:paraId="63A5EC2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4" w:name="_Toc144974498"/>
      <w:bookmarkStart w:id="35" w:name="_Toc447188668"/>
      <w:bookmarkStart w:id="36" w:name="_Toc152042306"/>
      <w:bookmarkStart w:id="37" w:name="_Toc296602421"/>
      <w:bookmarkStart w:id="38" w:name="_Toc246996919"/>
      <w:bookmarkStart w:id="39" w:name="_Toc447265503"/>
      <w:bookmarkStart w:id="40" w:name="_Toc179632547"/>
      <w:bookmarkStart w:id="41" w:name="_Toc26846"/>
      <w:bookmarkStart w:id="42" w:name="_Toc246996176"/>
      <w:bookmarkStart w:id="43" w:name="_Toc447265217"/>
      <w:bookmarkStart w:id="44" w:name="_Toc22964"/>
      <w:bookmarkStart w:id="45" w:name="_Toc152045530"/>
      <w:bookmarkStart w:id="46" w:name="_Toc247085690"/>
      <w:r>
        <w:rPr>
          <w:rFonts w:hint="eastAsia" w:asciiTheme="minorEastAsia" w:hAnsiTheme="minorEastAsia" w:eastAsiaTheme="minorEastAsia"/>
          <w:color w:val="auto"/>
          <w:sz w:val="24"/>
          <w:szCs w:val="24"/>
          <w:highlight w:val="none"/>
        </w:rPr>
        <w:t>1.1项目概况</w:t>
      </w:r>
      <w:bookmarkEnd w:id="34"/>
      <w:bookmarkEnd w:id="35"/>
      <w:bookmarkEnd w:id="36"/>
      <w:bookmarkEnd w:id="37"/>
      <w:bookmarkEnd w:id="38"/>
      <w:bookmarkEnd w:id="39"/>
      <w:bookmarkEnd w:id="40"/>
      <w:bookmarkEnd w:id="41"/>
      <w:bookmarkEnd w:id="42"/>
      <w:bookmarkEnd w:id="43"/>
      <w:bookmarkEnd w:id="44"/>
      <w:bookmarkEnd w:id="45"/>
      <w:bookmarkEnd w:id="46"/>
    </w:p>
    <w:bookmarkEnd w:id="27"/>
    <w:bookmarkEnd w:id="28"/>
    <w:p w14:paraId="75FB4F42">
      <w:pPr>
        <w:pStyle w:val="40"/>
        <w:tabs>
          <w:tab w:val="left" w:pos="630"/>
        </w:tabs>
        <w:snapToGrid w:val="0"/>
        <w:spacing w:line="440" w:lineRule="exact"/>
        <w:ind w:firstLine="424" w:firstLineChars="202"/>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1.1</w:t>
      </w:r>
      <w:r>
        <w:rPr>
          <w:rFonts w:hint="eastAsia" w:asciiTheme="minorEastAsia" w:hAnsiTheme="minorEastAsia" w:eastAsiaTheme="minorEastAsia"/>
          <w:color w:val="auto"/>
          <w:highlight w:val="none"/>
        </w:rPr>
        <w:t>采购人：采购人单位名称及联系方式见供应商须知前附表。</w:t>
      </w:r>
    </w:p>
    <w:p w14:paraId="56A807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1.1.2</w:t>
      </w:r>
      <w:r>
        <w:rPr>
          <w:rFonts w:hint="eastAsia" w:asciiTheme="minorEastAsia" w:hAnsiTheme="minorEastAsia" w:eastAsiaTheme="minorEastAsia"/>
          <w:color w:val="auto"/>
          <w:highlight w:val="none"/>
        </w:rPr>
        <w:t>项目名称：项目名称及项目编号见供应商须知前附表</w:t>
      </w:r>
    </w:p>
    <w:p w14:paraId="03F5BA8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7" w:name="_Toc227057886"/>
      <w:bookmarkStart w:id="48" w:name="_Toc447188669"/>
      <w:bookmarkStart w:id="49" w:name="_Toc226969279"/>
      <w:bookmarkStart w:id="50" w:name="_Toc9661"/>
      <w:bookmarkStart w:id="51" w:name="_Toc447265504"/>
      <w:bookmarkStart w:id="52" w:name="_Toc447265218"/>
      <w:bookmarkStart w:id="53" w:name="_Toc24397"/>
      <w:r>
        <w:rPr>
          <w:rFonts w:hint="eastAsia" w:asciiTheme="minorEastAsia" w:hAnsiTheme="minorEastAsia" w:eastAsiaTheme="minorEastAsia"/>
          <w:color w:val="auto"/>
          <w:sz w:val="24"/>
          <w:szCs w:val="24"/>
          <w:highlight w:val="none"/>
        </w:rPr>
        <w:t>1.2资金</w:t>
      </w:r>
      <w:bookmarkEnd w:id="47"/>
      <w:bookmarkEnd w:id="48"/>
      <w:bookmarkEnd w:id="49"/>
      <w:r>
        <w:rPr>
          <w:rFonts w:hint="eastAsia" w:asciiTheme="minorEastAsia" w:hAnsiTheme="minorEastAsia" w:eastAsiaTheme="minorEastAsia"/>
          <w:color w:val="auto"/>
          <w:sz w:val="24"/>
          <w:szCs w:val="24"/>
          <w:highlight w:val="none"/>
        </w:rPr>
        <w:t>落实情况</w:t>
      </w:r>
      <w:bookmarkEnd w:id="50"/>
      <w:bookmarkEnd w:id="51"/>
      <w:bookmarkEnd w:id="52"/>
      <w:bookmarkEnd w:id="53"/>
    </w:p>
    <w:p w14:paraId="7702CD0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本项目资金已落实。</w:t>
      </w:r>
    </w:p>
    <w:p w14:paraId="38BECDE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4" w:name="_Toc447265219"/>
      <w:bookmarkStart w:id="55" w:name="_Toc447265505"/>
      <w:bookmarkStart w:id="56" w:name="_Toc7411"/>
      <w:bookmarkStart w:id="57" w:name="_Toc447188670"/>
      <w:bookmarkStart w:id="58" w:name="_Toc6988"/>
      <w:r>
        <w:rPr>
          <w:rFonts w:hint="eastAsia" w:asciiTheme="minorEastAsia" w:hAnsiTheme="minorEastAsia" w:eastAsiaTheme="minorEastAsia"/>
          <w:color w:val="auto"/>
          <w:sz w:val="24"/>
          <w:szCs w:val="24"/>
          <w:highlight w:val="none"/>
        </w:rPr>
        <w:t>1.3采购范围</w:t>
      </w:r>
      <w:bookmarkEnd w:id="54"/>
      <w:bookmarkEnd w:id="55"/>
      <w:bookmarkEnd w:id="56"/>
      <w:bookmarkEnd w:id="57"/>
      <w:bookmarkEnd w:id="58"/>
    </w:p>
    <w:p w14:paraId="4806DF1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本项目采购范围：见供应商须知前附表。</w:t>
      </w:r>
    </w:p>
    <w:p w14:paraId="6745DADA">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9" w:name="_Toc26180"/>
      <w:bookmarkStart w:id="60" w:name="_Toc7840"/>
      <w:r>
        <w:rPr>
          <w:rFonts w:hint="eastAsia" w:asciiTheme="minorEastAsia" w:hAnsiTheme="minorEastAsia" w:eastAsiaTheme="minorEastAsia"/>
          <w:color w:val="auto"/>
          <w:sz w:val="24"/>
          <w:szCs w:val="24"/>
          <w:highlight w:val="none"/>
        </w:rPr>
        <w:t>1.4标包划分</w:t>
      </w:r>
      <w:bookmarkEnd w:id="59"/>
      <w:bookmarkEnd w:id="60"/>
    </w:p>
    <w:p w14:paraId="1A2CA1B6">
      <w:pPr>
        <w:pStyle w:val="40"/>
        <w:tabs>
          <w:tab w:val="left" w:pos="630"/>
        </w:tabs>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w:t>
      </w:r>
      <w:r>
        <w:rPr>
          <w:rFonts w:hint="eastAsia" w:asciiTheme="minorEastAsia" w:hAnsiTheme="minorEastAsia" w:eastAsiaTheme="minorEastAsia"/>
          <w:color w:val="auto"/>
          <w:highlight w:val="none"/>
          <w:lang w:val="en-US" w:eastAsia="zh-CN"/>
        </w:rPr>
        <w:t>不划分标包</w:t>
      </w:r>
      <w:r>
        <w:rPr>
          <w:rFonts w:hint="eastAsia" w:asciiTheme="minorEastAsia" w:hAnsiTheme="minorEastAsia" w:eastAsiaTheme="minorEastAsia"/>
          <w:color w:val="auto"/>
          <w:highlight w:val="none"/>
        </w:rPr>
        <w:t>。</w:t>
      </w:r>
    </w:p>
    <w:bookmarkEnd w:id="29"/>
    <w:p w14:paraId="502D9B5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61" w:name="_Toc447265507"/>
      <w:bookmarkStart w:id="62" w:name="_Toc14319"/>
      <w:bookmarkStart w:id="63" w:name="_Toc447188672"/>
      <w:bookmarkStart w:id="64" w:name="_Toc447265221"/>
      <w:bookmarkStart w:id="65" w:name="_Toc12765"/>
      <w:bookmarkStart w:id="66" w:name="_Toc226969281"/>
      <w:bookmarkStart w:id="67" w:name="_Toc227057888"/>
      <w:bookmarkStart w:id="68" w:name="_Toc107822486"/>
      <w:r>
        <w:rPr>
          <w:rFonts w:hint="eastAsia" w:asciiTheme="minorEastAsia" w:hAnsiTheme="minorEastAsia" w:eastAsiaTheme="minorEastAsia"/>
          <w:color w:val="auto"/>
          <w:sz w:val="24"/>
          <w:szCs w:val="24"/>
          <w:highlight w:val="none"/>
        </w:rPr>
        <w:t>1.5询比方式</w:t>
      </w:r>
      <w:bookmarkEnd w:id="61"/>
      <w:bookmarkEnd w:id="62"/>
      <w:bookmarkEnd w:id="63"/>
      <w:bookmarkEnd w:id="64"/>
      <w:bookmarkEnd w:id="65"/>
      <w:bookmarkEnd w:id="66"/>
      <w:bookmarkEnd w:id="67"/>
      <w:bookmarkEnd w:id="68"/>
    </w:p>
    <w:p w14:paraId="5A91ED3D">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1.5.1询比方式见供应商须知前附表。</w:t>
      </w:r>
    </w:p>
    <w:p w14:paraId="2EC3ADD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1.5.2公开询比，是指采购人以询比公告的方式邀请不特定的法人或者其他组织参加询比响应。</w:t>
      </w:r>
    </w:p>
    <w:p w14:paraId="736EC7A5">
      <w:pPr>
        <w:pStyle w:val="40"/>
        <w:tabs>
          <w:tab w:val="left" w:pos="630"/>
        </w:tabs>
        <w:snapToGrid w:val="0"/>
        <w:spacing w:line="440" w:lineRule="exact"/>
        <w:ind w:firstLine="424" w:firstLineChars="202"/>
        <w:rPr>
          <w:rFonts w:hint="eastAsia" w:asciiTheme="minorEastAsia" w:hAnsiTheme="minorEastAsia" w:eastAsiaTheme="minorEastAsia"/>
          <w:color w:val="auto"/>
          <w:highlight w:val="none"/>
          <w:lang w:eastAsia="zh-CN"/>
        </w:rPr>
      </w:pPr>
      <w:r>
        <w:rPr>
          <w:rFonts w:asciiTheme="minorEastAsia" w:hAnsiTheme="minorEastAsia" w:eastAsiaTheme="minorEastAsia"/>
          <w:color w:val="auto"/>
          <w:highlight w:val="none"/>
        </w:rPr>
        <w:t>1.5.3</w:t>
      </w:r>
      <w:r>
        <w:rPr>
          <w:rFonts w:hint="eastAsia" w:asciiTheme="minorEastAsia" w:hAnsiTheme="minorEastAsia" w:eastAsiaTheme="minorEastAsia"/>
          <w:color w:val="auto"/>
          <w:highlight w:val="none"/>
        </w:rPr>
        <w:t>邀请询比，是指采购人以询比邀请书的方式邀请特定的法人或者其他组织参加询比响应。</w:t>
      </w:r>
    </w:p>
    <w:p w14:paraId="77CC63F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69" w:name="_Toc226969280"/>
      <w:bookmarkStart w:id="70" w:name="_Toc227057887"/>
      <w:bookmarkStart w:id="71" w:name="_Toc447265222"/>
      <w:bookmarkStart w:id="72" w:name="_Toc31553"/>
      <w:bookmarkStart w:id="73" w:name="_Toc26221"/>
      <w:bookmarkStart w:id="74" w:name="_Toc107822485"/>
      <w:bookmarkStart w:id="75" w:name="_Toc447188673"/>
      <w:bookmarkStart w:id="76" w:name="_Toc447265508"/>
      <w:bookmarkStart w:id="77" w:name="_Toc227057889"/>
      <w:bookmarkStart w:id="78" w:name="_Toc226969282"/>
      <w:r>
        <w:rPr>
          <w:rFonts w:hint="eastAsia" w:asciiTheme="minorEastAsia" w:hAnsiTheme="minorEastAsia" w:eastAsiaTheme="minorEastAsia"/>
          <w:color w:val="auto"/>
          <w:sz w:val="24"/>
          <w:szCs w:val="24"/>
          <w:highlight w:val="none"/>
        </w:rPr>
        <w:t>1.6询比组织形式</w:t>
      </w:r>
      <w:bookmarkEnd w:id="69"/>
      <w:bookmarkEnd w:id="70"/>
      <w:bookmarkEnd w:id="71"/>
      <w:bookmarkEnd w:id="72"/>
      <w:bookmarkEnd w:id="73"/>
      <w:bookmarkEnd w:id="74"/>
      <w:bookmarkEnd w:id="75"/>
      <w:bookmarkEnd w:id="76"/>
    </w:p>
    <w:p w14:paraId="4B122251">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本项目由采购人自行组织</w:t>
      </w:r>
      <w:r>
        <w:rPr>
          <w:rFonts w:cs="宋体" w:asciiTheme="minorEastAsia" w:hAnsiTheme="minorEastAsia" w:eastAsiaTheme="minorEastAsia"/>
          <w:color w:val="auto"/>
          <w:szCs w:val="21"/>
          <w:highlight w:val="none"/>
        </w:rPr>
        <w:t>/委托</w:t>
      </w:r>
      <w:r>
        <w:rPr>
          <w:rFonts w:hint="eastAsia" w:cs="宋体" w:asciiTheme="minorEastAsia" w:hAnsiTheme="minorEastAsia" w:eastAsiaTheme="minorEastAsia"/>
          <w:color w:val="auto"/>
          <w:szCs w:val="21"/>
          <w:highlight w:val="none"/>
        </w:rPr>
        <w:t>采购代理机构采用代理询比的方式进行，询比组织形式、采购代理机构名称及联系方式见供应商须知前附表。</w:t>
      </w:r>
    </w:p>
    <w:p w14:paraId="657D173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79" w:name="_Toc447265509"/>
      <w:bookmarkStart w:id="80" w:name="_Toc447188674"/>
      <w:bookmarkStart w:id="81" w:name="_Toc11103"/>
      <w:bookmarkStart w:id="82" w:name="_Toc17788"/>
      <w:bookmarkStart w:id="83" w:name="_Toc447265223"/>
      <w:r>
        <w:rPr>
          <w:rFonts w:hint="eastAsia" w:asciiTheme="minorEastAsia" w:hAnsiTheme="minorEastAsia" w:eastAsiaTheme="minorEastAsia"/>
          <w:color w:val="auto"/>
          <w:sz w:val="24"/>
          <w:szCs w:val="24"/>
          <w:highlight w:val="none"/>
        </w:rPr>
        <w:t>1.7资格审查</w:t>
      </w:r>
      <w:bookmarkEnd w:id="77"/>
      <w:bookmarkEnd w:id="78"/>
      <w:bookmarkEnd w:id="79"/>
      <w:bookmarkEnd w:id="80"/>
      <w:bookmarkEnd w:id="81"/>
      <w:bookmarkEnd w:id="82"/>
      <w:bookmarkEnd w:id="83"/>
    </w:p>
    <w:p w14:paraId="74E2EEFE">
      <w:pPr>
        <w:adjustRightInd w:val="0"/>
        <w:snapToGrid w:val="0"/>
        <w:spacing w:line="440" w:lineRule="exact"/>
        <w:ind w:firstLine="424" w:firstLineChars="202"/>
        <w:rPr>
          <w:rFonts w:cs="宋体" w:asciiTheme="minorEastAsia" w:hAnsiTheme="minorEastAsia" w:eastAsiaTheme="minorEastAsia"/>
          <w:color w:val="auto"/>
          <w:szCs w:val="21"/>
          <w:highlight w:val="none"/>
        </w:rPr>
      </w:pPr>
      <w:bookmarkStart w:id="84" w:name="_Toc447265224"/>
      <w:bookmarkStart w:id="85" w:name="_Toc447188675"/>
      <w:bookmarkStart w:id="86" w:name="_Toc447265510"/>
      <w:r>
        <w:rPr>
          <w:rFonts w:hint="eastAsia" w:cs="宋体" w:asciiTheme="minorEastAsia" w:hAnsiTheme="minorEastAsia" w:eastAsiaTheme="minorEastAsia"/>
          <w:color w:val="auto"/>
          <w:szCs w:val="21"/>
          <w:highlight w:val="none"/>
        </w:rPr>
        <w:t>1.7.1本询比项目资格审查方式见供应商须知前附表。</w:t>
      </w:r>
    </w:p>
    <w:p w14:paraId="2BAA2AA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1.7.2资格预审是指在发出询比文件或者询比邀请书前，由资格审查委员会进行的资格审查。采用资格预审方式的，资格条件已经在询比文件发出前的“资格预审文件”中做出规定。</w:t>
      </w:r>
    </w:p>
    <w:p w14:paraId="644CE7E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87" w:name="_Toc226969283"/>
      <w:r>
        <w:rPr>
          <w:rFonts w:hint="eastAsia" w:asciiTheme="minorEastAsia" w:hAnsiTheme="minorEastAsia" w:eastAsiaTheme="minorEastAsia"/>
          <w:color w:val="auto"/>
          <w:highlight w:val="none"/>
        </w:rPr>
        <w:t>资格后审是指在评审阶段，由评审委员会进行的资格审查。</w:t>
      </w:r>
      <w:bookmarkEnd w:id="87"/>
      <w:r>
        <w:rPr>
          <w:rFonts w:hint="eastAsia" w:asciiTheme="minorEastAsia" w:hAnsiTheme="minorEastAsia" w:eastAsiaTheme="minorEastAsia"/>
          <w:color w:val="auto"/>
          <w:highlight w:val="none"/>
        </w:rPr>
        <w:t>采用资格后审方式的，供应商应当具备的资格条件见供应商须知前附表。</w:t>
      </w:r>
    </w:p>
    <w:p w14:paraId="54C5F17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采用资格后审的，采购人必须在询比文件中详细规定资格审查标准和方法。</w:t>
      </w:r>
    </w:p>
    <w:p w14:paraId="1241B10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资格后审一般包括下列内容：</w:t>
      </w:r>
    </w:p>
    <w:p w14:paraId="75A6D548">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资格要求；</w:t>
      </w:r>
    </w:p>
    <w:p w14:paraId="4830E72E">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其他业绩要求；</w:t>
      </w:r>
    </w:p>
    <w:p w14:paraId="2878AABA">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审查标准和方法。</w:t>
      </w:r>
    </w:p>
    <w:p w14:paraId="3A31204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资格后审不合格的供应商，评审委员会应当否决其响应。</w:t>
      </w:r>
    </w:p>
    <w:p w14:paraId="357D137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88" w:name="_Toc12999"/>
      <w:bookmarkStart w:id="89" w:name="_Toc27702"/>
      <w:r>
        <w:rPr>
          <w:rFonts w:hint="eastAsia" w:asciiTheme="minorEastAsia" w:hAnsiTheme="minorEastAsia" w:eastAsiaTheme="minorEastAsia"/>
          <w:color w:val="auto"/>
          <w:sz w:val="24"/>
          <w:szCs w:val="24"/>
          <w:highlight w:val="none"/>
        </w:rPr>
        <w:t>1.8供应商不得存在的情形</w:t>
      </w:r>
      <w:bookmarkEnd w:id="84"/>
      <w:bookmarkEnd w:id="85"/>
      <w:bookmarkEnd w:id="86"/>
      <w:bookmarkEnd w:id="88"/>
      <w:bookmarkEnd w:id="89"/>
    </w:p>
    <w:p w14:paraId="5588071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1.8.1单位负责人为同一人或者存在控股、管理关系的不同单位，不得同时参加本项目中同一标包</w:t>
      </w:r>
      <w:r>
        <w:rPr>
          <w:rFonts w:hint="eastAsia" w:hAnsi="宋体" w:eastAsiaTheme="minorEastAsia"/>
          <w:color w:val="auto"/>
          <w:highlight w:val="none"/>
        </w:rPr>
        <w:t>响应</w:t>
      </w:r>
      <w:r>
        <w:rPr>
          <w:rFonts w:hint="eastAsia" w:cs="宋体" w:asciiTheme="minorEastAsia" w:hAnsiTheme="minorEastAsia" w:eastAsiaTheme="minorEastAsia"/>
          <w:color w:val="auto"/>
          <w:szCs w:val="21"/>
          <w:highlight w:val="none"/>
        </w:rPr>
        <w:t>或者未划分标包的同一项目</w:t>
      </w:r>
      <w:r>
        <w:rPr>
          <w:rFonts w:hint="eastAsia" w:hAnsi="宋体" w:eastAsiaTheme="minorEastAsia"/>
          <w:color w:val="auto"/>
          <w:highlight w:val="none"/>
        </w:rPr>
        <w:t>响应</w:t>
      </w:r>
      <w:r>
        <w:rPr>
          <w:rFonts w:hint="eastAsia" w:cs="宋体" w:asciiTheme="minorEastAsia" w:hAnsiTheme="minorEastAsia" w:eastAsiaTheme="minorEastAsia"/>
          <w:color w:val="auto"/>
          <w:szCs w:val="21"/>
          <w:highlight w:val="none"/>
        </w:rPr>
        <w:t>。</w:t>
      </w:r>
    </w:p>
    <w:p w14:paraId="5CEDB7E5">
      <w:pPr>
        <w:adjustRightInd w:val="0"/>
        <w:snapToGrid w:val="0"/>
        <w:spacing w:line="440" w:lineRule="exact"/>
        <w:ind w:firstLine="420" w:firstLineChars="200"/>
        <w:rPr>
          <w:rFonts w:hint="eastAsia" w:ascii="Times New Roman" w:hAnsi="宋体" w:cs="Times New Roman" w:eastAsiaTheme="minorEastAsia"/>
          <w:color w:val="auto"/>
          <w:highlight w:val="none"/>
        </w:rPr>
      </w:pPr>
      <w:r>
        <w:rPr>
          <w:rFonts w:hint="eastAsia" w:cs="宋体" w:asciiTheme="minorEastAsia" w:hAnsiTheme="minorEastAsia" w:eastAsiaTheme="minorEastAsia"/>
          <w:color w:val="auto"/>
          <w:szCs w:val="21"/>
          <w:highlight w:val="none"/>
        </w:rPr>
        <w:t>1.8.2</w:t>
      </w:r>
      <w:r>
        <w:rPr>
          <w:rFonts w:hint="eastAsia" w:ascii="Times New Roman" w:hAnsi="宋体" w:cs="Times New Roman" w:eastAsiaTheme="minorEastAsia"/>
          <w:color w:val="auto"/>
          <w:highlight w:val="none"/>
        </w:rPr>
        <w:t>供应商不得存在的其他情形详见第一章询比公告或询比邀请书。</w:t>
      </w:r>
    </w:p>
    <w:p w14:paraId="46AAFFB7">
      <w:pPr>
        <w:adjustRightInd w:val="0"/>
        <w:snapToGrid w:val="0"/>
        <w:spacing w:line="440" w:lineRule="exact"/>
        <w:ind w:firstLine="420" w:firstLineChars="200"/>
        <w:rPr>
          <w:rFonts w:hint="eastAsia" w:ascii="Times New Roman" w:hAnsi="宋体" w:cs="Times New Roman" w:eastAsiaTheme="minorEastAsia"/>
          <w:color w:val="auto"/>
          <w:highlight w:val="none"/>
        </w:rPr>
      </w:pPr>
      <w:r>
        <w:rPr>
          <w:rFonts w:hint="eastAsia" w:ascii="Times New Roman" w:hAnsi="宋体" w:cs="Times New Roman" w:eastAsiaTheme="minorEastAsia"/>
          <w:color w:val="auto"/>
          <w:highlight w:val="none"/>
        </w:rPr>
        <w:t>供应商是代理商的，本条所指的供应商也包括其所代理的制造商；联合体响应的，联合体成员均不得存在上述任一情形。</w:t>
      </w:r>
    </w:p>
    <w:p w14:paraId="5D1CDCF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90" w:name="_Toc2398"/>
      <w:bookmarkStart w:id="91" w:name="_Toc447188676"/>
      <w:bookmarkStart w:id="92" w:name="_Toc227057890"/>
      <w:bookmarkStart w:id="93" w:name="_Toc447265225"/>
      <w:bookmarkStart w:id="94" w:name="_Toc447265511"/>
      <w:bookmarkStart w:id="95" w:name="_Toc14296"/>
      <w:bookmarkStart w:id="96" w:name="_Toc107822487"/>
      <w:bookmarkStart w:id="97" w:name="_Toc226969284"/>
      <w:r>
        <w:rPr>
          <w:rFonts w:hint="eastAsia" w:asciiTheme="minorEastAsia" w:hAnsiTheme="minorEastAsia" w:eastAsiaTheme="minorEastAsia"/>
          <w:color w:val="auto"/>
          <w:sz w:val="24"/>
          <w:szCs w:val="24"/>
          <w:highlight w:val="none"/>
        </w:rPr>
        <w:t>1.9合格的货物和服务</w:t>
      </w:r>
      <w:bookmarkEnd w:id="90"/>
      <w:bookmarkEnd w:id="91"/>
      <w:bookmarkEnd w:id="92"/>
      <w:bookmarkEnd w:id="93"/>
      <w:bookmarkEnd w:id="94"/>
      <w:bookmarkEnd w:id="95"/>
      <w:bookmarkEnd w:id="96"/>
      <w:bookmarkEnd w:id="97"/>
    </w:p>
    <w:p w14:paraId="6DF9514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1.9.1供应商提供的所有货物及其有关服务的原产地，均应当来自中国或者是与中国有正常贸易往来的国家或者地区。采购人的支付也仅限于这些货物和服务。</w:t>
      </w:r>
    </w:p>
    <w:p w14:paraId="0425B68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1.9.2本询比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0A3C29F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1.9.3供应商提供的所有货物及其有关服务应当符合国家规定的资格条件。</w:t>
      </w:r>
    </w:p>
    <w:p w14:paraId="07BC9AB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98" w:name="_Toc227057891"/>
      <w:bookmarkStart w:id="99" w:name="_Toc107822488"/>
      <w:bookmarkStart w:id="100" w:name="_Toc447265226"/>
      <w:bookmarkStart w:id="101" w:name="_Toc226969285"/>
      <w:bookmarkStart w:id="102" w:name="_Toc25317"/>
      <w:bookmarkStart w:id="103" w:name="_Toc13037"/>
      <w:bookmarkStart w:id="104" w:name="_Toc447265512"/>
      <w:bookmarkStart w:id="105" w:name="_Toc447188677"/>
      <w:r>
        <w:rPr>
          <w:rFonts w:hint="eastAsia" w:asciiTheme="minorEastAsia" w:hAnsiTheme="minorEastAsia" w:eastAsiaTheme="minorEastAsia"/>
          <w:color w:val="auto"/>
          <w:sz w:val="24"/>
          <w:szCs w:val="24"/>
          <w:highlight w:val="none"/>
        </w:rPr>
        <w:t>1.10响应费用</w:t>
      </w:r>
      <w:bookmarkEnd w:id="98"/>
      <w:bookmarkEnd w:id="99"/>
      <w:bookmarkEnd w:id="100"/>
      <w:bookmarkEnd w:id="101"/>
      <w:bookmarkEnd w:id="102"/>
      <w:bookmarkEnd w:id="103"/>
      <w:bookmarkEnd w:id="104"/>
      <w:bookmarkEnd w:id="105"/>
    </w:p>
    <w:p w14:paraId="7606B55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不论结果如何，供应商自行承担所有准备和参与询比响应有关的费用。</w:t>
      </w:r>
      <w:bookmarkStart w:id="106" w:name="_Toc107822489"/>
      <w:bookmarkStart w:id="107" w:name="_Toc226969286"/>
      <w:bookmarkStart w:id="108" w:name="_Toc227057892"/>
    </w:p>
    <w:p w14:paraId="571126F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09" w:name="_Toc447265513"/>
      <w:bookmarkStart w:id="110" w:name="_Toc21593"/>
      <w:bookmarkStart w:id="111" w:name="_Toc20079"/>
      <w:bookmarkStart w:id="112" w:name="_Toc447265227"/>
      <w:r>
        <w:rPr>
          <w:rFonts w:hint="eastAsia" w:asciiTheme="minorEastAsia" w:hAnsiTheme="minorEastAsia" w:eastAsiaTheme="minorEastAsia"/>
          <w:color w:val="auto"/>
          <w:sz w:val="24"/>
          <w:szCs w:val="24"/>
          <w:highlight w:val="none"/>
        </w:rPr>
        <w:t>1.11保密</w:t>
      </w:r>
      <w:bookmarkEnd w:id="109"/>
      <w:bookmarkEnd w:id="110"/>
      <w:bookmarkEnd w:id="111"/>
      <w:bookmarkEnd w:id="112"/>
    </w:p>
    <w:p w14:paraId="5099B06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参与询比活动的各方应当对询比文件和响应文件中的商业和技术等秘密保密，违者应当对由此造成的后果承担法律责任。</w:t>
      </w:r>
    </w:p>
    <w:p w14:paraId="0A28622E">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113" w:name="_Toc8595"/>
      <w:r>
        <w:rPr>
          <w:rFonts w:hint="eastAsia" w:asciiTheme="minorEastAsia" w:hAnsiTheme="minorEastAsia" w:eastAsiaTheme="minorEastAsia"/>
          <w:color w:val="auto"/>
          <w:sz w:val="28"/>
          <w:szCs w:val="28"/>
          <w:highlight w:val="none"/>
        </w:rPr>
        <w:t>询比文件</w:t>
      </w:r>
      <w:bookmarkEnd w:id="113"/>
      <w:r>
        <w:rPr>
          <w:rFonts w:hint="eastAsia" w:asciiTheme="minorEastAsia" w:hAnsiTheme="minorEastAsia" w:eastAsiaTheme="minorEastAsia"/>
          <w:color w:val="auto"/>
          <w:sz w:val="28"/>
          <w:szCs w:val="28"/>
          <w:highlight w:val="none"/>
        </w:rPr>
        <w:t xml:space="preserve"> </w:t>
      </w:r>
    </w:p>
    <w:p w14:paraId="109D268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14" w:name="_Toc447265229"/>
      <w:bookmarkStart w:id="115" w:name="_Toc11807"/>
      <w:bookmarkStart w:id="116" w:name="_Toc4956"/>
      <w:bookmarkStart w:id="117" w:name="_Toc447265515"/>
      <w:bookmarkStart w:id="118" w:name="_Toc447188679"/>
      <w:r>
        <w:rPr>
          <w:rFonts w:hint="eastAsia" w:asciiTheme="minorEastAsia" w:hAnsiTheme="minorEastAsia" w:eastAsiaTheme="minorEastAsia"/>
          <w:color w:val="auto"/>
          <w:sz w:val="24"/>
          <w:szCs w:val="24"/>
          <w:highlight w:val="none"/>
        </w:rPr>
        <w:t>2.1</w:t>
      </w:r>
      <w:bookmarkEnd w:id="106"/>
      <w:r>
        <w:rPr>
          <w:rFonts w:hint="eastAsia" w:asciiTheme="minorEastAsia" w:hAnsiTheme="minorEastAsia" w:eastAsiaTheme="minorEastAsia"/>
          <w:color w:val="auto"/>
          <w:sz w:val="24"/>
          <w:szCs w:val="24"/>
          <w:highlight w:val="none"/>
        </w:rPr>
        <w:t>询比文件的组成</w:t>
      </w:r>
      <w:bookmarkEnd w:id="107"/>
      <w:bookmarkEnd w:id="108"/>
      <w:bookmarkEnd w:id="114"/>
      <w:bookmarkEnd w:id="115"/>
      <w:bookmarkEnd w:id="116"/>
      <w:bookmarkEnd w:id="117"/>
      <w:bookmarkEnd w:id="118"/>
    </w:p>
    <w:p w14:paraId="74BA74A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2.1.1询比文件一般由以下部分组成：</w:t>
      </w:r>
    </w:p>
    <w:p w14:paraId="550E49EF">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询比公告</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询比邀请书</w:t>
      </w:r>
    </w:p>
    <w:p w14:paraId="53F8C63C">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供应商须知</w:t>
      </w:r>
    </w:p>
    <w:p w14:paraId="4ADF4584">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第三章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评审办法</w:t>
      </w:r>
    </w:p>
    <w:p w14:paraId="313C6DB6">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第四章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商务规范书</w:t>
      </w:r>
    </w:p>
    <w:p w14:paraId="138BEC70">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第五章 技术标准和要求/技术规范书/工作任务书</w:t>
      </w:r>
    </w:p>
    <w:p w14:paraId="11437A8D">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第六章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响应文件格式</w:t>
      </w:r>
    </w:p>
    <w:p w14:paraId="132FD9DB">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第七章 其他</w:t>
      </w:r>
    </w:p>
    <w:p w14:paraId="6A299E49">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w:t>
      </w:r>
      <w:r>
        <w:rPr>
          <w:rFonts w:cs="宋体" w:asciiTheme="minorEastAsia" w:hAnsiTheme="minorEastAsia" w:eastAsiaTheme="minorEastAsia"/>
          <w:color w:val="auto"/>
          <w:szCs w:val="21"/>
          <w:highlight w:val="none"/>
        </w:rPr>
        <w:t>另有规定的</w:t>
      </w:r>
      <w:r>
        <w:rPr>
          <w:rFonts w:hint="eastAsia"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见</w:t>
      </w:r>
      <w:r>
        <w:rPr>
          <w:rFonts w:hint="eastAsia" w:cs="宋体" w:asciiTheme="minorEastAsia" w:hAnsiTheme="minorEastAsia" w:eastAsiaTheme="minorEastAsia"/>
          <w:color w:val="auto"/>
          <w:szCs w:val="21"/>
          <w:highlight w:val="none"/>
        </w:rPr>
        <w:t>供应商</w:t>
      </w:r>
      <w:r>
        <w:rPr>
          <w:rFonts w:cs="宋体" w:asciiTheme="minorEastAsia" w:hAnsiTheme="minorEastAsia" w:eastAsiaTheme="minorEastAsia"/>
          <w:color w:val="auto"/>
          <w:szCs w:val="21"/>
          <w:highlight w:val="none"/>
        </w:rPr>
        <w:t>须知前附表</w:t>
      </w:r>
      <w:r>
        <w:rPr>
          <w:rFonts w:hint="eastAsia" w:cs="宋体" w:asciiTheme="minorEastAsia" w:hAnsiTheme="minorEastAsia" w:eastAsiaTheme="minorEastAsia"/>
          <w:color w:val="auto"/>
          <w:szCs w:val="21"/>
          <w:highlight w:val="none"/>
        </w:rPr>
        <w:t>。</w:t>
      </w:r>
    </w:p>
    <w:p w14:paraId="13A0864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2.1.2询比文件对同一内容的表述应当一致。第一章“询比公告”或者“询比邀请书”与询比文件在同一内容的表述上有矛盾或者冲突时，以第一章“询比公告”或者“询比邀请书”为准；供应商须知前附表与供应商须知正文在同一内容的表述上有矛盾或者冲突时，以供应商须知前附表为准。</w:t>
      </w:r>
    </w:p>
    <w:p w14:paraId="19DB36C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2.1.3采购人在询比文件中以显著的方式标明实质性要求、条件以及不满足实质性要求和条件的响应将被否决的提示；对于非实质性要求和条件，规定允许偏差的最大范围、最高项数和调整偏差的方法。显著标识方式和具体要求见供应商须知前附表。</w:t>
      </w:r>
    </w:p>
    <w:p w14:paraId="70907A5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2.1.4采购人可要求以某一单项报价核定是否低于成本，具体要求见供应商须知前附表。</w:t>
      </w:r>
    </w:p>
    <w:p w14:paraId="3B2CC2D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19" w:name="_Toc447265230"/>
      <w:bookmarkStart w:id="120" w:name="_Toc29693"/>
      <w:bookmarkStart w:id="121" w:name="_Toc10196"/>
      <w:bookmarkStart w:id="122" w:name="_Toc447265516"/>
      <w:bookmarkStart w:id="123" w:name="_Toc447188680"/>
      <w:bookmarkStart w:id="124" w:name="_Toc226969287"/>
      <w:bookmarkStart w:id="125" w:name="_Toc227057893"/>
      <w:bookmarkStart w:id="126" w:name="_Toc107822490"/>
      <w:r>
        <w:rPr>
          <w:rFonts w:hint="eastAsia" w:asciiTheme="minorEastAsia" w:hAnsiTheme="minorEastAsia" w:eastAsiaTheme="minorEastAsia"/>
          <w:color w:val="auto"/>
          <w:sz w:val="24"/>
          <w:szCs w:val="24"/>
          <w:highlight w:val="none"/>
        </w:rPr>
        <w:t>2.2踏勘现场</w:t>
      </w:r>
      <w:bookmarkEnd w:id="119"/>
      <w:bookmarkEnd w:id="120"/>
      <w:bookmarkEnd w:id="121"/>
      <w:bookmarkEnd w:id="122"/>
      <w:bookmarkEnd w:id="123"/>
    </w:p>
    <w:p w14:paraId="75FFE7E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2.2.1供应商须知前附表规定组织踏勘现场的，采购人按照供应商须知前附表规定的时间、地点组织供应商踏勘项目现场。 </w:t>
      </w:r>
    </w:p>
    <w:p w14:paraId="1BF85FE7">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2.2.2</w:t>
      </w:r>
      <w:r>
        <w:rPr>
          <w:rFonts w:hint="eastAsia" w:cs="宋体" w:asciiTheme="minorEastAsia" w:hAnsiTheme="minorEastAsia" w:eastAsiaTheme="minorEastAsia"/>
          <w:color w:val="auto"/>
          <w:szCs w:val="21"/>
          <w:highlight w:val="none"/>
        </w:rPr>
        <w:t>潜在供应商踏勘现场发生的费用自理。</w:t>
      </w:r>
    </w:p>
    <w:p w14:paraId="2DD19991">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2.2.3</w:t>
      </w:r>
      <w:r>
        <w:rPr>
          <w:rFonts w:hint="eastAsia" w:cs="宋体" w:asciiTheme="minorEastAsia" w:hAnsiTheme="minorEastAsia" w:eastAsiaTheme="minorEastAsia"/>
          <w:color w:val="auto"/>
          <w:szCs w:val="21"/>
          <w:highlight w:val="none"/>
        </w:rPr>
        <w:t>除采购人的原因外，潜在供应商自行负责在踏勘现场中所发生的人员伤亡和财产损失。</w:t>
      </w:r>
    </w:p>
    <w:p w14:paraId="70A1DDB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2.2.4</w:t>
      </w:r>
      <w:r>
        <w:rPr>
          <w:rFonts w:hint="eastAsia" w:cs="宋体" w:asciiTheme="minorEastAsia" w:hAnsiTheme="minorEastAsia" w:eastAsiaTheme="minorEastAsia"/>
          <w:color w:val="auto"/>
          <w:szCs w:val="21"/>
          <w:highlight w:val="none"/>
        </w:rPr>
        <w:t>采购人在踏勘现场中介绍的项目现场和相关的周边环境情况，供潜在供应商在编制响应文件时参考，采购人不对供应商据此作出的判断和决策负责。</w:t>
      </w:r>
    </w:p>
    <w:p w14:paraId="1D2BABF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27" w:name="_Toc447265231"/>
      <w:bookmarkStart w:id="128" w:name="_Toc27297"/>
      <w:bookmarkStart w:id="129" w:name="_Toc447265517"/>
      <w:bookmarkStart w:id="130" w:name="_Toc18238"/>
      <w:bookmarkStart w:id="131" w:name="_Toc447188681"/>
      <w:r>
        <w:rPr>
          <w:rFonts w:hint="eastAsia" w:asciiTheme="minorEastAsia" w:hAnsiTheme="minorEastAsia" w:eastAsiaTheme="minorEastAsia"/>
          <w:color w:val="auto"/>
          <w:sz w:val="24"/>
          <w:szCs w:val="24"/>
          <w:highlight w:val="none"/>
        </w:rPr>
        <w:t>2.3预备会</w:t>
      </w:r>
      <w:bookmarkEnd w:id="127"/>
      <w:bookmarkEnd w:id="128"/>
      <w:bookmarkEnd w:id="129"/>
      <w:bookmarkEnd w:id="130"/>
      <w:bookmarkEnd w:id="131"/>
    </w:p>
    <w:p w14:paraId="5BA8579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供应商须知前附表规定召开预备会的，采购人按照供应商须知前附表规定的时间和地点召开，澄清潜在供应商提出的问题。</w:t>
      </w:r>
    </w:p>
    <w:p w14:paraId="781180F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32" w:name="_Toc447265232"/>
      <w:bookmarkStart w:id="133" w:name="_Toc10381"/>
      <w:bookmarkStart w:id="134" w:name="_Toc447265518"/>
      <w:bookmarkStart w:id="135" w:name="_Toc447188682"/>
      <w:bookmarkStart w:id="136" w:name="_Toc19486"/>
      <w:r>
        <w:rPr>
          <w:rFonts w:hint="eastAsia" w:asciiTheme="minorEastAsia" w:hAnsiTheme="minorEastAsia" w:eastAsiaTheme="minorEastAsia"/>
          <w:color w:val="auto"/>
          <w:sz w:val="24"/>
          <w:szCs w:val="24"/>
          <w:highlight w:val="none"/>
        </w:rPr>
        <w:t>2.4询比文件的澄清</w:t>
      </w:r>
      <w:bookmarkEnd w:id="124"/>
      <w:bookmarkEnd w:id="125"/>
      <w:bookmarkEnd w:id="126"/>
      <w:r>
        <w:rPr>
          <w:rFonts w:hint="eastAsia" w:asciiTheme="minorEastAsia" w:hAnsiTheme="minorEastAsia" w:eastAsiaTheme="minorEastAsia"/>
          <w:color w:val="auto"/>
          <w:sz w:val="24"/>
          <w:szCs w:val="24"/>
          <w:highlight w:val="none"/>
        </w:rPr>
        <w:t>和修改</w:t>
      </w:r>
      <w:bookmarkEnd w:id="132"/>
      <w:bookmarkEnd w:id="133"/>
      <w:bookmarkEnd w:id="134"/>
      <w:bookmarkEnd w:id="135"/>
      <w:bookmarkEnd w:id="136"/>
    </w:p>
    <w:p w14:paraId="23330CFC">
      <w:pPr>
        <w:adjustRightInd w:val="0"/>
        <w:snapToGrid w:val="0"/>
        <w:spacing w:line="440" w:lineRule="exact"/>
        <w:ind w:firstLine="420" w:firstLineChars="200"/>
        <w:rPr>
          <w:rFonts w:cs="宋体" w:asciiTheme="minorEastAsia" w:hAnsiTheme="minorEastAsia" w:eastAsiaTheme="minorEastAsia"/>
          <w:color w:val="auto"/>
          <w:szCs w:val="21"/>
          <w:highlight w:val="none"/>
        </w:rPr>
      </w:pPr>
      <w:bookmarkStart w:id="137" w:name="_Toc152045546"/>
      <w:bookmarkStart w:id="138" w:name="_Toc152042322"/>
      <w:bookmarkStart w:id="139" w:name="_Toc447265519"/>
      <w:bookmarkStart w:id="140" w:name="_Toc447265233"/>
      <w:bookmarkStart w:id="141" w:name="_Toc246996934"/>
      <w:bookmarkStart w:id="142" w:name="_Toc296602436"/>
      <w:bookmarkStart w:id="143" w:name="_Toc246996191"/>
      <w:bookmarkStart w:id="144" w:name="_Toc247085705"/>
      <w:bookmarkStart w:id="145" w:name="_Toc179632564"/>
      <w:bookmarkStart w:id="146" w:name="_Toc447188683"/>
      <w:bookmarkStart w:id="147" w:name="_Toc144974514"/>
      <w:bookmarkStart w:id="148" w:name="_Toc226969289"/>
      <w:bookmarkStart w:id="149" w:name="_Toc107822492"/>
      <w:bookmarkStart w:id="150" w:name="_Toc227057895"/>
      <w:r>
        <w:rPr>
          <w:rFonts w:hint="eastAsia" w:cs="宋体" w:asciiTheme="minorEastAsia" w:hAnsiTheme="minorEastAsia" w:eastAsiaTheme="minorEastAsia"/>
          <w:color w:val="auto"/>
          <w:szCs w:val="21"/>
          <w:highlight w:val="none"/>
        </w:rPr>
        <w:t>2.4.1供应商对询比文件有疑问的，应当按照供应商须知前附表规定的时间和方式，要求采购人对询比文件进行澄清。</w:t>
      </w:r>
    </w:p>
    <w:p w14:paraId="270EACE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2.4.2</w:t>
      </w:r>
      <w:r>
        <w:rPr>
          <w:rFonts w:hint="eastAsia" w:cs="宋体" w:asciiTheme="minorEastAsia" w:hAnsiTheme="minorEastAsia" w:eastAsiaTheme="minorEastAsia"/>
          <w:color w:val="auto"/>
          <w:szCs w:val="21"/>
          <w:highlight w:val="none"/>
        </w:rPr>
        <w:t>采购人应当将澄清或者修改内容发给所有获取询比文件的供应商，但不指明问题的来源。</w:t>
      </w:r>
    </w:p>
    <w:p w14:paraId="705F69C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2.4.3</w:t>
      </w:r>
      <w:r>
        <w:rPr>
          <w:rFonts w:hint="eastAsia" w:cs="宋体" w:asciiTheme="minorEastAsia" w:hAnsiTheme="minorEastAsia" w:eastAsiaTheme="minorEastAsia"/>
          <w:color w:val="auto"/>
          <w:szCs w:val="21"/>
          <w:highlight w:val="none"/>
        </w:rPr>
        <w:t>如澄清或者修改的内容可能影响响应文件编制的，应当在提交响应文件截止时间至少2日前发出，不足2日的，采购人应当相应顺延响应截止时间。</w:t>
      </w:r>
    </w:p>
    <w:p w14:paraId="4BFE9F23">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2.4.4供应商收到澄清或者修改后，应当按照供应商须知前附表规定的时间和方式通知采购人，确认已收到该澄清或者修改。</w:t>
      </w:r>
    </w:p>
    <w:p w14:paraId="0A6BF34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2.4.5所有关于询比文件的澄清和修改均作为询比文件的补充部分。当询比文件、询比文件的澄清或者修改等在同一内容的表述上不一致时，以最后发出的书面文件为准。</w:t>
      </w:r>
    </w:p>
    <w:p w14:paraId="610DD38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51" w:name="_Toc14853"/>
      <w:bookmarkStart w:id="152" w:name="_Toc1798"/>
      <w:r>
        <w:rPr>
          <w:rFonts w:hint="eastAsia" w:asciiTheme="minorEastAsia" w:hAnsiTheme="minorEastAsia" w:eastAsiaTheme="minorEastAsia"/>
          <w:color w:val="auto"/>
          <w:sz w:val="24"/>
          <w:szCs w:val="24"/>
          <w:highlight w:val="none"/>
        </w:rPr>
        <w:t>2.5 询比文件的异议</w:t>
      </w:r>
      <w:bookmarkEnd w:id="151"/>
      <w:bookmarkEnd w:id="152"/>
    </w:p>
    <w:p w14:paraId="632E731B">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潜在供应商或者其他利害关系人对询比文件有异议的，应当在提交响应文件截止时间1日前以书面形式提出。采购人应当自收到异议之日起3日内作出答复；作出答复前，应当暂停询比活动。已作出明确答复，且无新的事实证据，就同一事项反复提出异议的，不予受理。</w:t>
      </w:r>
    </w:p>
    <w:bookmarkEnd w:id="137"/>
    <w:bookmarkEnd w:id="138"/>
    <w:bookmarkEnd w:id="139"/>
    <w:bookmarkEnd w:id="140"/>
    <w:bookmarkEnd w:id="141"/>
    <w:bookmarkEnd w:id="142"/>
    <w:bookmarkEnd w:id="143"/>
    <w:bookmarkEnd w:id="144"/>
    <w:bookmarkEnd w:id="145"/>
    <w:bookmarkEnd w:id="146"/>
    <w:bookmarkEnd w:id="147"/>
    <w:p w14:paraId="51ABB4E8">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153" w:name="_Toc24915"/>
      <w:r>
        <w:rPr>
          <w:rFonts w:hint="eastAsia" w:asciiTheme="minorEastAsia" w:hAnsiTheme="minorEastAsia" w:eastAsiaTheme="minorEastAsia"/>
          <w:color w:val="auto"/>
          <w:sz w:val="28"/>
          <w:szCs w:val="28"/>
          <w:highlight w:val="none"/>
        </w:rPr>
        <w:t>响应文件</w:t>
      </w:r>
      <w:bookmarkEnd w:id="153"/>
    </w:p>
    <w:bookmarkEnd w:id="30"/>
    <w:bookmarkEnd w:id="148"/>
    <w:bookmarkEnd w:id="149"/>
    <w:bookmarkEnd w:id="150"/>
    <w:p w14:paraId="50C9ED7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54" w:name="_Toc227057896"/>
      <w:bookmarkStart w:id="155" w:name="_Toc226969290"/>
      <w:bookmarkStart w:id="156" w:name="_Toc107822493"/>
      <w:bookmarkStart w:id="157" w:name="_Toc447188684"/>
      <w:bookmarkStart w:id="158" w:name="_Toc447265520"/>
      <w:bookmarkStart w:id="159" w:name="_Toc9159"/>
      <w:bookmarkStart w:id="160" w:name="_Toc450489293"/>
      <w:bookmarkStart w:id="161" w:name="_Toc30191"/>
      <w:bookmarkStart w:id="162" w:name="_Toc447265234"/>
      <w:bookmarkStart w:id="163" w:name="_Toc447265528"/>
      <w:bookmarkStart w:id="164" w:name="_Toc447265242"/>
      <w:bookmarkStart w:id="165" w:name="_Toc184635074"/>
      <w:bookmarkStart w:id="166" w:name="_Toc107822503"/>
      <w:bookmarkStart w:id="167" w:name="_Toc488655848"/>
      <w:bookmarkStart w:id="168" w:name="_Toc226969300"/>
      <w:bookmarkStart w:id="169" w:name="_Toc227057906"/>
      <w:r>
        <w:rPr>
          <w:rFonts w:hint="eastAsia" w:asciiTheme="minorEastAsia" w:hAnsiTheme="minorEastAsia" w:eastAsiaTheme="minorEastAsia"/>
          <w:color w:val="auto"/>
          <w:sz w:val="24"/>
          <w:szCs w:val="24"/>
          <w:highlight w:val="none"/>
        </w:rPr>
        <w:t>3.1响应文件的</w:t>
      </w:r>
      <w:bookmarkEnd w:id="154"/>
      <w:bookmarkEnd w:id="155"/>
      <w:bookmarkEnd w:id="156"/>
      <w:r>
        <w:rPr>
          <w:rFonts w:hint="eastAsia" w:asciiTheme="minorEastAsia" w:hAnsiTheme="minorEastAsia" w:eastAsiaTheme="minorEastAsia"/>
          <w:color w:val="auto"/>
          <w:sz w:val="24"/>
          <w:szCs w:val="24"/>
          <w:highlight w:val="none"/>
        </w:rPr>
        <w:t>组成</w:t>
      </w:r>
      <w:bookmarkEnd w:id="157"/>
      <w:bookmarkEnd w:id="158"/>
      <w:bookmarkEnd w:id="159"/>
      <w:bookmarkEnd w:id="160"/>
      <w:bookmarkEnd w:id="161"/>
      <w:bookmarkEnd w:id="162"/>
    </w:p>
    <w:p w14:paraId="29592C6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供应商应当按照供应商须知前附表的要求制作并提交响应文件。响应文件组成见供应商须知前附表。</w:t>
      </w:r>
    </w:p>
    <w:p w14:paraId="71EAFE5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70" w:name="_Toc447265521"/>
      <w:bookmarkStart w:id="171" w:name="_Toc32640"/>
      <w:bookmarkStart w:id="172" w:name="_Toc447188685"/>
      <w:bookmarkStart w:id="173" w:name="_Toc28462"/>
      <w:bookmarkStart w:id="174" w:name="_Toc447265235"/>
      <w:bookmarkStart w:id="175" w:name="_Toc450489294"/>
      <w:r>
        <w:rPr>
          <w:rFonts w:hint="eastAsia" w:asciiTheme="minorEastAsia" w:hAnsiTheme="minorEastAsia" w:eastAsiaTheme="minorEastAsia"/>
          <w:color w:val="auto"/>
          <w:sz w:val="24"/>
          <w:szCs w:val="24"/>
          <w:highlight w:val="none"/>
        </w:rPr>
        <w:t>3.2响应文件的编制</w:t>
      </w:r>
      <w:bookmarkEnd w:id="170"/>
      <w:bookmarkEnd w:id="171"/>
      <w:bookmarkEnd w:id="172"/>
      <w:bookmarkEnd w:id="173"/>
      <w:bookmarkEnd w:id="174"/>
      <w:bookmarkEnd w:id="175"/>
    </w:p>
    <w:p w14:paraId="0AA9929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3.2.1供应商应当按照询比文件的要求编制响应文件，响应文件应当对询比文件提出的实质性要求和条件作出响应。</w:t>
      </w:r>
    </w:p>
    <w:p w14:paraId="2DCA618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3.2.2</w:t>
      </w:r>
      <w:r>
        <w:rPr>
          <w:rFonts w:hint="eastAsia" w:asciiTheme="minorEastAsia" w:hAnsiTheme="minorEastAsia" w:eastAsiaTheme="minorEastAsia"/>
          <w:color w:val="auto"/>
          <w:highlight w:val="none"/>
        </w:rPr>
        <w:t>供应商应当认真阅读询比文件中所有的事项、格式、条款和技术规范等。供应商没有按照询比文件要求提交全部资料或者供应商没有对询比文件在各方面都作出实质性响应是供应商的风险，并可能导致其响应被否决。响应文件响应和编写的具体要求见供应商须知前附表。</w:t>
      </w:r>
    </w:p>
    <w:p w14:paraId="7E0343F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3.2.3供应商提交的响应文件以及供应商与采购人就有关响应的所有往来函电均应当使用中文。供应商提交的证明文件和文献可以使用另一种语言，但相应内容应当译成中文，在解释响应文件时以中文译本为准。</w:t>
      </w:r>
    </w:p>
    <w:p w14:paraId="4C721B9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3.2.4纸质响应文件应当使用不褪色的材料书写或者打印，并加盖单位公章或者由供应商的法定代表人或者其委托代理人签字。委托代理人签字的，响应文件应当附法定代表人签署的授权委托书。响应文件应当尽量避免涂改、行间插字或者删除。如果出现上述情况，改动之处应当加盖单位公章或者由供应商的法定代表人或者其委托代理人签字确认。盖章或者签字另有要求的，见供应商须知前附表。</w:t>
      </w:r>
    </w:p>
    <w:p w14:paraId="579B3DC0">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76" w:name="_Toc226969292"/>
      <w:bookmarkStart w:id="177" w:name="_Toc450489295"/>
      <w:bookmarkStart w:id="178" w:name="_Toc107822495"/>
      <w:bookmarkStart w:id="179" w:name="_Toc447188686"/>
      <w:bookmarkStart w:id="180" w:name="_Toc24856"/>
      <w:bookmarkStart w:id="181" w:name="_Toc447265236"/>
      <w:bookmarkStart w:id="182" w:name="_Toc447265522"/>
      <w:bookmarkStart w:id="183" w:name="_Toc227057898"/>
      <w:bookmarkStart w:id="184" w:name="_Toc14032"/>
      <w:r>
        <w:rPr>
          <w:rFonts w:hint="eastAsia" w:asciiTheme="minorEastAsia" w:hAnsiTheme="minorEastAsia" w:eastAsiaTheme="minorEastAsia"/>
          <w:color w:val="auto"/>
          <w:sz w:val="24"/>
          <w:szCs w:val="24"/>
          <w:highlight w:val="none"/>
        </w:rPr>
        <w:t>3.3响应报价</w:t>
      </w:r>
      <w:bookmarkEnd w:id="176"/>
      <w:bookmarkEnd w:id="177"/>
      <w:bookmarkEnd w:id="178"/>
      <w:bookmarkEnd w:id="179"/>
      <w:bookmarkEnd w:id="180"/>
      <w:bookmarkEnd w:id="181"/>
      <w:bookmarkEnd w:id="182"/>
      <w:bookmarkEnd w:id="183"/>
      <w:bookmarkEnd w:id="184"/>
    </w:p>
    <w:p w14:paraId="40A4294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3.3.1供应商应当根据询比文件要求进行报价，供应商应当报出符合询比文件要求的拟提供响应货物的单价（如适用）和总价。</w:t>
      </w:r>
    </w:p>
    <w:p w14:paraId="7853BAD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3.3.2</w:t>
      </w:r>
      <w:r>
        <w:rPr>
          <w:rFonts w:hint="eastAsia" w:asciiTheme="minorEastAsia" w:hAnsiTheme="minorEastAsia" w:eastAsiaTheme="minorEastAsia"/>
          <w:color w:val="auto"/>
          <w:highlight w:val="none"/>
        </w:rPr>
        <w:t>响应货币：人民币。</w:t>
      </w:r>
    </w:p>
    <w:p w14:paraId="311B63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3.3.3采购人设有最高响应限价的，供应商的响应报价不得超过最高响应限价，否则其响应将被否决。最高响应限价或者其计算方法见供应商须知前附表。</w:t>
      </w:r>
    </w:p>
    <w:p w14:paraId="584CEF6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3.3.4采购人不接受供应商的任何低于成本报价的不正当竞争方式。</w:t>
      </w:r>
    </w:p>
    <w:p w14:paraId="2E05B1B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3.3.5只有在询比文件要求或者允许报优惠价时，供应商才可以报出。供应商优惠报价的数额，响应文件开启时也必须当众公布。关于优惠条件的规定见供应商须知前附表。</w:t>
      </w:r>
    </w:p>
    <w:p w14:paraId="36BAEF3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3.3.6响应报价的具体要求见供应商须知前附表。</w:t>
      </w:r>
    </w:p>
    <w:p w14:paraId="70EADDD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85" w:name="_Toc450489296"/>
      <w:bookmarkStart w:id="186" w:name="_Toc447265237"/>
      <w:bookmarkStart w:id="187" w:name="_Toc107822500"/>
      <w:bookmarkStart w:id="188" w:name="_Toc31915"/>
      <w:bookmarkStart w:id="189" w:name="_Toc447265523"/>
      <w:bookmarkStart w:id="190" w:name="_Toc447188687"/>
      <w:bookmarkStart w:id="191" w:name="_Toc226969296"/>
      <w:bookmarkStart w:id="192" w:name="_Toc227057902"/>
      <w:bookmarkStart w:id="193" w:name="_Toc22091"/>
      <w:bookmarkStart w:id="194" w:name="_Toc226969295"/>
      <w:bookmarkStart w:id="195" w:name="_Toc227057901"/>
      <w:bookmarkStart w:id="196" w:name="_Toc107822499"/>
      <w:r>
        <w:rPr>
          <w:rFonts w:hint="eastAsia" w:asciiTheme="minorEastAsia" w:hAnsiTheme="minorEastAsia" w:eastAsiaTheme="minorEastAsia"/>
          <w:color w:val="auto"/>
          <w:sz w:val="24"/>
          <w:szCs w:val="24"/>
          <w:highlight w:val="none"/>
        </w:rPr>
        <w:t>3.4</w:t>
      </w:r>
      <w:bookmarkEnd w:id="185"/>
      <w:bookmarkEnd w:id="186"/>
      <w:bookmarkEnd w:id="187"/>
      <w:bookmarkEnd w:id="188"/>
      <w:bookmarkEnd w:id="189"/>
      <w:bookmarkEnd w:id="190"/>
      <w:bookmarkEnd w:id="191"/>
      <w:bookmarkEnd w:id="192"/>
      <w:r>
        <w:rPr>
          <w:rFonts w:hint="eastAsia" w:asciiTheme="minorEastAsia" w:hAnsiTheme="minorEastAsia" w:eastAsiaTheme="minorEastAsia"/>
          <w:color w:val="auto"/>
          <w:sz w:val="24"/>
          <w:szCs w:val="24"/>
          <w:highlight w:val="none"/>
        </w:rPr>
        <w:t>响应有效期</w:t>
      </w:r>
      <w:bookmarkEnd w:id="193"/>
    </w:p>
    <w:p w14:paraId="3AB8D52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3.4.1响应有效期从提交响应文件截止日起计算。响应有效期的具体时间见供应商须知前附表。在此期间，供应商不得要求撤销或者修改其响应文件。响应有效期不满足询比文件要求的响应将被否决。</w:t>
      </w:r>
    </w:p>
    <w:p w14:paraId="56E7344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3.4.2</w:t>
      </w:r>
      <w:r>
        <w:rPr>
          <w:rFonts w:hint="eastAsia" w:asciiTheme="minorEastAsia" w:hAnsiTheme="minorEastAsia" w:eastAsiaTheme="minorEastAsia"/>
          <w:color w:val="auto"/>
          <w:highlight w:val="none"/>
        </w:rPr>
        <w:t>在原定响应有效期满之前，如果出现特殊情况，采购人决定延长响应有效期的，应当以书面形式向供应商提出延长响应有效期的要求，供应商须以书面形式予以答复。供应商同意延长响应有效期的，不得修改其响应文件的实质性内容，但应当相应延长其响应保证金有效期；供应商拒绝延长响应有效期的，其响应失效，供应商有权收回其响应保证金。</w:t>
      </w:r>
    </w:p>
    <w:p w14:paraId="60FC45B7">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97" w:name="_Toc447265524"/>
      <w:bookmarkStart w:id="198" w:name="_Toc450489297"/>
      <w:bookmarkStart w:id="199" w:name="_Toc447265238"/>
      <w:bookmarkStart w:id="200" w:name="_Toc447188688"/>
      <w:bookmarkStart w:id="201" w:name="_Toc19693"/>
      <w:bookmarkStart w:id="202" w:name="_Toc9033"/>
      <w:r>
        <w:rPr>
          <w:rFonts w:hint="eastAsia" w:asciiTheme="minorEastAsia" w:hAnsiTheme="minorEastAsia" w:eastAsiaTheme="minorEastAsia"/>
          <w:color w:val="auto"/>
          <w:sz w:val="24"/>
          <w:szCs w:val="24"/>
          <w:highlight w:val="none"/>
        </w:rPr>
        <w:t>3.5</w:t>
      </w:r>
      <w:bookmarkEnd w:id="194"/>
      <w:bookmarkEnd w:id="195"/>
      <w:bookmarkEnd w:id="196"/>
      <w:bookmarkEnd w:id="197"/>
      <w:bookmarkEnd w:id="198"/>
      <w:bookmarkEnd w:id="199"/>
      <w:bookmarkEnd w:id="200"/>
      <w:bookmarkEnd w:id="201"/>
      <w:r>
        <w:rPr>
          <w:rFonts w:hint="eastAsia" w:asciiTheme="minorEastAsia" w:hAnsiTheme="minorEastAsia" w:eastAsiaTheme="minorEastAsia"/>
          <w:color w:val="auto"/>
          <w:sz w:val="24"/>
          <w:szCs w:val="24"/>
          <w:highlight w:val="none"/>
        </w:rPr>
        <w:t>响应保证金</w:t>
      </w:r>
      <w:bookmarkEnd w:id="202"/>
    </w:p>
    <w:p w14:paraId="79D0E33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3.5.1采购人要求供应商递交响应保证金的，供应商必须在提交响应文件的同时，按照供应商须知前附表的规定递交响应保证金。响应保证金一般不超过项目估算价的2%，本询比项目的响应保证金金额见供应商须知前附表。</w:t>
      </w:r>
    </w:p>
    <w:p w14:paraId="3262C48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3.5.2采购人可以规定响应保证金是以现金、支票、银行汇票、在中国注册的银行出具的银行保函等方式递交，响应保证金有效期应当与响应有效期一致。响应保证金的形式见供应商须知前附表。</w:t>
      </w:r>
    </w:p>
    <w:p w14:paraId="04AE346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3.5.3采购人最迟应当在书面合同签订后5日内向成交供应商和未成交的供应商退还响应保证金及银行同期存款利息。</w:t>
      </w:r>
    </w:p>
    <w:p w14:paraId="173F9ED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3.5.4</w:t>
      </w:r>
      <w:r>
        <w:rPr>
          <w:rFonts w:hint="eastAsia" w:asciiTheme="minorEastAsia" w:hAnsiTheme="minorEastAsia" w:eastAsiaTheme="minorEastAsia"/>
          <w:color w:val="auto"/>
          <w:highlight w:val="none"/>
        </w:rPr>
        <w:t>下列任何情况发生时，响应保证金可不予退还：</w:t>
      </w:r>
    </w:p>
    <w:p w14:paraId="17B506A2">
      <w:pPr>
        <w:tabs>
          <w:tab w:val="left" w:pos="630"/>
        </w:tabs>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（1）供应商</w:t>
      </w:r>
      <w:r>
        <w:rPr>
          <w:rFonts w:asciiTheme="minorEastAsia" w:hAnsiTheme="minorEastAsia" w:eastAsiaTheme="minorEastAsia"/>
          <w:color w:val="auto"/>
          <w:highlight w:val="none"/>
        </w:rPr>
        <w:t>在</w:t>
      </w:r>
      <w:r>
        <w:rPr>
          <w:rFonts w:hint="eastAsia" w:asciiTheme="minorEastAsia" w:hAnsiTheme="minorEastAsia" w:eastAsiaTheme="minorEastAsia"/>
          <w:color w:val="auto"/>
          <w:highlight w:val="none"/>
        </w:rPr>
        <w:t>询比文件</w:t>
      </w:r>
      <w:r>
        <w:rPr>
          <w:rFonts w:asciiTheme="minorEastAsia" w:hAnsiTheme="minorEastAsia" w:eastAsiaTheme="minorEastAsia"/>
          <w:color w:val="auto"/>
          <w:highlight w:val="none"/>
        </w:rPr>
        <w:t>中规定的</w:t>
      </w:r>
      <w:r>
        <w:rPr>
          <w:rFonts w:hint="eastAsia" w:asciiTheme="minorEastAsia" w:hAnsiTheme="minorEastAsia" w:eastAsiaTheme="minorEastAsia"/>
          <w:color w:val="auto"/>
          <w:highlight w:val="none"/>
        </w:rPr>
        <w:t>响应有效期</w:t>
      </w:r>
      <w:r>
        <w:rPr>
          <w:rFonts w:asciiTheme="minorEastAsia" w:hAnsiTheme="minorEastAsia" w:eastAsiaTheme="minorEastAsia"/>
          <w:color w:val="auto"/>
          <w:highlight w:val="none"/>
        </w:rPr>
        <w:t>内</w:t>
      </w:r>
      <w:r>
        <w:rPr>
          <w:rFonts w:hint="eastAsia" w:asciiTheme="minorEastAsia" w:hAnsiTheme="minorEastAsia" w:eastAsiaTheme="minorEastAsia"/>
          <w:color w:val="auto"/>
          <w:highlight w:val="none"/>
        </w:rPr>
        <w:t>撤销响应的；</w:t>
      </w:r>
    </w:p>
    <w:p w14:paraId="4BB4BADB">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（2）成交供应商无正当理由不与采购人订立合同，在签订合同时向采购人提出附加条件，或者不按照询比文件要求递交履约保证金的；</w:t>
      </w:r>
    </w:p>
    <w:p w14:paraId="1C16A8AA">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（3）供应商</w:t>
      </w:r>
      <w:r>
        <w:rPr>
          <w:rFonts w:asciiTheme="minorEastAsia" w:hAnsiTheme="minorEastAsia" w:eastAsiaTheme="minorEastAsia"/>
          <w:color w:val="auto"/>
          <w:highlight w:val="none"/>
        </w:rPr>
        <w:t>有串通</w:t>
      </w:r>
      <w:r>
        <w:rPr>
          <w:rFonts w:hint="eastAsia" w:asciiTheme="minorEastAsia" w:hAnsiTheme="minorEastAsia" w:eastAsiaTheme="minorEastAsia"/>
          <w:color w:val="auto"/>
          <w:highlight w:val="none"/>
        </w:rPr>
        <w:t>响应</w:t>
      </w:r>
      <w:r>
        <w:rPr>
          <w:rFonts w:asciiTheme="minorEastAsia" w:hAnsiTheme="minorEastAsia" w:eastAsiaTheme="minorEastAsia"/>
          <w:color w:val="auto"/>
          <w:highlight w:val="none"/>
        </w:rPr>
        <w:t>、弄虚作假等行为的；</w:t>
      </w:r>
    </w:p>
    <w:p w14:paraId="507376AE">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其他规定</w:t>
      </w:r>
      <w:r>
        <w:rPr>
          <w:rFonts w:hint="eastAsia" w:asciiTheme="minorEastAsia" w:hAnsiTheme="minorEastAsia" w:eastAsiaTheme="minorEastAsia"/>
          <w:color w:val="auto"/>
          <w:highlight w:val="none"/>
        </w:rPr>
        <w:t>见供应商须知前附表</w:t>
      </w:r>
      <w:r>
        <w:rPr>
          <w:rFonts w:asciiTheme="minorEastAsia" w:hAnsiTheme="minorEastAsia" w:eastAsiaTheme="minorEastAsia"/>
          <w:color w:val="auto"/>
          <w:highlight w:val="none"/>
        </w:rPr>
        <w:t>。</w:t>
      </w:r>
    </w:p>
    <w:p w14:paraId="33C1952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3.5.5未递交响应保证金或者递交的响应保证金有瑕疵的响应将被否决。</w:t>
      </w:r>
    </w:p>
    <w:p w14:paraId="6D1F504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03" w:name="_Toc450489298"/>
      <w:bookmarkStart w:id="204" w:name="_Toc1778"/>
      <w:bookmarkStart w:id="205" w:name="_Toc20064"/>
      <w:bookmarkStart w:id="206" w:name="_Toc447188689"/>
      <w:bookmarkStart w:id="207" w:name="_Toc447265239"/>
      <w:bookmarkStart w:id="208" w:name="_Toc226969297"/>
      <w:bookmarkStart w:id="209" w:name="_Toc447265525"/>
      <w:bookmarkStart w:id="210" w:name="_Toc227057903"/>
      <w:bookmarkStart w:id="211" w:name="_Toc107822501"/>
      <w:r>
        <w:rPr>
          <w:rFonts w:hint="eastAsia" w:asciiTheme="minorEastAsia" w:hAnsiTheme="minorEastAsia" w:eastAsiaTheme="minorEastAsia"/>
          <w:color w:val="auto"/>
          <w:sz w:val="24"/>
          <w:szCs w:val="24"/>
          <w:highlight w:val="none"/>
        </w:rPr>
        <w:t>3.6备选响应方案</w:t>
      </w:r>
      <w:bookmarkEnd w:id="203"/>
      <w:bookmarkEnd w:id="204"/>
      <w:bookmarkEnd w:id="205"/>
      <w:bookmarkEnd w:id="206"/>
      <w:bookmarkEnd w:id="207"/>
      <w:bookmarkEnd w:id="208"/>
      <w:bookmarkEnd w:id="209"/>
      <w:bookmarkEnd w:id="210"/>
    </w:p>
    <w:p w14:paraId="1117634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3.6.1除供应商须知前附表另有规定外，供应商不得提交备选响应方案。</w:t>
      </w:r>
    </w:p>
    <w:p w14:paraId="760FDB5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3.6.2</w:t>
      </w:r>
      <w:r>
        <w:rPr>
          <w:rFonts w:hint="eastAsia" w:asciiTheme="minorEastAsia" w:hAnsiTheme="minorEastAsia" w:eastAsiaTheme="minorEastAsia"/>
          <w:color w:val="auto"/>
          <w:highlight w:val="none"/>
        </w:rPr>
        <w:t>若采购人在询比文件中邀请供应商提交备选方案，则供应商除按照询比文件规定的基本方案编制和提交响应文件外，可以附加提交备选响应方案。</w:t>
      </w:r>
    </w:p>
    <w:p w14:paraId="24DA454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3.6.3</w:t>
      </w:r>
      <w:r>
        <w:rPr>
          <w:rFonts w:hint="eastAsia" w:asciiTheme="minorEastAsia" w:hAnsiTheme="minorEastAsia" w:eastAsiaTheme="minorEastAsia"/>
          <w:color w:val="auto"/>
          <w:highlight w:val="none"/>
        </w:rPr>
        <w:t>备选响应方案应当说明其对基本方案的改进意见和带来的效益，并附必要的图纸、设计计算、技术要求及其它有关资料，在封面上应当注明“备选响应方案”字样。</w:t>
      </w:r>
    </w:p>
    <w:p w14:paraId="55612B5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3.6.4允许供应商提交备选响应方案的，只有符合询比文件要求且综合评分最高而被推荐为成交候选人的供应商所提交的备选响应方案，可予以考虑。评审委员会认为其备选响应方案优于其按照询比文件要求编制的响应方案的，采购人可以接受该备选响应方案。</w:t>
      </w:r>
    </w:p>
    <w:p w14:paraId="18EF04A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12" w:name="_Toc227057904"/>
      <w:bookmarkStart w:id="213" w:name="_Toc226969298"/>
      <w:bookmarkStart w:id="214" w:name="_Toc447188690"/>
      <w:bookmarkStart w:id="215" w:name="_Toc447265526"/>
      <w:bookmarkStart w:id="216" w:name="_Toc450489299"/>
      <w:bookmarkStart w:id="217" w:name="_Toc447265240"/>
      <w:bookmarkStart w:id="218" w:name="_Toc21817"/>
      <w:bookmarkStart w:id="219" w:name="_Toc8654"/>
      <w:r>
        <w:rPr>
          <w:rFonts w:hint="eastAsia" w:asciiTheme="minorEastAsia" w:hAnsiTheme="minorEastAsia" w:eastAsiaTheme="minorEastAsia"/>
          <w:color w:val="auto"/>
          <w:sz w:val="24"/>
          <w:szCs w:val="24"/>
          <w:highlight w:val="none"/>
        </w:rPr>
        <w:t>3.7响应文件的式样</w:t>
      </w:r>
      <w:bookmarkEnd w:id="211"/>
      <w:bookmarkEnd w:id="212"/>
      <w:bookmarkEnd w:id="213"/>
      <w:r>
        <w:rPr>
          <w:rFonts w:hint="eastAsia" w:asciiTheme="minorEastAsia" w:hAnsiTheme="minorEastAsia" w:eastAsiaTheme="minorEastAsia"/>
          <w:color w:val="auto"/>
          <w:sz w:val="24"/>
          <w:szCs w:val="24"/>
          <w:highlight w:val="none"/>
        </w:rPr>
        <w:t>、密封和标记</w:t>
      </w:r>
      <w:bookmarkEnd w:id="214"/>
      <w:bookmarkEnd w:id="215"/>
      <w:bookmarkEnd w:id="216"/>
      <w:bookmarkEnd w:id="217"/>
      <w:r>
        <w:rPr>
          <w:rFonts w:hint="eastAsia" w:asciiTheme="minorEastAsia" w:hAnsiTheme="minorEastAsia" w:eastAsiaTheme="minorEastAsia"/>
          <w:color w:val="auto"/>
          <w:sz w:val="24"/>
          <w:szCs w:val="24"/>
          <w:highlight w:val="none"/>
        </w:rPr>
        <w:t>（递交纸质文件适用）</w:t>
      </w:r>
      <w:bookmarkEnd w:id="218"/>
      <w:bookmarkEnd w:id="219"/>
    </w:p>
    <w:p w14:paraId="0942B9D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3.7.1</w:t>
      </w:r>
      <w:r>
        <w:rPr>
          <w:rFonts w:hint="eastAsia" w:asciiTheme="minorEastAsia" w:hAnsiTheme="minorEastAsia" w:eastAsiaTheme="minorEastAsia"/>
          <w:color w:val="auto"/>
          <w:highlight w:val="none"/>
        </w:rPr>
        <w:t>供应商应当编制一份响应文件“正本”和供应商须知前附表所述份数的“副本”和“电子版”，副本为正本复印件。响应文件正本和副本如有不一致之处，以正本为准；纸质版文件与电子版文件不一致时，以纸质版文件为准。</w:t>
      </w:r>
    </w:p>
    <w:p w14:paraId="7B82BD5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3.7.2每份响应文件的正本、副本及电子版应当分别装订，并于封面上明确标明“正本”、“副本”和“电子版”字样。</w:t>
      </w:r>
    </w:p>
    <w:p w14:paraId="3790CC3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3.7.3响应文件应当按照询比文件规定密封包装，并于封装封面上明确标明“正本”、“副本”和“电子版”字样。密封的所有粘接缝隙必须加盖单位公章或者由供应商的法定代表人或者其委托代理人签字。</w:t>
      </w:r>
    </w:p>
    <w:p w14:paraId="1FF5E4B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3.7.4外层包封应当写明采购人名称和地址、项目名称、项目编号、并注明响应文件开启时间以前不得开封。还应当写明供应商的名称与地址、邮政编码，以便响应出现逾期送达时能原封退回。</w:t>
      </w:r>
    </w:p>
    <w:p w14:paraId="3F4B0A2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3.7.5递交响应文件时，采购人应当对符合询比文件规定密封和标记的响应文件进行签收。</w:t>
      </w:r>
    </w:p>
    <w:p w14:paraId="3C0768E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3.7.6</w:t>
      </w:r>
      <w:r>
        <w:rPr>
          <w:rFonts w:hint="eastAsia" w:asciiTheme="minorEastAsia" w:hAnsiTheme="minorEastAsia" w:eastAsiaTheme="minorEastAsia"/>
          <w:color w:val="auto"/>
          <w:highlight w:val="none"/>
        </w:rPr>
        <w:t>采购人对于响应文件密封、标记另有要求的，见供应商须知前附表。</w:t>
      </w:r>
    </w:p>
    <w:bookmarkEnd w:id="163"/>
    <w:bookmarkEnd w:id="164"/>
    <w:bookmarkEnd w:id="165"/>
    <w:p w14:paraId="159F48CD">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20" w:name="_Toc477190296"/>
      <w:bookmarkEnd w:id="220"/>
      <w:bookmarkStart w:id="221" w:name="_Toc477190297"/>
      <w:bookmarkEnd w:id="221"/>
      <w:bookmarkStart w:id="222" w:name="_Toc25154"/>
      <w:r>
        <w:rPr>
          <w:rFonts w:hint="eastAsia" w:asciiTheme="minorEastAsia" w:hAnsiTheme="minorEastAsia" w:eastAsiaTheme="minorEastAsia"/>
          <w:color w:val="auto"/>
          <w:sz w:val="28"/>
          <w:szCs w:val="28"/>
          <w:highlight w:val="none"/>
        </w:rPr>
        <w:t>询比响应</w:t>
      </w:r>
      <w:bookmarkEnd w:id="222"/>
    </w:p>
    <w:p w14:paraId="0BAC8D3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23" w:name="_Toc447265243"/>
      <w:bookmarkStart w:id="224" w:name="_Toc447188692"/>
      <w:bookmarkStart w:id="225" w:name="_Toc447265529"/>
      <w:bookmarkStart w:id="226" w:name="_Toc24706"/>
      <w:bookmarkStart w:id="227" w:name="_Toc21111"/>
      <w:r>
        <w:rPr>
          <w:rFonts w:hint="eastAsia" w:asciiTheme="minorEastAsia" w:hAnsiTheme="minorEastAsia" w:eastAsiaTheme="minorEastAsia"/>
          <w:color w:val="auto"/>
          <w:sz w:val="24"/>
          <w:szCs w:val="24"/>
          <w:highlight w:val="none"/>
        </w:rPr>
        <w:t>4.1</w:t>
      </w:r>
      <w:bookmarkEnd w:id="166"/>
      <w:bookmarkEnd w:id="167"/>
      <w:r>
        <w:rPr>
          <w:rFonts w:hint="eastAsia" w:asciiTheme="minorEastAsia" w:hAnsiTheme="minorEastAsia" w:eastAsiaTheme="minorEastAsia"/>
          <w:color w:val="auto"/>
          <w:sz w:val="24"/>
          <w:szCs w:val="24"/>
          <w:highlight w:val="none"/>
        </w:rPr>
        <w:t>响应文件的</w:t>
      </w:r>
      <w:bookmarkEnd w:id="168"/>
      <w:bookmarkEnd w:id="169"/>
      <w:bookmarkEnd w:id="223"/>
      <w:bookmarkEnd w:id="224"/>
      <w:bookmarkEnd w:id="225"/>
      <w:bookmarkEnd w:id="226"/>
      <w:r>
        <w:rPr>
          <w:rFonts w:hint="eastAsia" w:asciiTheme="minorEastAsia" w:hAnsiTheme="minorEastAsia" w:eastAsiaTheme="minorEastAsia"/>
          <w:color w:val="auto"/>
          <w:sz w:val="24"/>
          <w:szCs w:val="24"/>
          <w:highlight w:val="none"/>
        </w:rPr>
        <w:t>提交</w:t>
      </w:r>
      <w:bookmarkEnd w:id="227"/>
    </w:p>
    <w:p w14:paraId="2D0B76A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28" w:name="_Toc488655849"/>
      <w:bookmarkStart w:id="229" w:name="_Toc107822504"/>
      <w:bookmarkStart w:id="230" w:name="_Toc107822505"/>
      <w:bookmarkStart w:id="231" w:name="_Toc488655850"/>
      <w:bookmarkStart w:id="232" w:name="_Toc226969301"/>
      <w:bookmarkStart w:id="233" w:name="_Toc227057907"/>
      <w:bookmarkStart w:id="234" w:name="_Toc447265244"/>
      <w:bookmarkStart w:id="235" w:name="_Toc447188693"/>
      <w:bookmarkStart w:id="236" w:name="_Toc447265530"/>
      <w:r>
        <w:rPr>
          <w:rFonts w:hint="eastAsia" w:asciiTheme="minorEastAsia" w:hAnsiTheme="minorEastAsia" w:eastAsiaTheme="minorEastAsia"/>
          <w:color w:val="auto"/>
          <w:highlight w:val="none"/>
        </w:rPr>
        <w:t>4.1.1响应文件提交截止时间：见供应商须知前附表。</w:t>
      </w:r>
    </w:p>
    <w:p w14:paraId="7693936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4.1.2</w:t>
      </w:r>
      <w:r>
        <w:rPr>
          <w:rFonts w:hint="eastAsia" w:asciiTheme="minorEastAsia" w:hAnsiTheme="minorEastAsia" w:eastAsiaTheme="minorEastAsia"/>
          <w:color w:val="auto"/>
          <w:highlight w:val="none"/>
        </w:rPr>
        <w:t>响应文件提交地点：见供应商须知前附表。</w:t>
      </w:r>
    </w:p>
    <w:p w14:paraId="0D244F7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4.1.3采购人收到响应文件后，向供应商出具签收凭证。</w:t>
      </w:r>
    </w:p>
    <w:p w14:paraId="6936048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4.1.4</w:t>
      </w:r>
      <w:r>
        <w:rPr>
          <w:rFonts w:hint="eastAsia" w:asciiTheme="minorEastAsia" w:hAnsiTheme="minorEastAsia" w:eastAsiaTheme="minorEastAsia"/>
          <w:color w:val="auto"/>
          <w:highlight w:val="none"/>
        </w:rPr>
        <w:t>除供应商须知前附表另有规定外，供应商所提交的响应文件不予退还。</w:t>
      </w:r>
    </w:p>
    <w:p w14:paraId="5947D3E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4.1.5出现以下情形之一时，采购人/采购代理机构不予接收响应文件：</w:t>
      </w:r>
    </w:p>
    <w:p w14:paraId="14DAB7CE">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响应文件未按要求加密的；</w:t>
      </w:r>
    </w:p>
    <w:p w14:paraId="4C90226A">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未按规定获取询比文件的；</w:t>
      </w:r>
    </w:p>
    <w:p w14:paraId="5D296344">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未通过资格预审的申请人提交响应文件的；</w:t>
      </w:r>
    </w:p>
    <w:p w14:paraId="64488439">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未在响应文件提交截止时间前按规定提交响应文件的。</w:t>
      </w:r>
    </w:p>
    <w:p w14:paraId="79919814">
      <w:pPr>
        <w:pStyle w:val="40"/>
        <w:tabs>
          <w:tab w:val="left" w:pos="630"/>
        </w:tabs>
        <w:snapToGrid w:val="0"/>
        <w:spacing w:line="360" w:lineRule="exact"/>
        <w:ind w:firstLine="424" w:firstLineChars="202"/>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4.1.6提交</w:t>
      </w:r>
      <w:r>
        <w:rPr>
          <w:rFonts w:hint="eastAsia" w:asciiTheme="minorEastAsia" w:hAnsiTheme="minorEastAsia" w:eastAsiaTheme="minorEastAsia"/>
          <w:color w:val="auto"/>
          <w:szCs w:val="21"/>
          <w:highlight w:val="none"/>
        </w:rPr>
        <w:t>响应文件的供应商不足三家的，</w:t>
      </w:r>
      <w:r>
        <w:rPr>
          <w:rFonts w:hint="eastAsia" w:asciiTheme="minorEastAsia" w:hAnsiTheme="minorEastAsia" w:eastAsiaTheme="minorEastAsia"/>
          <w:color w:val="auto"/>
          <w:highlight w:val="none"/>
        </w:rPr>
        <w:t>处理原则见供应商须知前附表。</w:t>
      </w:r>
    </w:p>
    <w:p w14:paraId="62BEAFB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4.1.7 采购人采用电子询比方式的，响应文件提交异常的处理方式见供应商须知前附表。</w:t>
      </w:r>
    </w:p>
    <w:bookmarkEnd w:id="228"/>
    <w:bookmarkEnd w:id="229"/>
    <w:p w14:paraId="53C655A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37" w:name="_Toc19084"/>
      <w:bookmarkStart w:id="238" w:name="_Toc16535"/>
      <w:r>
        <w:rPr>
          <w:rFonts w:hint="eastAsia" w:asciiTheme="minorEastAsia" w:hAnsiTheme="minorEastAsia" w:eastAsiaTheme="minorEastAsia"/>
          <w:color w:val="auto"/>
          <w:sz w:val="24"/>
          <w:szCs w:val="24"/>
          <w:highlight w:val="none"/>
        </w:rPr>
        <w:t>4.2响应文件的修改、撤回</w:t>
      </w:r>
      <w:bookmarkEnd w:id="230"/>
      <w:bookmarkEnd w:id="231"/>
      <w:bookmarkEnd w:id="232"/>
      <w:bookmarkEnd w:id="233"/>
      <w:r>
        <w:rPr>
          <w:rFonts w:hint="eastAsia" w:asciiTheme="minorEastAsia" w:hAnsiTheme="minorEastAsia" w:eastAsiaTheme="minorEastAsia"/>
          <w:color w:val="auto"/>
          <w:sz w:val="24"/>
          <w:szCs w:val="24"/>
          <w:highlight w:val="none"/>
        </w:rPr>
        <w:t>和撤销</w:t>
      </w:r>
      <w:bookmarkEnd w:id="234"/>
      <w:bookmarkEnd w:id="235"/>
      <w:bookmarkEnd w:id="236"/>
      <w:bookmarkEnd w:id="237"/>
      <w:bookmarkEnd w:id="238"/>
    </w:p>
    <w:p w14:paraId="5BA6DF5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39" w:name="_Toc144974527"/>
      <w:bookmarkStart w:id="240" w:name="_Toc447188694"/>
      <w:bookmarkStart w:id="241" w:name="_Toc152042335"/>
      <w:bookmarkStart w:id="242" w:name="_Toc447265531"/>
      <w:bookmarkStart w:id="243" w:name="_Toc246996203"/>
      <w:bookmarkStart w:id="244" w:name="_Toc246996946"/>
      <w:bookmarkStart w:id="245" w:name="_Toc247085717"/>
      <w:bookmarkStart w:id="246" w:name="_Toc179632577"/>
      <w:bookmarkStart w:id="247" w:name="_Toc447265245"/>
      <w:bookmarkStart w:id="248" w:name="_Toc152045559"/>
      <w:bookmarkStart w:id="249" w:name="_Toc296602447"/>
      <w:bookmarkStart w:id="250" w:name="_Toc226969302"/>
      <w:bookmarkStart w:id="251" w:name="_Toc227057908"/>
      <w:bookmarkStart w:id="252" w:name="_Toc488655852"/>
      <w:bookmarkStart w:id="253" w:name="_Toc107822506"/>
      <w:r>
        <w:rPr>
          <w:rFonts w:asciiTheme="minorEastAsia" w:hAnsiTheme="minorEastAsia" w:eastAsiaTheme="minorEastAsia"/>
          <w:color w:val="auto"/>
          <w:highlight w:val="none"/>
        </w:rPr>
        <w:t>4.2.1</w:t>
      </w:r>
      <w:r>
        <w:rPr>
          <w:rFonts w:hint="eastAsia" w:asciiTheme="minorEastAsia" w:hAnsiTheme="minorEastAsia" w:eastAsiaTheme="minorEastAsia"/>
          <w:color w:val="auto"/>
          <w:highlight w:val="none"/>
        </w:rPr>
        <w:t>在规定的响应截止时间前，供应商可以修改或者撤回已提交的响应文件。</w:t>
      </w:r>
    </w:p>
    <w:p w14:paraId="1C4928E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4.2.2</w:t>
      </w:r>
      <w:r>
        <w:rPr>
          <w:rFonts w:hint="eastAsia" w:asciiTheme="minorEastAsia" w:hAnsiTheme="minorEastAsia" w:eastAsiaTheme="minorEastAsia"/>
          <w:color w:val="auto"/>
          <w:highlight w:val="none"/>
        </w:rPr>
        <w:t>供应商修改后的响应文件，应当在规定的响应截止时间前按照询比文件的规定编制、加密、提交。</w:t>
      </w:r>
    </w:p>
    <w:p w14:paraId="5F1B4C7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4.2.3</w:t>
      </w:r>
      <w:r>
        <w:rPr>
          <w:rFonts w:hint="eastAsia" w:asciiTheme="minorEastAsia" w:hAnsiTheme="minorEastAsia" w:eastAsiaTheme="minorEastAsia"/>
          <w:color w:val="auto"/>
          <w:highlight w:val="none"/>
        </w:rPr>
        <w:t>供应商撤回已提交的响应文件，应当书面通知采购人。采购人已收取响应保证金的，应当自收到供应商书面撤回通知之日起5日内退还。</w:t>
      </w:r>
    </w:p>
    <w:p w14:paraId="7302E3C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4.2.4供应商在规定的响应截止时间后，不得在响应有效期内撤销或者修改其响应文件。否则采购人有权不退还其响应保证金。</w:t>
      </w:r>
    </w:p>
    <w:bookmarkEnd w:id="239"/>
    <w:bookmarkEnd w:id="240"/>
    <w:bookmarkEnd w:id="241"/>
    <w:bookmarkEnd w:id="242"/>
    <w:bookmarkEnd w:id="243"/>
    <w:bookmarkEnd w:id="244"/>
    <w:bookmarkEnd w:id="245"/>
    <w:bookmarkEnd w:id="246"/>
    <w:bookmarkEnd w:id="247"/>
    <w:bookmarkEnd w:id="248"/>
    <w:bookmarkEnd w:id="249"/>
    <w:p w14:paraId="5DC54A4B">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54" w:name="_Toc20842"/>
      <w:r>
        <w:rPr>
          <w:rFonts w:hint="eastAsia" w:asciiTheme="minorEastAsia" w:hAnsiTheme="minorEastAsia" w:eastAsiaTheme="minorEastAsia"/>
          <w:color w:val="auto"/>
          <w:sz w:val="28"/>
          <w:szCs w:val="28"/>
          <w:highlight w:val="none"/>
        </w:rPr>
        <w:t>响应文件开启</w:t>
      </w:r>
      <w:bookmarkEnd w:id="254"/>
    </w:p>
    <w:p w14:paraId="366A558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55" w:name="_Toc447265246"/>
      <w:bookmarkStart w:id="256" w:name="_Toc1802"/>
      <w:bookmarkStart w:id="257" w:name="_Toc447188695"/>
      <w:bookmarkStart w:id="258" w:name="_Toc447265532"/>
      <w:bookmarkStart w:id="259" w:name="_Toc20866"/>
      <w:r>
        <w:rPr>
          <w:rFonts w:hint="eastAsia" w:asciiTheme="minorEastAsia" w:hAnsiTheme="minorEastAsia" w:eastAsiaTheme="minorEastAsia"/>
          <w:color w:val="auto"/>
          <w:sz w:val="24"/>
          <w:szCs w:val="24"/>
          <w:highlight w:val="none"/>
        </w:rPr>
        <w:t>5.1</w:t>
      </w:r>
      <w:bookmarkEnd w:id="250"/>
      <w:bookmarkEnd w:id="251"/>
      <w:bookmarkEnd w:id="252"/>
      <w:bookmarkEnd w:id="253"/>
      <w:r>
        <w:rPr>
          <w:rFonts w:hint="eastAsia" w:asciiTheme="minorEastAsia" w:hAnsiTheme="minorEastAsia" w:eastAsiaTheme="minorEastAsia"/>
          <w:color w:val="auto"/>
          <w:sz w:val="24"/>
          <w:szCs w:val="24"/>
          <w:highlight w:val="none"/>
        </w:rPr>
        <w:t>响应文件开启时间和地点</w:t>
      </w:r>
      <w:bookmarkEnd w:id="255"/>
      <w:bookmarkEnd w:id="256"/>
      <w:bookmarkEnd w:id="257"/>
      <w:bookmarkEnd w:id="258"/>
      <w:bookmarkEnd w:id="259"/>
    </w:p>
    <w:p w14:paraId="07F9D338">
      <w:pPr>
        <w:pStyle w:val="40"/>
        <w:tabs>
          <w:tab w:val="left" w:pos="630"/>
        </w:tabs>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采购人将按照供应商须知前附表规定的时间和地点开启响应文件，响应文件开启时间和响应截止时间应当为同一时间。</w:t>
      </w:r>
    </w:p>
    <w:p w14:paraId="14E347F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60" w:name="_Toc19752"/>
      <w:bookmarkStart w:id="261" w:name="_Toc447265247"/>
      <w:bookmarkStart w:id="262" w:name="_Toc447265533"/>
      <w:bookmarkStart w:id="263" w:name="_Toc447188696"/>
      <w:bookmarkStart w:id="264" w:name="_Toc211"/>
      <w:r>
        <w:rPr>
          <w:rFonts w:hint="eastAsia" w:asciiTheme="minorEastAsia" w:hAnsiTheme="minorEastAsia" w:eastAsiaTheme="minorEastAsia"/>
          <w:color w:val="auto"/>
          <w:sz w:val="24"/>
          <w:szCs w:val="24"/>
          <w:highlight w:val="none"/>
        </w:rPr>
        <w:t>5.2响应文件开启程序</w:t>
      </w:r>
      <w:bookmarkEnd w:id="260"/>
      <w:bookmarkEnd w:id="261"/>
      <w:bookmarkEnd w:id="262"/>
      <w:bookmarkEnd w:id="263"/>
      <w:bookmarkEnd w:id="264"/>
    </w:p>
    <w:p w14:paraId="681A998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65" w:name="_Toc144974530"/>
      <w:bookmarkStart w:id="266" w:name="_Toc246996949"/>
      <w:bookmarkStart w:id="267" w:name="_Toc447265250"/>
      <w:bookmarkStart w:id="268" w:name="_Toc179632580"/>
      <w:bookmarkStart w:id="269" w:name="_Toc152042338"/>
      <w:bookmarkStart w:id="270" w:name="_Toc447188699"/>
      <w:bookmarkStart w:id="271" w:name="_Toc246996206"/>
      <w:bookmarkStart w:id="272" w:name="_Toc447265536"/>
      <w:bookmarkStart w:id="273" w:name="_Toc247085720"/>
      <w:bookmarkStart w:id="274" w:name="_Toc296602451"/>
      <w:bookmarkStart w:id="275" w:name="_Toc152045562"/>
      <w:bookmarkStart w:id="276" w:name="_Toc107822507"/>
      <w:bookmarkStart w:id="277" w:name="_Toc226969303"/>
      <w:bookmarkStart w:id="278" w:name="_Toc227057909"/>
      <w:r>
        <w:rPr>
          <w:rFonts w:hint="eastAsia" w:asciiTheme="minorEastAsia" w:hAnsiTheme="minorEastAsia" w:eastAsiaTheme="minorEastAsia"/>
          <w:color w:val="auto"/>
          <w:highlight w:val="none"/>
        </w:rPr>
        <w:t>5.2.1响应文件开启会议由采购人或者其委托的采购代理机构组织并主持，邀请所有的响应供应商或者其代表出席。</w:t>
      </w:r>
    </w:p>
    <w:p w14:paraId="50A1F25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5.2.2响应文件提交</w:t>
      </w:r>
      <w:r>
        <w:rPr>
          <w:rFonts w:asciiTheme="minorEastAsia" w:hAnsiTheme="minorEastAsia" w:eastAsiaTheme="minorEastAsia"/>
          <w:color w:val="auto"/>
          <w:highlight w:val="none"/>
        </w:rPr>
        <w:t>截止时间前收到的所有</w:t>
      </w:r>
      <w:r>
        <w:rPr>
          <w:rFonts w:hint="eastAsia" w:asciiTheme="minorEastAsia" w:hAnsiTheme="minorEastAsia" w:eastAsiaTheme="minorEastAsia"/>
          <w:color w:val="auto"/>
          <w:highlight w:val="none"/>
        </w:rPr>
        <w:t>响应文件</w:t>
      </w:r>
      <w:r>
        <w:rPr>
          <w:rFonts w:asciiTheme="minorEastAsia" w:hAnsiTheme="minorEastAsia" w:eastAsiaTheme="minorEastAsia"/>
          <w:color w:val="auto"/>
          <w:highlight w:val="none"/>
        </w:rPr>
        <w:t>都应当当众予以</w:t>
      </w:r>
      <w:r>
        <w:rPr>
          <w:rFonts w:hint="eastAsia" w:asciiTheme="minorEastAsia" w:hAnsiTheme="minorEastAsia" w:eastAsiaTheme="minorEastAsia"/>
          <w:color w:val="auto"/>
          <w:highlight w:val="none"/>
        </w:rPr>
        <w:t>解密、开启，</w:t>
      </w:r>
      <w:r>
        <w:rPr>
          <w:rFonts w:asciiTheme="minorEastAsia" w:hAnsiTheme="minorEastAsia" w:eastAsiaTheme="minorEastAsia"/>
          <w:color w:val="auto"/>
          <w:highlight w:val="none"/>
        </w:rPr>
        <w:t>但</w:t>
      </w:r>
      <w:r>
        <w:rPr>
          <w:rFonts w:hint="eastAsia" w:asciiTheme="minorEastAsia" w:hAnsiTheme="minorEastAsia" w:eastAsiaTheme="minorEastAsia"/>
          <w:color w:val="auto"/>
          <w:highlight w:val="none"/>
        </w:rPr>
        <w:t>按照询比文件规定递交合格的书面撤回通知的响应文件除外。</w:t>
      </w:r>
    </w:p>
    <w:p w14:paraId="3025ECD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5.2.3</w:t>
      </w:r>
      <w:r>
        <w:rPr>
          <w:rFonts w:hint="eastAsia" w:asciiTheme="minorEastAsia" w:hAnsiTheme="minorEastAsia" w:eastAsiaTheme="minorEastAsia"/>
          <w:color w:val="auto"/>
          <w:highlight w:val="none"/>
        </w:rPr>
        <w:t>响应文件开启时，采购人或者其委托的采购代理机构应当公布参加本项目询比的供应商个数、响应文件的解密情况、所有响应供应商的“报价一览表”中的内容，“报价一览表”一般包括：供应商名称、响应总报价、交货期、响应保证金以及询比文件中规定的其他内容。</w:t>
      </w:r>
    </w:p>
    <w:p w14:paraId="17AF034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5.2.4响应文件开启内容填写在“开启记录表”中，开启记录应由参加响应文件开启的响应供应商确认，存档备查。响应供应商未在规定时间内确认的，视为同意响应文件开启过程及内容。</w:t>
      </w:r>
    </w:p>
    <w:p w14:paraId="2B4D4FF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79" w:name="_Toc447188697"/>
      <w:bookmarkStart w:id="280" w:name="_Toc450489307"/>
      <w:bookmarkStart w:id="281" w:name="_Toc447265248"/>
      <w:bookmarkStart w:id="282" w:name="_Toc2735"/>
      <w:bookmarkStart w:id="283" w:name="_Toc30826"/>
      <w:bookmarkStart w:id="284" w:name="_Toc447265534"/>
      <w:r>
        <w:rPr>
          <w:rFonts w:hint="eastAsia" w:asciiTheme="minorEastAsia" w:hAnsiTheme="minorEastAsia" w:eastAsiaTheme="minorEastAsia"/>
          <w:color w:val="auto"/>
          <w:sz w:val="24"/>
          <w:szCs w:val="24"/>
          <w:highlight w:val="none"/>
        </w:rPr>
        <w:t>5.3异议</w:t>
      </w:r>
      <w:bookmarkEnd w:id="279"/>
      <w:bookmarkEnd w:id="280"/>
      <w:bookmarkEnd w:id="281"/>
      <w:bookmarkEnd w:id="282"/>
      <w:bookmarkEnd w:id="283"/>
      <w:bookmarkEnd w:id="284"/>
    </w:p>
    <w:p w14:paraId="450C4D1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5.3.1供应商对响应文件开启有异议的，应当在开启现场提出，采购人应当当场做出答复，并制作记录。</w:t>
      </w:r>
    </w:p>
    <w:p w14:paraId="155145F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5.3.2</w:t>
      </w:r>
      <w:r>
        <w:rPr>
          <w:rFonts w:hint="eastAsia" w:asciiTheme="minorEastAsia" w:hAnsiTheme="minorEastAsia" w:eastAsiaTheme="minorEastAsia"/>
          <w:color w:val="auto"/>
          <w:highlight w:val="none"/>
        </w:rPr>
        <w:t>供应商认为存在低于成本价响应情形的，可以在开启现场提出异议，并在评审完成前向采购人递交书面材料，采购人应当及时将书面材料转交评审委员会。</w:t>
      </w:r>
    </w:p>
    <w:bookmarkEnd w:id="265"/>
    <w:bookmarkEnd w:id="266"/>
    <w:bookmarkEnd w:id="267"/>
    <w:bookmarkEnd w:id="268"/>
    <w:bookmarkEnd w:id="269"/>
    <w:bookmarkEnd w:id="270"/>
    <w:bookmarkEnd w:id="271"/>
    <w:bookmarkEnd w:id="272"/>
    <w:bookmarkEnd w:id="273"/>
    <w:bookmarkEnd w:id="274"/>
    <w:bookmarkEnd w:id="275"/>
    <w:p w14:paraId="47BB852A">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85" w:name="_Toc477190306"/>
      <w:bookmarkEnd w:id="285"/>
      <w:bookmarkStart w:id="286" w:name="_Toc477190305"/>
      <w:bookmarkEnd w:id="286"/>
      <w:bookmarkStart w:id="287" w:name="_Toc11932"/>
      <w:r>
        <w:rPr>
          <w:rFonts w:hint="eastAsia" w:asciiTheme="minorEastAsia" w:hAnsiTheme="minorEastAsia" w:eastAsiaTheme="minorEastAsia"/>
          <w:color w:val="auto"/>
          <w:sz w:val="28"/>
          <w:szCs w:val="28"/>
          <w:highlight w:val="none"/>
        </w:rPr>
        <w:t>评审</w:t>
      </w:r>
      <w:bookmarkEnd w:id="287"/>
    </w:p>
    <w:p w14:paraId="09B6F46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88" w:name="_Toc24415"/>
      <w:bookmarkStart w:id="289" w:name="_Toc447265251"/>
      <w:bookmarkStart w:id="290" w:name="_Toc447188700"/>
      <w:bookmarkStart w:id="291" w:name="_Toc15867"/>
      <w:bookmarkStart w:id="292" w:name="_Toc447265537"/>
      <w:r>
        <w:rPr>
          <w:rFonts w:hint="eastAsia" w:asciiTheme="minorEastAsia" w:hAnsiTheme="minorEastAsia" w:eastAsiaTheme="minorEastAsia"/>
          <w:color w:val="auto"/>
          <w:sz w:val="24"/>
          <w:szCs w:val="24"/>
          <w:highlight w:val="none"/>
        </w:rPr>
        <w:t>6.1评审委员会</w:t>
      </w:r>
      <w:bookmarkEnd w:id="276"/>
      <w:bookmarkEnd w:id="277"/>
      <w:bookmarkEnd w:id="278"/>
      <w:bookmarkEnd w:id="288"/>
      <w:bookmarkEnd w:id="289"/>
      <w:bookmarkEnd w:id="290"/>
      <w:bookmarkEnd w:id="291"/>
      <w:bookmarkEnd w:id="292"/>
    </w:p>
    <w:p w14:paraId="5EB84D2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93" w:name="_Toc447265255"/>
      <w:bookmarkStart w:id="294" w:name="_Toc447188703"/>
      <w:bookmarkStart w:id="295" w:name="_Toc447265541"/>
      <w:bookmarkStart w:id="296" w:name="_Toc107822516"/>
      <w:bookmarkStart w:id="297" w:name="_Toc226969309"/>
      <w:bookmarkStart w:id="298" w:name="_Toc227057915"/>
      <w:bookmarkStart w:id="299" w:name="_Toc488655860"/>
      <w:r>
        <w:rPr>
          <w:rFonts w:hint="eastAsia" w:asciiTheme="minorEastAsia" w:hAnsiTheme="minorEastAsia" w:eastAsiaTheme="minorEastAsia"/>
          <w:color w:val="auto"/>
          <w:highlight w:val="none"/>
        </w:rPr>
        <w:t>评审由评审委员会负责，任何单位和个人不得非法干预或者影响评审的过程和结果。评审委员会成员名单在成交结果确定前保密。</w:t>
      </w:r>
    </w:p>
    <w:p w14:paraId="4F66810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00" w:name="_Toc447265538"/>
      <w:bookmarkStart w:id="301" w:name="_Toc152045564"/>
      <w:bookmarkStart w:id="302" w:name="_Toc7811"/>
      <w:bookmarkStart w:id="303" w:name="_Toc152042340"/>
      <w:bookmarkStart w:id="304" w:name="_Toc179632582"/>
      <w:bookmarkStart w:id="305" w:name="_Toc144974532"/>
      <w:bookmarkStart w:id="306" w:name="_Toc246996208"/>
      <w:bookmarkStart w:id="307" w:name="_Toc246996951"/>
      <w:bookmarkStart w:id="308" w:name="_Toc447265252"/>
      <w:bookmarkStart w:id="309" w:name="_Toc247085722"/>
      <w:bookmarkStart w:id="310" w:name="_Toc296602453"/>
      <w:bookmarkStart w:id="311" w:name="_Toc29495"/>
      <w:bookmarkStart w:id="312" w:name="_Toc450489311"/>
      <w:r>
        <w:rPr>
          <w:rFonts w:hint="eastAsia" w:asciiTheme="minorEastAsia" w:hAnsiTheme="minorEastAsia" w:eastAsiaTheme="minorEastAsia"/>
          <w:color w:val="auto"/>
          <w:sz w:val="24"/>
          <w:szCs w:val="24"/>
          <w:highlight w:val="none"/>
        </w:rPr>
        <w:t>6.2评审原则</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46B6478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6.2.1评审活动遵循公平、公正、科学和择优的原则。</w:t>
      </w:r>
    </w:p>
    <w:p w14:paraId="25FFFCD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6.2.2</w:t>
      </w:r>
      <w:r>
        <w:rPr>
          <w:rFonts w:hint="eastAsia" w:asciiTheme="minorEastAsia" w:hAnsiTheme="minorEastAsia" w:eastAsiaTheme="minorEastAsia"/>
          <w:color w:val="auto"/>
          <w:highlight w:val="none"/>
        </w:rPr>
        <w:t>评审委员会按照第三章“评审办法”规定的方法、评审因素、标准和程序对响应文件进行评审。第三章“评审办法”没有规定的方法、评审因素和标准，不得作为评审依据。</w:t>
      </w:r>
    </w:p>
    <w:p w14:paraId="359CB1B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6.2.3响应文件开启后，部分供应商撤销响应文件或者被否决响应后，有效响应供应商不足三家的，经评审委员会认定具备竞争性，可以继续评审,评审委员会认定不具备竞争性的，应否决全部响应。</w:t>
      </w:r>
    </w:p>
    <w:p w14:paraId="588B166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13" w:name="_Toc450489312"/>
      <w:bookmarkStart w:id="314" w:name="_Toc30649"/>
      <w:bookmarkStart w:id="315" w:name="_Toc447265253"/>
      <w:bookmarkStart w:id="316" w:name="_Toc447188701"/>
      <w:bookmarkStart w:id="317" w:name="_Toc447265539"/>
      <w:bookmarkStart w:id="318" w:name="_Toc6721"/>
      <w:r>
        <w:rPr>
          <w:rFonts w:hint="eastAsia" w:asciiTheme="minorEastAsia" w:hAnsiTheme="minorEastAsia" w:eastAsiaTheme="minorEastAsia"/>
          <w:color w:val="auto"/>
          <w:sz w:val="24"/>
          <w:szCs w:val="24"/>
          <w:highlight w:val="none"/>
        </w:rPr>
        <w:t>6.3评审方法</w:t>
      </w:r>
      <w:bookmarkEnd w:id="313"/>
      <w:bookmarkEnd w:id="314"/>
      <w:bookmarkEnd w:id="315"/>
      <w:bookmarkEnd w:id="316"/>
      <w:bookmarkEnd w:id="317"/>
      <w:bookmarkEnd w:id="318"/>
    </w:p>
    <w:p w14:paraId="07FD2EBA">
      <w:pPr>
        <w:adjustRightInd w:val="0"/>
        <w:snapToGrid w:val="0"/>
        <w:spacing w:line="440" w:lineRule="exact"/>
        <w:ind w:firstLine="424" w:firstLineChars="202"/>
        <w:rPr>
          <w:rFonts w:asciiTheme="minorEastAsia" w:hAnsiTheme="minorEastAsia" w:eastAsiaTheme="minorEastAsia"/>
          <w:color w:val="auto"/>
          <w:highlight w:val="none"/>
        </w:rPr>
      </w:pPr>
      <w:r>
        <w:rPr>
          <w:rFonts w:hint="eastAsia" w:cs="宋体" w:asciiTheme="minorEastAsia" w:hAnsiTheme="minorEastAsia" w:eastAsiaTheme="minorEastAsia"/>
          <w:color w:val="auto"/>
          <w:szCs w:val="21"/>
          <w:highlight w:val="none"/>
        </w:rPr>
        <w:t>6.3.1本项目评审所采用的评审方法为</w:t>
      </w:r>
      <w:r>
        <w:rPr>
          <w:rFonts w:hint="eastAsia" w:asciiTheme="minorEastAsia" w:hAnsiTheme="minorEastAsia" w:eastAsiaTheme="minorEastAsia"/>
          <w:color w:val="auto"/>
          <w:highlight w:val="none"/>
        </w:rPr>
        <w:t>综合评估法。最大限度地满足询比文件中规定的各项综合评价标准的响应，应当推荐为成交候选人，量化的标准和权重应当在询比文件中明确规定。</w:t>
      </w:r>
    </w:p>
    <w:p w14:paraId="6D456ABD">
      <w:pPr>
        <w:pStyle w:val="40"/>
        <w:tabs>
          <w:tab w:val="left" w:pos="588"/>
          <w:tab w:val="left" w:pos="630"/>
        </w:tabs>
        <w:snapToGrid w:val="0"/>
        <w:spacing w:before="120" w:after="120" w:line="440" w:lineRule="exact"/>
        <w:ind w:firstLine="424" w:firstLineChars="202"/>
        <w:jc w:val="lef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highlight w:val="none"/>
        </w:rPr>
        <w:t>6.3.2</w:t>
      </w:r>
      <w:r>
        <w:rPr>
          <w:rFonts w:asciiTheme="minorEastAsia" w:hAnsiTheme="minorEastAsia" w:eastAsiaTheme="minorEastAsia"/>
          <w:color w:val="auto"/>
          <w:highlight w:val="none"/>
        </w:rPr>
        <w:t>法律</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法规允许的其他</w:t>
      </w:r>
      <w:r>
        <w:rPr>
          <w:rFonts w:hint="eastAsia" w:asciiTheme="minorEastAsia" w:hAnsiTheme="minorEastAsia" w:eastAsiaTheme="minorEastAsia"/>
          <w:color w:val="auto"/>
          <w:highlight w:val="none"/>
        </w:rPr>
        <w:t>评审</w:t>
      </w:r>
      <w:r>
        <w:rPr>
          <w:rFonts w:asciiTheme="minorEastAsia" w:hAnsiTheme="minorEastAsia" w:eastAsiaTheme="minorEastAsia"/>
          <w:color w:val="auto"/>
          <w:highlight w:val="none"/>
        </w:rPr>
        <w:t>方法</w:t>
      </w:r>
      <w:r>
        <w:rPr>
          <w:rFonts w:hint="eastAsia" w:asciiTheme="minorEastAsia" w:hAnsiTheme="minorEastAsia" w:eastAsiaTheme="minorEastAsia"/>
          <w:color w:val="auto"/>
          <w:highlight w:val="none"/>
        </w:rPr>
        <w:t>。</w:t>
      </w:r>
      <w:bookmarkStart w:id="319" w:name="_Toc447265254"/>
      <w:bookmarkStart w:id="320" w:name="_Toc447188702"/>
      <w:bookmarkStart w:id="321" w:name="_Toc447265540"/>
      <w:bookmarkStart w:id="322" w:name="_Toc179632584"/>
      <w:bookmarkStart w:id="323" w:name="_Toc144974534"/>
      <w:bookmarkStart w:id="324" w:name="_Toc152042342"/>
      <w:bookmarkStart w:id="325" w:name="_Toc152045566"/>
      <w:bookmarkStart w:id="326" w:name="_Toc246996210"/>
      <w:bookmarkStart w:id="327" w:name="_Toc247085724"/>
      <w:bookmarkStart w:id="328" w:name="_Toc296602455"/>
      <w:bookmarkStart w:id="329" w:name="_Toc246996953"/>
    </w:p>
    <w:p w14:paraId="15198EA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0" w:name="_Toc13112"/>
      <w:bookmarkStart w:id="331" w:name="_Toc450489313"/>
      <w:bookmarkStart w:id="332" w:name="_Toc16518"/>
      <w:r>
        <w:rPr>
          <w:rFonts w:hint="eastAsia" w:asciiTheme="minorEastAsia" w:hAnsiTheme="minorEastAsia" w:eastAsiaTheme="minorEastAsia"/>
          <w:color w:val="auto"/>
          <w:sz w:val="24"/>
          <w:szCs w:val="24"/>
          <w:highlight w:val="none"/>
        </w:rPr>
        <w:t>6.4成交候选人推荐原则</w:t>
      </w:r>
      <w:bookmarkEnd w:id="330"/>
      <w:bookmarkEnd w:id="331"/>
      <w:bookmarkEnd w:id="332"/>
    </w:p>
    <w:p w14:paraId="5C78A746">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评审委员会应当根据询比文件载明的规则推荐成交候选人，具体推荐原则见供应商须知前附表。</w:t>
      </w:r>
    </w:p>
    <w:p w14:paraId="72FEB94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3" w:name="_Toc23124"/>
      <w:bookmarkStart w:id="334" w:name="_Toc450489314"/>
      <w:bookmarkStart w:id="335" w:name="_Toc23726"/>
      <w:r>
        <w:rPr>
          <w:rFonts w:hint="eastAsia" w:asciiTheme="minorEastAsia" w:hAnsiTheme="minorEastAsia" w:eastAsiaTheme="minorEastAsia"/>
          <w:color w:val="auto"/>
          <w:sz w:val="24"/>
          <w:szCs w:val="24"/>
          <w:highlight w:val="none"/>
        </w:rPr>
        <w:t>6.5评审报告</w:t>
      </w:r>
      <w:bookmarkEnd w:id="319"/>
      <w:bookmarkEnd w:id="320"/>
      <w:bookmarkEnd w:id="321"/>
      <w:bookmarkEnd w:id="333"/>
      <w:bookmarkEnd w:id="334"/>
      <w:bookmarkEnd w:id="335"/>
    </w:p>
    <w:p w14:paraId="3372676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评审完成后，评审委员会应当根据《询比采购管理办法》的有关规定及时向采购人提交评审报告和成交候选人名单。</w:t>
      </w:r>
    </w:p>
    <w:bookmarkEnd w:id="293"/>
    <w:bookmarkEnd w:id="294"/>
    <w:bookmarkEnd w:id="295"/>
    <w:bookmarkEnd w:id="322"/>
    <w:bookmarkEnd w:id="323"/>
    <w:bookmarkEnd w:id="324"/>
    <w:bookmarkEnd w:id="325"/>
    <w:bookmarkEnd w:id="326"/>
    <w:bookmarkEnd w:id="327"/>
    <w:bookmarkEnd w:id="328"/>
    <w:bookmarkEnd w:id="329"/>
    <w:p w14:paraId="7569430D">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36" w:name="_Toc30827"/>
      <w:r>
        <w:rPr>
          <w:rFonts w:hint="eastAsia" w:asciiTheme="minorEastAsia" w:hAnsiTheme="minorEastAsia" w:eastAsiaTheme="minorEastAsia"/>
          <w:color w:val="auto"/>
          <w:sz w:val="28"/>
          <w:szCs w:val="28"/>
          <w:highlight w:val="none"/>
        </w:rPr>
        <w:t>成交</w:t>
      </w:r>
      <w:bookmarkEnd w:id="336"/>
    </w:p>
    <w:bookmarkEnd w:id="296"/>
    <w:bookmarkEnd w:id="297"/>
    <w:bookmarkEnd w:id="298"/>
    <w:bookmarkEnd w:id="299"/>
    <w:p w14:paraId="3DDC166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7" w:name="_Toc12470"/>
      <w:bookmarkStart w:id="338" w:name="_Toc15691"/>
      <w:bookmarkStart w:id="339" w:name="_Toc447265257"/>
      <w:bookmarkStart w:id="340" w:name="_Toc447265543"/>
      <w:bookmarkStart w:id="341" w:name="_Toc447188705"/>
      <w:bookmarkStart w:id="342" w:name="_Toc450489317"/>
      <w:bookmarkStart w:id="343" w:name="_Toc447265259"/>
      <w:bookmarkStart w:id="344" w:name="_Toc447265545"/>
      <w:bookmarkStart w:id="345" w:name="_Toc152045569"/>
      <w:bookmarkStart w:id="346" w:name="_Toc296602459"/>
      <w:bookmarkStart w:id="347" w:name="_Toc144974537"/>
      <w:bookmarkStart w:id="348" w:name="_Toc152042345"/>
      <w:bookmarkStart w:id="349" w:name="_Toc246996213"/>
      <w:bookmarkStart w:id="350" w:name="_Toc247085727"/>
      <w:bookmarkStart w:id="351" w:name="_Toc246996956"/>
      <w:bookmarkStart w:id="352" w:name="_Toc179632587"/>
      <w:bookmarkStart w:id="353" w:name="_Toc227057916"/>
      <w:bookmarkStart w:id="354" w:name="_Toc107822517"/>
      <w:bookmarkStart w:id="355" w:name="_Toc226969310"/>
      <w:r>
        <w:rPr>
          <w:rFonts w:hint="eastAsia" w:asciiTheme="minorEastAsia" w:hAnsiTheme="minorEastAsia" w:eastAsiaTheme="minorEastAsia"/>
          <w:color w:val="auto"/>
          <w:sz w:val="24"/>
          <w:szCs w:val="24"/>
          <w:highlight w:val="none"/>
        </w:rPr>
        <w:t>7.1成交候选人公示</w:t>
      </w:r>
      <w:bookmarkEnd w:id="337"/>
      <w:bookmarkEnd w:id="338"/>
    </w:p>
    <w:p w14:paraId="25608D5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采用公开询比方式的，在“资格预审公告”或者“询比公告”发布媒介公示全部成交候选人，公示期不少于3日。</w:t>
      </w:r>
    </w:p>
    <w:p w14:paraId="0C8430F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2 响应供应商或者其他利害关系人对询比项目的评审结果有异议的，应当在成交候选人公示期间提出。</w:t>
      </w:r>
    </w:p>
    <w:p w14:paraId="6F8C3CF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56" w:name="_Toc18209"/>
      <w:bookmarkStart w:id="357" w:name="_Toc17684"/>
      <w:r>
        <w:rPr>
          <w:rFonts w:hint="eastAsia" w:asciiTheme="minorEastAsia" w:hAnsiTheme="minorEastAsia" w:eastAsiaTheme="minorEastAsia"/>
          <w:color w:val="auto"/>
          <w:sz w:val="24"/>
          <w:szCs w:val="24"/>
          <w:highlight w:val="none"/>
        </w:rPr>
        <w:t>7.2确定</w:t>
      </w:r>
      <w:bookmarkEnd w:id="339"/>
      <w:bookmarkEnd w:id="340"/>
      <w:bookmarkEnd w:id="341"/>
      <w:bookmarkEnd w:id="342"/>
      <w:bookmarkEnd w:id="356"/>
      <w:r>
        <w:rPr>
          <w:rFonts w:hint="eastAsia" w:asciiTheme="minorEastAsia" w:hAnsiTheme="minorEastAsia" w:eastAsiaTheme="minorEastAsia"/>
          <w:color w:val="auto"/>
          <w:sz w:val="24"/>
          <w:szCs w:val="24"/>
          <w:highlight w:val="none"/>
        </w:rPr>
        <w:t>成交供应商</w:t>
      </w:r>
      <w:bookmarkEnd w:id="357"/>
    </w:p>
    <w:p w14:paraId="35161AC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采购人依据评审委员会推荐的成交候选人确定成交供应商，成交供应商数量见供应商须知前附表。</w:t>
      </w:r>
    </w:p>
    <w:p w14:paraId="0CC8AC0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rPr>
        <w:t>采购人根据评审委员会推荐的成交候选人名单排序依次确定成交供应商，具体成交原则见供应商须知前附表。</w:t>
      </w:r>
    </w:p>
    <w:p w14:paraId="5374DEC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.3在签订合同之前</w:t>
      </w:r>
      <w:r>
        <w:rPr>
          <w:rFonts w:hint="eastAsia" w:asciiTheme="minorEastAsia" w:hAnsiTheme="minorEastAsia" w:eastAsiaTheme="minorEastAsia"/>
          <w:color w:val="auto"/>
          <w:highlight w:val="none"/>
        </w:rPr>
        <w:t>，排名第一或排名靠前的成交候选人存在放弃成交、因不可抗力提出不能履行合同、不按照询比文件要求提交履约保证金、被查实存在影响成交结果的违法行为、采购人可以按评审委员会提出的排名顺序依次确定其他成交候选人为成交供应商，或重新询比。集中询比的，也可以对成交供应商的成交份额进行调整，但应当在询比文件中载明调整规则。具体处理规则见供应商须知前附表。</w:t>
      </w:r>
    </w:p>
    <w:p w14:paraId="61888D0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58" w:name="_Toc8458"/>
      <w:bookmarkStart w:id="359" w:name="_Toc3695"/>
      <w:bookmarkStart w:id="360" w:name="_Toc296602458"/>
      <w:bookmarkStart w:id="361" w:name="_Toc450489318"/>
      <w:bookmarkStart w:id="362" w:name="_Toc144974536"/>
      <w:bookmarkStart w:id="363" w:name="_Toc447265544"/>
      <w:bookmarkStart w:id="364" w:name="_Toc247085726"/>
      <w:bookmarkStart w:id="365" w:name="_Toc246996955"/>
      <w:bookmarkStart w:id="366" w:name="_Toc179632586"/>
      <w:bookmarkStart w:id="367" w:name="_Toc246996212"/>
      <w:bookmarkStart w:id="368" w:name="_Toc152042344"/>
      <w:bookmarkStart w:id="369" w:name="_Toc447265258"/>
      <w:bookmarkStart w:id="370" w:name="_Toc152045568"/>
      <w:bookmarkStart w:id="371" w:name="OLE_LINK6"/>
      <w:bookmarkStart w:id="372" w:name="OLE_LINK7"/>
      <w:r>
        <w:rPr>
          <w:rFonts w:hint="eastAsia" w:asciiTheme="minorEastAsia" w:hAnsiTheme="minorEastAsia" w:eastAsiaTheme="minorEastAsia"/>
          <w:color w:val="auto"/>
          <w:sz w:val="24"/>
          <w:szCs w:val="24"/>
          <w:highlight w:val="none"/>
        </w:rPr>
        <w:t>7.3询比结果公示</w:t>
      </w:r>
      <w:bookmarkEnd w:id="358"/>
      <w:bookmarkEnd w:id="359"/>
    </w:p>
    <w:p w14:paraId="7B03349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采用公开询比方式的，采购人将</w:t>
      </w:r>
      <w:r>
        <w:rPr>
          <w:rFonts w:asciiTheme="minorEastAsia" w:hAnsiTheme="minorEastAsia" w:eastAsiaTheme="minorEastAsia"/>
          <w:color w:val="auto"/>
          <w:highlight w:val="none"/>
        </w:rPr>
        <w:t>在“资格预审公告”或者“</w:t>
      </w:r>
      <w:r>
        <w:rPr>
          <w:rFonts w:hint="eastAsia" w:asciiTheme="minorEastAsia" w:hAnsiTheme="minorEastAsia" w:eastAsiaTheme="minorEastAsia"/>
          <w:color w:val="auto"/>
          <w:highlight w:val="none"/>
        </w:rPr>
        <w:t>询比公告</w:t>
      </w:r>
      <w:r>
        <w:rPr>
          <w:rFonts w:asciiTheme="minorEastAsia" w:hAnsiTheme="minorEastAsia" w:eastAsiaTheme="minorEastAsia"/>
          <w:color w:val="auto"/>
          <w:highlight w:val="none"/>
        </w:rPr>
        <w:t>”发布媒介公示全部</w:t>
      </w:r>
      <w:r>
        <w:rPr>
          <w:rFonts w:hint="eastAsia" w:asciiTheme="minorEastAsia" w:hAnsiTheme="minorEastAsia" w:eastAsiaTheme="minorEastAsia"/>
          <w:color w:val="auto"/>
          <w:highlight w:val="none"/>
        </w:rPr>
        <w:t>成交供应商</w:t>
      </w:r>
      <w:r>
        <w:rPr>
          <w:rFonts w:asciiTheme="minorEastAsia" w:hAnsiTheme="minorEastAsia" w:eastAsiaTheme="minorEastAsia"/>
          <w:color w:val="auto"/>
          <w:highlight w:val="none"/>
        </w:rPr>
        <w:t>。</w:t>
      </w:r>
    </w:p>
    <w:p w14:paraId="4DFFF9B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73" w:name="_Toc22853"/>
      <w:bookmarkStart w:id="374" w:name="_Toc9319"/>
      <w:r>
        <w:rPr>
          <w:rFonts w:hint="eastAsia" w:asciiTheme="minorEastAsia" w:hAnsiTheme="minorEastAsia" w:eastAsiaTheme="minorEastAsia"/>
          <w:color w:val="auto"/>
          <w:sz w:val="24"/>
          <w:szCs w:val="24"/>
          <w:highlight w:val="none"/>
        </w:rPr>
        <w:t>7.4 成交通知</w:t>
      </w:r>
      <w:bookmarkEnd w:id="360"/>
      <w:bookmarkEnd w:id="361"/>
      <w:bookmarkEnd w:id="362"/>
      <w:bookmarkEnd w:id="363"/>
      <w:bookmarkEnd w:id="364"/>
      <w:bookmarkEnd w:id="365"/>
      <w:bookmarkEnd w:id="366"/>
      <w:bookmarkEnd w:id="367"/>
      <w:bookmarkEnd w:id="368"/>
      <w:bookmarkEnd w:id="369"/>
      <w:bookmarkEnd w:id="370"/>
      <w:bookmarkEnd w:id="373"/>
      <w:bookmarkEnd w:id="374"/>
    </w:p>
    <w:p w14:paraId="257BEDB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7.4.1在成交通知书发出前，成交候选人的经营、财务状况发生较大变化或者存在违法行为，可能影响其履约能力的，供应商应当主动告知采购人。</w:t>
      </w:r>
      <w:bookmarkEnd w:id="371"/>
      <w:bookmarkEnd w:id="372"/>
    </w:p>
    <w:p w14:paraId="7A80D8B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7.4.2成交供应商确定后，采购人应当自行或者委托采购代理机构向成交供应商发出成交通知书，同时通知未成交供应商。</w:t>
      </w:r>
    </w:p>
    <w:p w14:paraId="76BCD61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.3</w:t>
      </w:r>
      <w:r>
        <w:rPr>
          <w:rFonts w:hint="eastAsia" w:asciiTheme="minorEastAsia" w:hAnsiTheme="minorEastAsia" w:eastAsiaTheme="minorEastAsia"/>
          <w:color w:val="auto"/>
          <w:highlight w:val="none"/>
        </w:rPr>
        <w:t>成交通知书是询比采购档案和合同的组成部分。</w:t>
      </w:r>
    </w:p>
    <w:p w14:paraId="05502C8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.4</w:t>
      </w:r>
      <w:r>
        <w:rPr>
          <w:rFonts w:hint="eastAsia" w:asciiTheme="minorEastAsia" w:hAnsiTheme="minorEastAsia" w:eastAsiaTheme="minorEastAsia"/>
          <w:color w:val="auto"/>
          <w:highlight w:val="none"/>
        </w:rPr>
        <w:t>成交通知书对采购人和成交供应商具有法律约束力。成交通知书发出后，采购人改变成交结果或者成交供应商放弃成交的，应当承担法律责任。</w:t>
      </w:r>
    </w:p>
    <w:p w14:paraId="31D1CC62">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75" w:name="_Toc4049"/>
      <w:bookmarkStart w:id="376" w:name="_Toc18016"/>
      <w:r>
        <w:rPr>
          <w:rFonts w:hint="eastAsia" w:asciiTheme="minorEastAsia" w:hAnsiTheme="minorEastAsia" w:eastAsiaTheme="minorEastAsia"/>
          <w:color w:val="auto"/>
          <w:sz w:val="28"/>
          <w:szCs w:val="28"/>
          <w:highlight w:val="none"/>
        </w:rPr>
        <w:t>合同签订</w:t>
      </w:r>
      <w:bookmarkEnd w:id="343"/>
      <w:bookmarkEnd w:id="344"/>
      <w:bookmarkEnd w:id="375"/>
      <w:bookmarkEnd w:id="376"/>
    </w:p>
    <w:p w14:paraId="7D320A8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77" w:name="_Toc447265260"/>
      <w:bookmarkStart w:id="378" w:name="_Toc31567"/>
      <w:bookmarkStart w:id="379" w:name="_Toc447265546"/>
      <w:bookmarkStart w:id="380" w:name="_Toc18072"/>
      <w:r>
        <w:rPr>
          <w:rFonts w:hint="eastAsia" w:asciiTheme="minorEastAsia" w:hAnsiTheme="minorEastAsia" w:eastAsiaTheme="minorEastAsia"/>
          <w:color w:val="auto"/>
          <w:sz w:val="24"/>
          <w:szCs w:val="24"/>
          <w:highlight w:val="none"/>
        </w:rPr>
        <w:t>8.1履约</w:t>
      </w:r>
      <w:bookmarkEnd w:id="345"/>
      <w:bookmarkEnd w:id="346"/>
      <w:bookmarkEnd w:id="347"/>
      <w:bookmarkEnd w:id="348"/>
      <w:bookmarkEnd w:id="349"/>
      <w:bookmarkEnd w:id="350"/>
      <w:bookmarkEnd w:id="351"/>
      <w:bookmarkEnd w:id="352"/>
      <w:r>
        <w:rPr>
          <w:rFonts w:hint="eastAsia" w:asciiTheme="minorEastAsia" w:hAnsiTheme="minorEastAsia" w:eastAsiaTheme="minorEastAsia"/>
          <w:color w:val="auto"/>
          <w:sz w:val="24"/>
          <w:szCs w:val="24"/>
          <w:highlight w:val="none"/>
        </w:rPr>
        <w:t>保证金</w:t>
      </w:r>
      <w:bookmarkEnd w:id="377"/>
      <w:bookmarkEnd w:id="378"/>
      <w:bookmarkEnd w:id="379"/>
      <w:bookmarkEnd w:id="380"/>
    </w:p>
    <w:bookmarkEnd w:id="353"/>
    <w:bookmarkEnd w:id="354"/>
    <w:bookmarkEnd w:id="355"/>
    <w:p w14:paraId="404FC6F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381" w:name="_Toc107822519"/>
      <w:bookmarkStart w:id="382" w:name="_Toc226969312"/>
      <w:bookmarkStart w:id="383" w:name="_Toc447265549"/>
      <w:bookmarkStart w:id="384" w:name="_Toc447188707"/>
      <w:bookmarkStart w:id="385" w:name="_Toc488655867"/>
      <w:bookmarkStart w:id="386" w:name="_Toc227057918"/>
      <w:bookmarkStart w:id="387" w:name="_Toc447265263"/>
      <w:r>
        <w:rPr>
          <w:rFonts w:hint="eastAsia" w:asciiTheme="minorEastAsia" w:hAnsiTheme="minorEastAsia" w:eastAsiaTheme="minorEastAsia"/>
          <w:color w:val="auto"/>
          <w:highlight w:val="none"/>
        </w:rPr>
        <w:t>8.1.1在签订合同前，成交供应商应当按照“供应商须知前附表”中规定的履约保证金的金额和形式向采购人递交履约保证金。</w:t>
      </w:r>
    </w:p>
    <w:p w14:paraId="0C6587A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8.1.2</w:t>
      </w:r>
      <w:r>
        <w:rPr>
          <w:rFonts w:hint="eastAsia" w:asciiTheme="minorEastAsia" w:hAnsiTheme="minorEastAsia" w:eastAsiaTheme="minorEastAsia"/>
          <w:color w:val="auto"/>
          <w:highlight w:val="none"/>
        </w:rPr>
        <w:t>成交供应商不能按照询比文件要求递交履约保证金的，视为放弃成交，其响应保证金不予退还，给采购人造成的损失超过响应保证金数额的，成交供应商还应当对超过部分予以赔偿。</w:t>
      </w:r>
    </w:p>
    <w:p w14:paraId="7DFA2BE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88" w:name="_Toc450489321"/>
      <w:bookmarkStart w:id="389" w:name="_Toc447265261"/>
      <w:bookmarkStart w:id="390" w:name="_Toc447265547"/>
      <w:bookmarkStart w:id="391" w:name="_Toc5256"/>
      <w:bookmarkStart w:id="392" w:name="_Toc20117"/>
      <w:r>
        <w:rPr>
          <w:rFonts w:hint="eastAsia" w:asciiTheme="minorEastAsia" w:hAnsiTheme="minorEastAsia" w:eastAsiaTheme="minorEastAsia"/>
          <w:color w:val="auto"/>
          <w:sz w:val="24"/>
          <w:szCs w:val="24"/>
          <w:highlight w:val="none"/>
        </w:rPr>
        <w:t>8.2合同签订</w:t>
      </w:r>
      <w:bookmarkEnd w:id="388"/>
      <w:bookmarkEnd w:id="389"/>
      <w:bookmarkEnd w:id="390"/>
      <w:bookmarkEnd w:id="391"/>
      <w:bookmarkEnd w:id="392"/>
    </w:p>
    <w:p w14:paraId="41FB364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8.2.1</w:t>
      </w:r>
      <w:r>
        <w:rPr>
          <w:rFonts w:hint="eastAsia" w:asciiTheme="minorEastAsia" w:hAnsiTheme="minorEastAsia" w:eastAsiaTheme="minorEastAsia"/>
          <w:color w:val="auto"/>
          <w:highlight w:val="none"/>
        </w:rPr>
        <w:t>采购人和成交供应商应当在响应有效期内，根据询比文件和成交供应商的响应文件订立书面合同。采购人和成交供应商不得订立背离合同实质性内容的其他协议。</w:t>
      </w:r>
    </w:p>
    <w:p w14:paraId="546C99C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8.2.2成交供应商无正当理由拒签合同的，采购人取消其成交资格，其响应保证金不予退还；给采购人造成的损失超过响应保证金数额的，成交供应商还应当对超过部分予以赔偿。</w:t>
      </w:r>
    </w:p>
    <w:bookmarkEnd w:id="381"/>
    <w:bookmarkEnd w:id="382"/>
    <w:bookmarkEnd w:id="383"/>
    <w:bookmarkEnd w:id="384"/>
    <w:bookmarkEnd w:id="385"/>
    <w:bookmarkEnd w:id="386"/>
    <w:bookmarkEnd w:id="387"/>
    <w:p w14:paraId="7216C017">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93" w:name="_Toc30388"/>
      <w:r>
        <w:rPr>
          <w:rFonts w:hint="eastAsia" w:asciiTheme="minorEastAsia" w:hAnsiTheme="minorEastAsia" w:eastAsiaTheme="minorEastAsia"/>
          <w:color w:val="auto"/>
          <w:sz w:val="28"/>
          <w:szCs w:val="28"/>
          <w:highlight w:val="none"/>
        </w:rPr>
        <w:t>采购代理服务费</w:t>
      </w:r>
      <w:bookmarkEnd w:id="393"/>
    </w:p>
    <w:p w14:paraId="2594E7EC">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成交供应商应当按照询比文件规定交纳采购代理服务费，采购人和采购代理机构另有约定的从其约定。采购代理服务费的金额、交纳方式和时限见供应商须知前附表。</w:t>
      </w:r>
    </w:p>
    <w:p w14:paraId="24719896">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94" w:name="_Toc447265264"/>
      <w:bookmarkStart w:id="395" w:name="_Toc12016"/>
      <w:bookmarkStart w:id="396" w:name="_Toc16287"/>
      <w:bookmarkStart w:id="397" w:name="_Toc447188708"/>
      <w:bookmarkStart w:id="398" w:name="_Toc296602461"/>
      <w:bookmarkStart w:id="399" w:name="_Toc447265550"/>
      <w:r>
        <w:rPr>
          <w:rFonts w:hint="eastAsia" w:asciiTheme="minorEastAsia" w:hAnsiTheme="minorEastAsia" w:eastAsiaTheme="minorEastAsia"/>
          <w:color w:val="auto"/>
          <w:sz w:val="28"/>
          <w:szCs w:val="28"/>
          <w:highlight w:val="none"/>
        </w:rPr>
        <w:t>纪律和监督</w:t>
      </w:r>
      <w:bookmarkEnd w:id="394"/>
      <w:bookmarkEnd w:id="395"/>
      <w:bookmarkEnd w:id="396"/>
      <w:bookmarkEnd w:id="397"/>
      <w:bookmarkEnd w:id="398"/>
      <w:bookmarkEnd w:id="399"/>
    </w:p>
    <w:p w14:paraId="2961634B">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00" w:name="_Toc247085733"/>
      <w:bookmarkStart w:id="401" w:name="_Toc179632593"/>
      <w:bookmarkStart w:id="402" w:name="_Toc152045575"/>
      <w:bookmarkStart w:id="403" w:name="_Toc447265551"/>
      <w:bookmarkStart w:id="404" w:name="_Toc246996962"/>
      <w:bookmarkStart w:id="405" w:name="_Toc8320"/>
      <w:bookmarkStart w:id="406" w:name="_Toc246996219"/>
      <w:bookmarkStart w:id="407" w:name="_Toc296602462"/>
      <w:bookmarkStart w:id="408" w:name="_Toc152042351"/>
      <w:bookmarkStart w:id="409" w:name="_Toc144974543"/>
      <w:bookmarkStart w:id="410" w:name="_Toc28966"/>
      <w:bookmarkStart w:id="411" w:name="_Toc296590983"/>
      <w:bookmarkStart w:id="412" w:name="_Toc447265265"/>
      <w:r>
        <w:rPr>
          <w:rFonts w:hint="eastAsia" w:asciiTheme="minorEastAsia" w:hAnsiTheme="minorEastAsia" w:eastAsiaTheme="minorEastAsia"/>
          <w:color w:val="auto"/>
          <w:sz w:val="24"/>
          <w:szCs w:val="24"/>
          <w:highlight w:val="none"/>
        </w:rPr>
        <w:t>10.1对采购人的纪律要求</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6DD2935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采购人不得泄露采购活动中应当保密的情况和资料，不得与供应商串通损害国家利益、社会公共利益或者他人合法权益。</w:t>
      </w:r>
    </w:p>
    <w:p w14:paraId="256E636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13" w:name="_Toc447265266"/>
      <w:bookmarkStart w:id="414" w:name="_Toc152042352"/>
      <w:bookmarkStart w:id="415" w:name="_Toc13238"/>
      <w:bookmarkStart w:id="416" w:name="_Toc447265552"/>
      <w:bookmarkStart w:id="417" w:name="_Toc246996220"/>
      <w:bookmarkStart w:id="418" w:name="_Toc179632594"/>
      <w:bookmarkStart w:id="419" w:name="_Toc152045576"/>
      <w:bookmarkStart w:id="420" w:name="_Toc296602463"/>
      <w:bookmarkStart w:id="421" w:name="_Toc247085734"/>
      <w:bookmarkStart w:id="422" w:name="_Toc246996963"/>
      <w:bookmarkStart w:id="423" w:name="_Toc27938"/>
      <w:bookmarkStart w:id="424" w:name="_Toc144974544"/>
      <w:r>
        <w:rPr>
          <w:rFonts w:hint="eastAsia" w:asciiTheme="minorEastAsia" w:hAnsiTheme="minorEastAsia" w:eastAsiaTheme="minorEastAsia"/>
          <w:color w:val="auto"/>
          <w:sz w:val="24"/>
          <w:szCs w:val="24"/>
          <w:highlight w:val="none"/>
        </w:rPr>
        <w:t>10.2对供应商的纪律要求</w:t>
      </w:r>
      <w:bookmarkEnd w:id="413"/>
      <w:bookmarkEnd w:id="414"/>
      <w:bookmarkEnd w:id="415"/>
      <w:bookmarkEnd w:id="416"/>
      <w:bookmarkEnd w:id="417"/>
      <w:bookmarkEnd w:id="418"/>
      <w:bookmarkEnd w:id="419"/>
      <w:bookmarkEnd w:id="420"/>
      <w:bookmarkEnd w:id="421"/>
      <w:bookmarkEnd w:id="422"/>
      <w:bookmarkEnd w:id="423"/>
      <w:bookmarkEnd w:id="424"/>
    </w:p>
    <w:p w14:paraId="220FCD33">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供应商不得相互串通或者与采购人串通响应，不得向采购人或者评审委员会成员行贿谋取成交，不得以他人名义响应或者以其他方式弄虚作假骗取成交，供应商不得以任何方式干扰、影响评审工作。</w:t>
      </w:r>
    </w:p>
    <w:p w14:paraId="2A42AFC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25" w:name="_Toc11483"/>
      <w:bookmarkStart w:id="426" w:name="_Toc247085735"/>
      <w:bookmarkStart w:id="427" w:name="_Toc296602464"/>
      <w:bookmarkStart w:id="428" w:name="_Toc144974545"/>
      <w:bookmarkStart w:id="429" w:name="_Toc246996964"/>
      <w:bookmarkStart w:id="430" w:name="_Toc179632595"/>
      <w:bookmarkStart w:id="431" w:name="_Toc12957"/>
      <w:bookmarkStart w:id="432" w:name="_Toc447265267"/>
      <w:bookmarkStart w:id="433" w:name="_Toc447265553"/>
      <w:bookmarkStart w:id="434" w:name="_Toc246996221"/>
      <w:bookmarkStart w:id="435" w:name="_Toc152042353"/>
      <w:bookmarkStart w:id="436" w:name="_Toc152045577"/>
      <w:r>
        <w:rPr>
          <w:rFonts w:hint="eastAsia" w:asciiTheme="minorEastAsia" w:hAnsiTheme="minorEastAsia" w:eastAsiaTheme="minorEastAsia"/>
          <w:color w:val="auto"/>
          <w:sz w:val="24"/>
          <w:szCs w:val="24"/>
          <w:highlight w:val="none"/>
        </w:rPr>
        <w:t>10.3对评审委员会成员的纪律要求</w:t>
      </w:r>
      <w:bookmarkEnd w:id="425"/>
      <w:bookmarkEnd w:id="426"/>
      <w:bookmarkEnd w:id="427"/>
      <w:bookmarkEnd w:id="428"/>
      <w:bookmarkEnd w:id="429"/>
      <w:bookmarkEnd w:id="430"/>
      <w:bookmarkEnd w:id="431"/>
      <w:bookmarkEnd w:id="432"/>
      <w:bookmarkEnd w:id="433"/>
      <w:bookmarkEnd w:id="434"/>
      <w:bookmarkEnd w:id="435"/>
      <w:bookmarkEnd w:id="436"/>
    </w:p>
    <w:p w14:paraId="257DC43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委员会成员不得收受他人的财物或者其他好处，不得向他人透漏对响应文件的评审和比较、成交候选人的推荐情况以及评审有关的其他情况。在评审活动中，评审委员会成员应当客观、公正地履行职责，遵守职业道德，不得擅离职守，影响评审程序正常进行，不得使用第三章“评审办法”没有规定的评审因素和标准进行评审。</w:t>
      </w:r>
    </w:p>
    <w:p w14:paraId="31457C1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37" w:name="_Toc247085736"/>
      <w:bookmarkStart w:id="438" w:name="_Toc447265268"/>
      <w:bookmarkStart w:id="439" w:name="_Toc152042354"/>
      <w:bookmarkStart w:id="440" w:name="_Toc296602465"/>
      <w:bookmarkStart w:id="441" w:name="_Toc246996222"/>
      <w:bookmarkStart w:id="442" w:name="_Toc179632596"/>
      <w:bookmarkStart w:id="443" w:name="_Toc31633"/>
      <w:bookmarkStart w:id="444" w:name="_Toc246996965"/>
      <w:bookmarkStart w:id="445" w:name="_Toc25223"/>
      <w:bookmarkStart w:id="446" w:name="_Toc447265554"/>
      <w:bookmarkStart w:id="447" w:name="_Toc152045578"/>
      <w:bookmarkStart w:id="448" w:name="_Toc144974546"/>
      <w:r>
        <w:rPr>
          <w:rFonts w:hint="eastAsia" w:asciiTheme="minorEastAsia" w:hAnsiTheme="minorEastAsia" w:eastAsiaTheme="minorEastAsia"/>
          <w:color w:val="auto"/>
          <w:sz w:val="24"/>
          <w:szCs w:val="24"/>
          <w:highlight w:val="none"/>
        </w:rPr>
        <w:t>10.4对与评审活动有关的工作人员的纪律要求</w:t>
      </w:r>
      <w:bookmarkEnd w:id="437"/>
      <w:bookmarkEnd w:id="438"/>
      <w:bookmarkEnd w:id="439"/>
      <w:bookmarkEnd w:id="440"/>
      <w:bookmarkEnd w:id="441"/>
      <w:bookmarkEnd w:id="442"/>
      <w:bookmarkEnd w:id="443"/>
      <w:bookmarkEnd w:id="444"/>
      <w:bookmarkEnd w:id="445"/>
      <w:bookmarkEnd w:id="446"/>
      <w:bookmarkEnd w:id="447"/>
    </w:p>
    <w:p w14:paraId="2ACA6E16">
      <w:pPr>
        <w:adjustRightInd w:val="0"/>
        <w:snapToGrid w:val="0"/>
        <w:spacing w:line="440" w:lineRule="exact"/>
        <w:ind w:firstLine="420" w:firstLineChars="200"/>
        <w:rPr>
          <w:rFonts w:cs="宋体" w:asciiTheme="minorEastAsia" w:hAnsiTheme="minorEastAsia" w:eastAsiaTheme="minorEastAsia"/>
          <w:color w:val="auto"/>
          <w:szCs w:val="21"/>
          <w:highlight w:val="none"/>
        </w:rPr>
      </w:pPr>
      <w:bookmarkStart w:id="449" w:name="_Toc152042355"/>
      <w:r>
        <w:rPr>
          <w:rFonts w:hint="eastAsia" w:cs="宋体" w:asciiTheme="minorEastAsia" w:hAnsiTheme="minorEastAsia" w:eastAsiaTheme="minorEastAsia"/>
          <w:color w:val="auto"/>
          <w:szCs w:val="21"/>
          <w:highlight w:val="none"/>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449"/>
    </w:p>
    <w:bookmarkEnd w:id="448"/>
    <w:p w14:paraId="143A3DDF">
      <w:pPr>
        <w:pStyle w:val="101"/>
        <w:spacing w:before="240" w:after="120"/>
        <w:rPr>
          <w:rFonts w:cs="宋体" w:asciiTheme="minorEastAsia" w:hAnsiTheme="minorEastAsia" w:eastAsiaTheme="minorEastAsia"/>
          <w:b/>
          <w:bCs w:val="0"/>
          <w:color w:val="auto"/>
          <w:kern w:val="0"/>
          <w:sz w:val="28"/>
          <w:szCs w:val="28"/>
          <w:highlight w:val="none"/>
        </w:rPr>
      </w:pPr>
      <w:bookmarkStart w:id="450" w:name="_Toc477190326"/>
      <w:bookmarkEnd w:id="450"/>
      <w:bookmarkStart w:id="451" w:name="_Toc477190327"/>
      <w:bookmarkEnd w:id="451"/>
      <w:bookmarkStart w:id="452" w:name="_Toc477190328"/>
      <w:bookmarkEnd w:id="452"/>
      <w:bookmarkStart w:id="453" w:name="_Toc152045580"/>
      <w:bookmarkStart w:id="454" w:name="_Toc144974547"/>
      <w:bookmarkStart w:id="455" w:name="_Toc447265556"/>
      <w:bookmarkStart w:id="456" w:name="_Toc447188709"/>
      <w:bookmarkStart w:id="457" w:name="_Toc29165"/>
      <w:bookmarkStart w:id="458" w:name="_Toc246996967"/>
      <w:bookmarkStart w:id="459" w:name="_Toc17258"/>
      <w:bookmarkStart w:id="460" w:name="_Toc247085738"/>
      <w:bookmarkStart w:id="461" w:name="_Toc246996224"/>
      <w:bookmarkStart w:id="462" w:name="_Toc447265270"/>
      <w:bookmarkStart w:id="463" w:name="_Toc179632598"/>
      <w:bookmarkStart w:id="464" w:name="_Toc152042357"/>
      <w:bookmarkStart w:id="465" w:name="_Toc296602467"/>
      <w:r>
        <w:rPr>
          <w:rFonts w:cs="宋体" w:asciiTheme="minorEastAsia" w:hAnsiTheme="minorEastAsia" w:eastAsiaTheme="minorEastAsia"/>
          <w:color w:val="auto"/>
          <w:sz w:val="28"/>
          <w:szCs w:val="28"/>
          <w:highlight w:val="none"/>
        </w:rPr>
        <w:br w:type="page"/>
      </w:r>
      <w:bookmarkStart w:id="466" w:name="_Toc17833"/>
      <w:bookmarkStart w:id="467" w:name="_Toc447265559"/>
      <w:bookmarkStart w:id="468" w:name="_Toc447265273"/>
      <w:bookmarkStart w:id="469" w:name="_Toc26801"/>
      <w:r>
        <w:rPr>
          <w:rFonts w:hint="eastAsia" w:cs="宋体" w:asciiTheme="minorEastAsia" w:hAnsiTheme="minorEastAsia" w:eastAsiaTheme="minorEastAsia"/>
          <w:b/>
          <w:bCs w:val="0"/>
          <w:color w:val="auto"/>
          <w:kern w:val="0"/>
          <w:sz w:val="28"/>
          <w:szCs w:val="28"/>
          <w:highlight w:val="none"/>
        </w:rPr>
        <w:t>第三章</w:t>
      </w:r>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lang w:val="en-US" w:eastAsia="zh-CN"/>
        </w:rPr>
        <w:t xml:space="preserve"> </w:t>
      </w:r>
      <w:r>
        <w:rPr>
          <w:rFonts w:hint="eastAsia" w:cs="宋体" w:asciiTheme="minorEastAsia" w:hAnsiTheme="minorEastAsia" w:eastAsiaTheme="minorEastAsia"/>
          <w:b/>
          <w:bCs w:val="0"/>
          <w:color w:val="auto"/>
          <w:kern w:val="0"/>
          <w:sz w:val="28"/>
          <w:szCs w:val="28"/>
          <w:highlight w:val="none"/>
        </w:rPr>
        <w:t>评审办法</w:t>
      </w:r>
      <w:bookmarkEnd w:id="466"/>
      <w:bookmarkEnd w:id="467"/>
      <w:bookmarkEnd w:id="468"/>
      <w:r>
        <w:rPr>
          <w:rFonts w:hint="eastAsia" w:cs="宋体" w:asciiTheme="minorEastAsia" w:hAnsiTheme="minorEastAsia" w:eastAsiaTheme="minorEastAsia"/>
          <w:b/>
          <w:bCs w:val="0"/>
          <w:color w:val="auto"/>
          <w:kern w:val="0"/>
          <w:sz w:val="28"/>
          <w:szCs w:val="28"/>
          <w:highlight w:val="none"/>
        </w:rPr>
        <w:t>（综合评估法）</w:t>
      </w:r>
      <w:bookmarkEnd w:id="469"/>
    </w:p>
    <w:p w14:paraId="7682BFAD">
      <w:pPr>
        <w:pStyle w:val="3"/>
        <w:snapToGrid w:val="0"/>
        <w:spacing w:before="240" w:after="120" w:line="240" w:lineRule="auto"/>
        <w:rPr>
          <w:rFonts w:cs="宋体" w:asciiTheme="minorEastAsia" w:hAnsiTheme="minorEastAsia" w:eastAsiaTheme="minorEastAsia"/>
          <w:b w:val="0"/>
          <w:bCs w:val="0"/>
          <w:color w:val="auto"/>
          <w:sz w:val="24"/>
          <w:szCs w:val="24"/>
          <w:highlight w:val="none"/>
        </w:rPr>
      </w:pPr>
      <w:bookmarkStart w:id="470" w:name="_Toc447265274"/>
      <w:bookmarkStart w:id="471" w:name="_Toc447265560"/>
      <w:bookmarkStart w:id="472" w:name="_Toc19227"/>
      <w:bookmarkStart w:id="473" w:name="_Toc450489344"/>
      <w:bookmarkStart w:id="474" w:name="_Toc5012"/>
      <w:bookmarkStart w:id="475" w:name="_Toc447265276"/>
      <w:bookmarkStart w:id="476" w:name="_Toc226969316"/>
      <w:bookmarkStart w:id="477" w:name="_Toc107822520"/>
      <w:bookmarkStart w:id="478" w:name="_Toc447265562"/>
      <w:bookmarkStart w:id="479" w:name="_Toc227057922"/>
      <w:r>
        <w:rPr>
          <w:rFonts w:hint="eastAsia" w:cs="宋体" w:asciiTheme="minorEastAsia" w:hAnsiTheme="minorEastAsia" w:eastAsiaTheme="minorEastAsia"/>
          <w:b w:val="0"/>
          <w:bCs w:val="0"/>
          <w:color w:val="auto"/>
          <w:sz w:val="24"/>
          <w:szCs w:val="24"/>
          <w:highlight w:val="none"/>
        </w:rPr>
        <w:t>评审办法前附表</w:t>
      </w:r>
      <w:bookmarkEnd w:id="470"/>
      <w:bookmarkEnd w:id="471"/>
      <w:bookmarkEnd w:id="472"/>
      <w:bookmarkEnd w:id="473"/>
      <w:bookmarkEnd w:id="474"/>
    </w:p>
    <w:p w14:paraId="290315C8">
      <w:pPr>
        <w:adjustRightInd w:val="0"/>
        <w:snapToGrid w:val="0"/>
        <w:spacing w:line="440" w:lineRule="exact"/>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本项目采用综合评估法，总分共100分，其中商务</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分，技术</w:t>
      </w:r>
      <w:r>
        <w:rPr>
          <w:rFonts w:hint="eastAsia" w:cs="宋体" w:asciiTheme="minorEastAsia" w:hAnsiTheme="minorEastAsia" w:eastAsiaTheme="minorEastAsia"/>
          <w:color w:val="auto"/>
          <w:szCs w:val="21"/>
          <w:highlight w:val="none"/>
          <w:lang w:val="en-US" w:eastAsia="zh-CN"/>
        </w:rPr>
        <w:t>35</w:t>
      </w:r>
      <w:r>
        <w:rPr>
          <w:rFonts w:hint="eastAsia" w:cs="宋体" w:asciiTheme="minorEastAsia" w:hAnsiTheme="minorEastAsia" w:eastAsiaTheme="minorEastAsia"/>
          <w:color w:val="auto"/>
          <w:szCs w:val="21"/>
          <w:highlight w:val="none"/>
        </w:rPr>
        <w:t>分，价格</w:t>
      </w:r>
      <w:r>
        <w:rPr>
          <w:rFonts w:hint="eastAsia" w:cs="宋体" w:asciiTheme="minorEastAsia" w:hAnsiTheme="minorEastAsia" w:eastAsiaTheme="minorEastAsia"/>
          <w:color w:val="auto"/>
          <w:szCs w:val="21"/>
          <w:highlight w:val="none"/>
          <w:lang w:val="en-US" w:eastAsia="zh-CN"/>
        </w:rPr>
        <w:t>60</w:t>
      </w:r>
      <w:r>
        <w:rPr>
          <w:rFonts w:hint="eastAsia" w:cs="宋体" w:asciiTheme="minorEastAsia" w:hAnsiTheme="minorEastAsia" w:eastAsiaTheme="minorEastAsia"/>
          <w:color w:val="auto"/>
          <w:szCs w:val="21"/>
          <w:highlight w:val="none"/>
        </w:rPr>
        <w:t>分。评审时，评审委员会按照询比文件规定的量化因素和权重比值打分</w:t>
      </w:r>
      <w:r>
        <w:rPr>
          <w:rFonts w:hint="eastAsia" w:cs="宋体" w:asciiTheme="minorEastAsia" w:hAnsiTheme="minorEastAsia" w:eastAsiaTheme="minorEastAsia"/>
          <w:color w:val="auto"/>
          <w:kern w:val="0"/>
          <w:szCs w:val="21"/>
          <w:highlight w:val="none"/>
        </w:rPr>
        <w:t>。</w:t>
      </w:r>
      <w:r>
        <w:rPr>
          <w:rFonts w:hint="eastAsia" w:cs="宋体" w:asciiTheme="minorEastAsia" w:hAnsiTheme="minorEastAsia" w:eastAsiaTheme="minorEastAsia"/>
          <w:color w:val="auto"/>
          <w:szCs w:val="21"/>
          <w:highlight w:val="none"/>
        </w:rPr>
        <w:t>评审委员会全体成员对该供应商打分的算术平均值为该供应商的最终得分。</w:t>
      </w:r>
    </w:p>
    <w:tbl>
      <w:tblPr>
        <w:tblStyle w:val="78"/>
        <w:tblW w:w="8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09"/>
        <w:gridCol w:w="709"/>
        <w:gridCol w:w="1559"/>
        <w:gridCol w:w="567"/>
        <w:gridCol w:w="4484"/>
      </w:tblGrid>
      <w:tr w14:paraId="59B7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blHeader/>
          <w:jc w:val="center"/>
        </w:trPr>
        <w:tc>
          <w:tcPr>
            <w:tcW w:w="1276" w:type="dxa"/>
            <w:gridSpan w:val="2"/>
            <w:noWrap w:val="0"/>
            <w:vAlign w:val="center"/>
          </w:tcPr>
          <w:p w14:paraId="0337B2F4">
            <w:pPr>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rPr>
              <w:t>条款号</w:t>
            </w:r>
          </w:p>
        </w:tc>
        <w:tc>
          <w:tcPr>
            <w:tcW w:w="709" w:type="dxa"/>
            <w:noWrap w:val="0"/>
            <w:vAlign w:val="center"/>
          </w:tcPr>
          <w:p w14:paraId="2EAC83E8">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评审内容</w:t>
            </w:r>
          </w:p>
        </w:tc>
        <w:tc>
          <w:tcPr>
            <w:tcW w:w="1559" w:type="dxa"/>
            <w:noWrap w:val="0"/>
            <w:vAlign w:val="center"/>
          </w:tcPr>
          <w:p w14:paraId="59B3F448">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评审因素</w:t>
            </w:r>
          </w:p>
        </w:tc>
        <w:tc>
          <w:tcPr>
            <w:tcW w:w="5051" w:type="dxa"/>
            <w:gridSpan w:val="2"/>
            <w:noWrap w:val="0"/>
            <w:vAlign w:val="center"/>
          </w:tcPr>
          <w:p w14:paraId="339CD43F">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评审标准</w:t>
            </w:r>
          </w:p>
        </w:tc>
      </w:tr>
      <w:tr w14:paraId="74D1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restart"/>
            <w:noWrap w:val="0"/>
            <w:vAlign w:val="center"/>
          </w:tcPr>
          <w:p w14:paraId="72A0E067">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2.1</w:t>
            </w:r>
          </w:p>
        </w:tc>
        <w:tc>
          <w:tcPr>
            <w:tcW w:w="709" w:type="dxa"/>
            <w:vMerge w:val="restart"/>
            <w:noWrap w:val="0"/>
            <w:vAlign w:val="center"/>
          </w:tcPr>
          <w:p w14:paraId="115ADC40">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初步评审</w:t>
            </w:r>
          </w:p>
        </w:tc>
        <w:tc>
          <w:tcPr>
            <w:tcW w:w="709" w:type="dxa"/>
            <w:vMerge w:val="restart"/>
            <w:noWrap w:val="0"/>
            <w:vAlign w:val="center"/>
          </w:tcPr>
          <w:p w14:paraId="5D362777">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形式评审</w:t>
            </w:r>
          </w:p>
        </w:tc>
        <w:tc>
          <w:tcPr>
            <w:tcW w:w="1559" w:type="dxa"/>
            <w:noWrap w:val="0"/>
            <w:vAlign w:val="center"/>
          </w:tcPr>
          <w:p w14:paraId="5109FBB4">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供应商名称</w:t>
            </w:r>
          </w:p>
        </w:tc>
        <w:tc>
          <w:tcPr>
            <w:tcW w:w="5051" w:type="dxa"/>
            <w:gridSpan w:val="2"/>
            <w:noWrap w:val="0"/>
            <w:vAlign w:val="center"/>
          </w:tcPr>
          <w:p w14:paraId="4D478A0E">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与营业执照一致</w:t>
            </w:r>
          </w:p>
        </w:tc>
      </w:tr>
      <w:tr w14:paraId="4866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continue"/>
            <w:noWrap w:val="0"/>
            <w:vAlign w:val="center"/>
          </w:tcPr>
          <w:p w14:paraId="7DF648E1">
            <w:pPr>
              <w:snapToGrid w:val="0"/>
              <w:jc w:val="center"/>
              <w:rPr>
                <w:rFonts w:hint="eastAsia" w:ascii="宋体" w:hAnsi="宋体" w:eastAsia="宋体" w:cs="宋体"/>
                <w:color w:val="auto"/>
                <w:szCs w:val="21"/>
                <w:highlight w:val="none"/>
              </w:rPr>
            </w:pPr>
          </w:p>
        </w:tc>
        <w:tc>
          <w:tcPr>
            <w:tcW w:w="709" w:type="dxa"/>
            <w:vMerge w:val="continue"/>
            <w:noWrap w:val="0"/>
            <w:vAlign w:val="center"/>
          </w:tcPr>
          <w:p w14:paraId="11462BDF">
            <w:pPr>
              <w:snapToGrid w:val="0"/>
              <w:jc w:val="center"/>
              <w:rPr>
                <w:rFonts w:hint="eastAsia" w:ascii="宋体" w:hAnsi="宋体" w:eastAsia="宋体" w:cs="宋体"/>
                <w:color w:val="auto"/>
                <w:kern w:val="0"/>
                <w:szCs w:val="21"/>
                <w:highlight w:val="none"/>
              </w:rPr>
            </w:pPr>
          </w:p>
        </w:tc>
        <w:tc>
          <w:tcPr>
            <w:tcW w:w="709" w:type="dxa"/>
            <w:vMerge w:val="continue"/>
            <w:noWrap w:val="0"/>
            <w:vAlign w:val="center"/>
          </w:tcPr>
          <w:p w14:paraId="71C2CC3B">
            <w:pPr>
              <w:snapToGrid w:val="0"/>
              <w:jc w:val="left"/>
              <w:rPr>
                <w:rFonts w:hint="eastAsia" w:ascii="宋体" w:hAnsi="宋体" w:eastAsia="宋体" w:cs="宋体"/>
                <w:color w:val="auto"/>
                <w:kern w:val="0"/>
                <w:szCs w:val="21"/>
                <w:highlight w:val="none"/>
              </w:rPr>
            </w:pPr>
          </w:p>
        </w:tc>
        <w:tc>
          <w:tcPr>
            <w:tcW w:w="1559" w:type="dxa"/>
            <w:noWrap w:val="0"/>
            <w:vAlign w:val="center"/>
          </w:tcPr>
          <w:p w14:paraId="0A40190C">
            <w:pPr>
              <w:snapToGrid w:val="0"/>
              <w:spacing w:line="240" w:lineRule="auto"/>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响应函</w:t>
            </w:r>
          </w:p>
        </w:tc>
        <w:tc>
          <w:tcPr>
            <w:tcW w:w="5051" w:type="dxa"/>
            <w:gridSpan w:val="2"/>
            <w:noWrap w:val="0"/>
            <w:vAlign w:val="center"/>
          </w:tcPr>
          <w:p w14:paraId="3EBF040F">
            <w:pPr>
              <w:snapToGrid w:val="0"/>
              <w:spacing w:line="240" w:lineRule="auto"/>
              <w:jc w:val="left"/>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符合第二章“供应商须知”和第六章“响应文件格式”规定</w:t>
            </w:r>
          </w:p>
        </w:tc>
      </w:tr>
      <w:tr w14:paraId="2EC3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03227C80">
            <w:pPr>
              <w:snapToGrid w:val="0"/>
              <w:jc w:val="center"/>
              <w:rPr>
                <w:rFonts w:ascii="宋体" w:hAnsi="宋体" w:eastAsia="宋体" w:cs="宋体"/>
                <w:color w:val="auto"/>
                <w:szCs w:val="21"/>
                <w:highlight w:val="none"/>
              </w:rPr>
            </w:pPr>
          </w:p>
        </w:tc>
        <w:tc>
          <w:tcPr>
            <w:tcW w:w="709" w:type="dxa"/>
            <w:vMerge w:val="continue"/>
            <w:noWrap w:val="0"/>
            <w:vAlign w:val="top"/>
          </w:tcPr>
          <w:p w14:paraId="7D9BF9EF">
            <w:pPr>
              <w:snapToGrid w:val="0"/>
              <w:jc w:val="center"/>
              <w:rPr>
                <w:rFonts w:ascii="宋体" w:hAnsi="宋体" w:eastAsia="宋体" w:cs="宋体"/>
                <w:color w:val="auto"/>
                <w:szCs w:val="21"/>
                <w:highlight w:val="none"/>
              </w:rPr>
            </w:pPr>
          </w:p>
        </w:tc>
        <w:tc>
          <w:tcPr>
            <w:tcW w:w="709" w:type="dxa"/>
            <w:vMerge w:val="continue"/>
            <w:noWrap w:val="0"/>
            <w:vAlign w:val="center"/>
          </w:tcPr>
          <w:p w14:paraId="16D59D0B">
            <w:pPr>
              <w:snapToGrid w:val="0"/>
              <w:jc w:val="left"/>
              <w:rPr>
                <w:rFonts w:ascii="宋体" w:hAnsi="宋体" w:eastAsia="宋体" w:cs="宋体"/>
                <w:color w:val="auto"/>
                <w:szCs w:val="21"/>
                <w:highlight w:val="none"/>
              </w:rPr>
            </w:pPr>
          </w:p>
        </w:tc>
        <w:tc>
          <w:tcPr>
            <w:tcW w:w="1559" w:type="dxa"/>
            <w:noWrap w:val="0"/>
            <w:vAlign w:val="center"/>
          </w:tcPr>
          <w:p w14:paraId="06FD92E4">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营业执照和资质证书</w:t>
            </w:r>
          </w:p>
        </w:tc>
        <w:tc>
          <w:tcPr>
            <w:tcW w:w="5051" w:type="dxa"/>
            <w:gridSpan w:val="2"/>
            <w:noWrap w:val="0"/>
            <w:vAlign w:val="center"/>
          </w:tcPr>
          <w:p w14:paraId="33BC630D">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szCs w:val="21"/>
                <w:highlight w:val="none"/>
              </w:rPr>
              <w:t>供应商须提供有效的营业执照或营业执照复印件</w:t>
            </w:r>
            <w:r>
              <w:rPr>
                <w:rFonts w:hint="eastAsia" w:ascii="宋体" w:hAnsi="宋体" w:eastAsia="宋体" w:cs="宋体"/>
                <w:color w:val="auto"/>
                <w:szCs w:val="21"/>
                <w:highlight w:val="none"/>
                <w:lang w:val="en-US" w:eastAsia="zh-CN"/>
              </w:rPr>
              <w:t>及资质证书等资料</w:t>
            </w:r>
            <w:r>
              <w:rPr>
                <w:rFonts w:hint="eastAsia" w:ascii="宋体" w:hAnsi="宋体" w:eastAsia="宋体" w:cs="宋体"/>
                <w:color w:val="auto"/>
                <w:szCs w:val="21"/>
                <w:highlight w:val="none"/>
              </w:rPr>
              <w:t>，并加盖公章。未提供或无效者作否决处理。</w:t>
            </w:r>
          </w:p>
        </w:tc>
      </w:tr>
      <w:tr w14:paraId="3931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7" w:type="dxa"/>
            <w:vMerge w:val="continue"/>
            <w:noWrap w:val="0"/>
            <w:vAlign w:val="center"/>
          </w:tcPr>
          <w:p w14:paraId="71269A60">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54548482">
            <w:pPr>
              <w:snapToGrid w:val="0"/>
              <w:jc w:val="center"/>
              <w:rPr>
                <w:rFonts w:ascii="宋体" w:hAnsi="宋体" w:eastAsia="宋体" w:cs="宋体"/>
                <w:color w:val="auto"/>
                <w:szCs w:val="21"/>
                <w:highlight w:val="none"/>
              </w:rPr>
            </w:pPr>
          </w:p>
        </w:tc>
        <w:tc>
          <w:tcPr>
            <w:tcW w:w="709" w:type="dxa"/>
            <w:vMerge w:val="continue"/>
            <w:noWrap w:val="0"/>
            <w:vAlign w:val="center"/>
          </w:tcPr>
          <w:p w14:paraId="42509486">
            <w:pPr>
              <w:snapToGrid w:val="0"/>
              <w:jc w:val="left"/>
              <w:rPr>
                <w:rFonts w:ascii="宋体" w:hAnsi="宋体" w:eastAsia="宋体" w:cs="宋体"/>
                <w:color w:val="auto"/>
                <w:szCs w:val="21"/>
                <w:highlight w:val="none"/>
              </w:rPr>
            </w:pPr>
          </w:p>
        </w:tc>
        <w:tc>
          <w:tcPr>
            <w:tcW w:w="1559" w:type="dxa"/>
            <w:noWrap w:val="0"/>
            <w:vAlign w:val="center"/>
          </w:tcPr>
          <w:p w14:paraId="44A71B8D">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响应文件签字盖章</w:t>
            </w:r>
          </w:p>
        </w:tc>
        <w:tc>
          <w:tcPr>
            <w:tcW w:w="5051" w:type="dxa"/>
            <w:gridSpan w:val="2"/>
            <w:noWrap w:val="0"/>
            <w:vAlign w:val="center"/>
          </w:tcPr>
          <w:p w14:paraId="1091E5CD">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符合第二章“供应商须知前附表”的要求</w:t>
            </w:r>
          </w:p>
        </w:tc>
      </w:tr>
      <w:tr w14:paraId="3596D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4E68407">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3EDE2D7C">
            <w:pPr>
              <w:snapToGrid w:val="0"/>
              <w:jc w:val="center"/>
              <w:rPr>
                <w:rFonts w:ascii="宋体" w:hAnsi="宋体" w:eastAsia="宋体" w:cs="宋体"/>
                <w:color w:val="auto"/>
                <w:szCs w:val="21"/>
                <w:highlight w:val="none"/>
              </w:rPr>
            </w:pPr>
          </w:p>
        </w:tc>
        <w:tc>
          <w:tcPr>
            <w:tcW w:w="709" w:type="dxa"/>
            <w:vMerge w:val="continue"/>
            <w:noWrap w:val="0"/>
            <w:vAlign w:val="center"/>
          </w:tcPr>
          <w:p w14:paraId="05A02139">
            <w:pPr>
              <w:snapToGrid w:val="0"/>
              <w:jc w:val="left"/>
              <w:rPr>
                <w:rFonts w:ascii="宋体" w:hAnsi="宋体" w:eastAsia="宋体" w:cs="宋体"/>
                <w:color w:val="auto"/>
                <w:szCs w:val="21"/>
                <w:highlight w:val="none"/>
              </w:rPr>
            </w:pPr>
          </w:p>
        </w:tc>
        <w:tc>
          <w:tcPr>
            <w:tcW w:w="1559" w:type="dxa"/>
            <w:noWrap w:val="0"/>
            <w:vAlign w:val="center"/>
          </w:tcPr>
          <w:p w14:paraId="77E2D484">
            <w:pPr>
              <w:snapToGrid w:val="0"/>
              <w:spacing w:line="24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法定代表人授权书</w:t>
            </w:r>
          </w:p>
        </w:tc>
        <w:tc>
          <w:tcPr>
            <w:tcW w:w="5051" w:type="dxa"/>
            <w:gridSpan w:val="2"/>
            <w:noWrap w:val="0"/>
            <w:vAlign w:val="center"/>
          </w:tcPr>
          <w:p w14:paraId="5CB21763">
            <w:pPr>
              <w:snapToGrid w:val="0"/>
              <w:spacing w:line="240" w:lineRule="auto"/>
              <w:jc w:val="left"/>
              <w:rPr>
                <w:rFonts w:hint="eastAsia" w:ascii="Times New Roman" w:hAnsi="Times New Roman" w:eastAsia="宋体" w:cs="Times New Roman"/>
                <w:color w:val="auto"/>
                <w:highlight w:val="none"/>
              </w:rPr>
            </w:pPr>
            <w:r>
              <w:rPr>
                <w:rFonts w:hint="eastAsia" w:ascii="宋体" w:hAnsi="宋体" w:eastAsia="宋体" w:cs="宋体"/>
                <w:color w:val="auto"/>
                <w:kern w:val="0"/>
                <w:sz w:val="21"/>
                <w:szCs w:val="21"/>
                <w:highlight w:val="none"/>
              </w:rPr>
              <w:t>符合第二章“供应商须知前附表”规定和第六章“响应文件格式”规定</w:t>
            </w:r>
          </w:p>
        </w:tc>
      </w:tr>
      <w:tr w14:paraId="0A7D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AD73255">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7B42749D">
            <w:pPr>
              <w:snapToGrid w:val="0"/>
              <w:jc w:val="center"/>
              <w:rPr>
                <w:rFonts w:ascii="宋体" w:hAnsi="宋体" w:eastAsia="宋体" w:cs="宋体"/>
                <w:color w:val="auto"/>
                <w:szCs w:val="21"/>
                <w:highlight w:val="none"/>
              </w:rPr>
            </w:pPr>
          </w:p>
        </w:tc>
        <w:tc>
          <w:tcPr>
            <w:tcW w:w="709" w:type="dxa"/>
            <w:vMerge w:val="continue"/>
            <w:noWrap w:val="0"/>
            <w:vAlign w:val="center"/>
          </w:tcPr>
          <w:p w14:paraId="36813B79">
            <w:pPr>
              <w:snapToGrid w:val="0"/>
              <w:jc w:val="left"/>
              <w:rPr>
                <w:rFonts w:ascii="宋体" w:hAnsi="宋体" w:eastAsia="宋体" w:cs="宋体"/>
                <w:color w:val="auto"/>
                <w:szCs w:val="21"/>
                <w:highlight w:val="none"/>
              </w:rPr>
            </w:pPr>
          </w:p>
        </w:tc>
        <w:tc>
          <w:tcPr>
            <w:tcW w:w="1559" w:type="dxa"/>
            <w:noWrap w:val="0"/>
            <w:vAlign w:val="center"/>
          </w:tcPr>
          <w:p w14:paraId="105F5853">
            <w:pPr>
              <w:snapToGrid w:val="0"/>
              <w:spacing w:line="24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响应文件格式</w:t>
            </w:r>
          </w:p>
        </w:tc>
        <w:tc>
          <w:tcPr>
            <w:tcW w:w="5051" w:type="dxa"/>
            <w:gridSpan w:val="2"/>
            <w:noWrap w:val="0"/>
            <w:vAlign w:val="center"/>
          </w:tcPr>
          <w:p w14:paraId="38797073">
            <w:pPr>
              <w:snapToGrid w:val="0"/>
              <w:spacing w:line="240" w:lineRule="auto"/>
              <w:jc w:val="left"/>
              <w:rPr>
                <w:rFonts w:hint="eastAsia" w:ascii="Times New Roman" w:hAnsi="Times New Roman" w:eastAsia="宋体" w:cs="Times New Roman"/>
                <w:color w:val="auto"/>
                <w:highlight w:val="none"/>
              </w:rPr>
            </w:pPr>
            <w:r>
              <w:rPr>
                <w:rFonts w:hint="eastAsia" w:ascii="宋体" w:hAnsi="宋体" w:eastAsia="宋体" w:cs="宋体"/>
                <w:color w:val="auto"/>
                <w:kern w:val="0"/>
                <w:sz w:val="21"/>
                <w:szCs w:val="21"/>
                <w:highlight w:val="none"/>
              </w:rPr>
              <w:t>符合第二章“供应商须知前附表”规定和第六章“响应文件格式”规定</w:t>
            </w:r>
          </w:p>
        </w:tc>
      </w:tr>
      <w:tr w14:paraId="286E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3FC3F72B">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51B55134">
            <w:pPr>
              <w:snapToGrid w:val="0"/>
              <w:jc w:val="center"/>
              <w:rPr>
                <w:rFonts w:ascii="宋体" w:hAnsi="宋体" w:eastAsia="宋体" w:cs="宋体"/>
                <w:color w:val="auto"/>
                <w:szCs w:val="21"/>
                <w:highlight w:val="none"/>
              </w:rPr>
            </w:pPr>
          </w:p>
        </w:tc>
        <w:tc>
          <w:tcPr>
            <w:tcW w:w="709" w:type="dxa"/>
            <w:vMerge w:val="restart"/>
            <w:noWrap w:val="0"/>
            <w:vAlign w:val="center"/>
          </w:tcPr>
          <w:p w14:paraId="52385716">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资格评审</w:t>
            </w:r>
          </w:p>
        </w:tc>
        <w:tc>
          <w:tcPr>
            <w:tcW w:w="1559" w:type="dxa"/>
            <w:noWrap w:val="0"/>
            <w:vAlign w:val="center"/>
          </w:tcPr>
          <w:p w14:paraId="76404EA3">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基本资格要求</w:t>
            </w:r>
          </w:p>
        </w:tc>
        <w:tc>
          <w:tcPr>
            <w:tcW w:w="5051" w:type="dxa"/>
            <w:gridSpan w:val="2"/>
            <w:noWrap w:val="0"/>
            <w:vAlign w:val="center"/>
          </w:tcPr>
          <w:p w14:paraId="4AF57E98">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基本要求：供应商应为中华人民共和国境内法律上和财务上独立的法人或其他组织，合法运作并独立于采购人和采购代理机构。法人下属不具备法人资格的分支机构参与响应的，应具备法人针对本项目或覆盖本项目的经营事项的有效授权。</w:t>
            </w:r>
          </w:p>
          <w:p w14:paraId="6E38F371">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业绩要求：供应商须具备近年（2023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483BE2BB">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3.本项目不接受联合体响应，不允许转包和违法分包。</w:t>
            </w:r>
          </w:p>
          <w:p w14:paraId="3DF6255A">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4.供应商的法定代表人或负责人为同一人或者存在控股、管理关系的不同申请人，不得参加同一分包响应或者未划分分包的同一项目响应。</w:t>
            </w:r>
          </w:p>
          <w:p w14:paraId="05575C51">
            <w:pPr>
              <w:snapToGrid w:val="0"/>
              <w:jc w:val="left"/>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5</w:t>
            </w:r>
            <w:r>
              <w:rPr>
                <w:rFonts w:hint="eastAsia" w:ascii="Times New Roman" w:hAnsi="Times New Roman" w:eastAsia="宋体" w:cs="Times New Roman"/>
                <w:color w:val="auto"/>
                <w:highlight w:val="none"/>
                <w:lang w:val="en-US" w:eastAsia="zh-CN"/>
              </w:rPr>
              <w:t>.供应商具有有效的《道路运输经营许可证》。</w:t>
            </w:r>
          </w:p>
          <w:p w14:paraId="276043B5">
            <w:pPr>
              <w:snapToGrid w:val="0"/>
              <w:jc w:val="left"/>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6</w:t>
            </w:r>
            <w:r>
              <w:rPr>
                <w:rFonts w:hint="eastAsia" w:ascii="Times New Roman" w:hAnsi="Times New Roman" w:eastAsia="宋体" w:cs="Times New Roman"/>
                <w:color w:val="auto"/>
                <w:highlight w:val="none"/>
                <w:lang w:val="en-US" w:eastAsia="zh-CN"/>
              </w:rPr>
              <w:t>：财务要求：供应商能够或承诺能够为本项目开具增值税专用发票。（须提供证明材料或承诺函）</w:t>
            </w:r>
          </w:p>
        </w:tc>
      </w:tr>
      <w:tr w14:paraId="75CC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342C9D13">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6B8F1BF6">
            <w:pPr>
              <w:snapToGrid w:val="0"/>
              <w:jc w:val="center"/>
              <w:rPr>
                <w:rFonts w:ascii="宋体" w:hAnsi="宋体" w:eastAsia="宋体" w:cs="宋体"/>
                <w:color w:val="auto"/>
                <w:szCs w:val="21"/>
                <w:highlight w:val="none"/>
              </w:rPr>
            </w:pPr>
          </w:p>
        </w:tc>
        <w:tc>
          <w:tcPr>
            <w:tcW w:w="709" w:type="dxa"/>
            <w:vMerge w:val="continue"/>
            <w:noWrap w:val="0"/>
            <w:vAlign w:val="center"/>
          </w:tcPr>
          <w:p w14:paraId="722288FC">
            <w:pPr>
              <w:snapToGrid w:val="0"/>
              <w:jc w:val="left"/>
              <w:rPr>
                <w:rFonts w:ascii="宋体" w:hAnsi="宋体" w:eastAsia="宋体" w:cs="宋体"/>
                <w:color w:val="auto"/>
                <w:kern w:val="0"/>
                <w:szCs w:val="21"/>
                <w:highlight w:val="none"/>
              </w:rPr>
            </w:pPr>
          </w:p>
        </w:tc>
        <w:tc>
          <w:tcPr>
            <w:tcW w:w="1559" w:type="dxa"/>
            <w:noWrap w:val="0"/>
            <w:vAlign w:val="center"/>
          </w:tcPr>
          <w:p w14:paraId="079E75F3">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不得存在的情形</w:t>
            </w:r>
          </w:p>
        </w:tc>
        <w:tc>
          <w:tcPr>
            <w:tcW w:w="5051" w:type="dxa"/>
            <w:gridSpan w:val="2"/>
            <w:noWrap w:val="0"/>
            <w:vAlign w:val="center"/>
          </w:tcPr>
          <w:p w14:paraId="1783F11A">
            <w:pPr>
              <w:snapToGrid w:val="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符合询比文件要求的所有“供应商不得存在的情形”的规定。</w:t>
            </w:r>
          </w:p>
        </w:tc>
      </w:tr>
      <w:tr w14:paraId="65CE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28A5DB15">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6075EF81">
            <w:pPr>
              <w:snapToGrid w:val="0"/>
              <w:jc w:val="center"/>
              <w:rPr>
                <w:rFonts w:ascii="宋体" w:hAnsi="宋体" w:eastAsia="宋体" w:cs="宋体"/>
                <w:color w:val="auto"/>
                <w:szCs w:val="21"/>
                <w:highlight w:val="none"/>
              </w:rPr>
            </w:pPr>
          </w:p>
        </w:tc>
        <w:tc>
          <w:tcPr>
            <w:tcW w:w="709" w:type="dxa"/>
            <w:vMerge w:val="restart"/>
            <w:noWrap w:val="0"/>
            <w:vAlign w:val="center"/>
          </w:tcPr>
          <w:p w14:paraId="67DC16B7">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响应性评审</w:t>
            </w:r>
          </w:p>
        </w:tc>
        <w:tc>
          <w:tcPr>
            <w:tcW w:w="1559" w:type="dxa"/>
            <w:noWrap w:val="0"/>
            <w:vAlign w:val="center"/>
          </w:tcPr>
          <w:p w14:paraId="617AC562">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报价唯一且有效</w:t>
            </w:r>
          </w:p>
        </w:tc>
        <w:tc>
          <w:tcPr>
            <w:tcW w:w="5051" w:type="dxa"/>
            <w:gridSpan w:val="2"/>
            <w:noWrap w:val="0"/>
            <w:vAlign w:val="center"/>
          </w:tcPr>
          <w:p w14:paraId="70D18EB7">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只能有一个有效报价且不高于最高限价</w:t>
            </w:r>
          </w:p>
        </w:tc>
      </w:tr>
      <w:tr w14:paraId="4ADE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EF7BF7C">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4FB52186">
            <w:pPr>
              <w:snapToGrid w:val="0"/>
              <w:jc w:val="center"/>
              <w:rPr>
                <w:rFonts w:ascii="宋体" w:hAnsi="宋体" w:eastAsia="宋体" w:cs="宋体"/>
                <w:color w:val="auto"/>
                <w:szCs w:val="21"/>
                <w:highlight w:val="none"/>
              </w:rPr>
            </w:pPr>
          </w:p>
        </w:tc>
        <w:tc>
          <w:tcPr>
            <w:tcW w:w="709" w:type="dxa"/>
            <w:vMerge w:val="continue"/>
            <w:noWrap w:val="0"/>
            <w:vAlign w:val="center"/>
          </w:tcPr>
          <w:p w14:paraId="02B83E6B">
            <w:pPr>
              <w:snapToGrid w:val="0"/>
              <w:jc w:val="left"/>
              <w:rPr>
                <w:rFonts w:hint="eastAsia" w:ascii="宋体" w:hAnsi="宋体" w:eastAsia="宋体" w:cs="宋体"/>
                <w:color w:val="auto"/>
                <w:kern w:val="0"/>
                <w:szCs w:val="21"/>
                <w:highlight w:val="none"/>
              </w:rPr>
            </w:pPr>
          </w:p>
        </w:tc>
        <w:tc>
          <w:tcPr>
            <w:tcW w:w="1559" w:type="dxa"/>
            <w:noWrap w:val="0"/>
            <w:vAlign w:val="center"/>
          </w:tcPr>
          <w:p w14:paraId="6887107B">
            <w:pPr>
              <w:snapToGrid w:val="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异常</w:t>
            </w:r>
            <w:r>
              <w:rPr>
                <w:rFonts w:hint="eastAsia" w:ascii="宋体" w:hAnsi="宋体" w:eastAsia="宋体" w:cs="宋体"/>
                <w:color w:val="auto"/>
                <w:kern w:val="0"/>
                <w:szCs w:val="21"/>
                <w:highlight w:val="none"/>
                <w:lang w:val="en-US" w:eastAsia="zh-CN"/>
              </w:rPr>
              <w:t>响应</w:t>
            </w:r>
            <w:r>
              <w:rPr>
                <w:rFonts w:hint="eastAsia" w:ascii="宋体" w:hAnsi="宋体" w:eastAsia="宋体" w:cs="宋体"/>
                <w:color w:val="auto"/>
                <w:kern w:val="0"/>
                <w:szCs w:val="21"/>
                <w:highlight w:val="none"/>
              </w:rPr>
              <w:t>情形</w:t>
            </w:r>
          </w:p>
        </w:tc>
        <w:tc>
          <w:tcPr>
            <w:tcW w:w="5051" w:type="dxa"/>
            <w:gridSpan w:val="2"/>
            <w:noWrap w:val="0"/>
            <w:vAlign w:val="center"/>
          </w:tcPr>
          <w:p w14:paraId="4FBF502C">
            <w:pPr>
              <w:snapToGrid w:val="0"/>
              <w:jc w:val="left"/>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核查供应商是否存在下列情形：</w:t>
            </w:r>
          </w:p>
          <w:p w14:paraId="396AAE0B">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（1）法律法规规定视为串通</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的情形；</w:t>
            </w:r>
          </w:p>
          <w:p w14:paraId="467585CF">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文件异常一致；</w:t>
            </w:r>
          </w:p>
          <w:p w14:paraId="2D4781DC">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活动异常关联；</w:t>
            </w:r>
          </w:p>
          <w:p w14:paraId="44AA3EAF">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rPr>
              <w:t>）通过受让、租借、挂靠资质</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，伪造、变造资质、资格证书或者其他许可证件，提供虚假业绩、奖项、项目负责人等材料。</w:t>
            </w:r>
          </w:p>
          <w:p w14:paraId="2560B20D">
            <w:pPr>
              <w:snapToGrid w:val="0"/>
              <w:jc w:val="left"/>
              <w:rPr>
                <w:rFonts w:hint="eastAsia" w:ascii="宋体" w:hAnsi="宋体" w:eastAsia="宋体" w:cs="宋体"/>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lang w:eastAsia="zh-CN"/>
              </w:rPr>
              <w:t>）项的具体情形，评</w:t>
            </w:r>
            <w:r>
              <w:rPr>
                <w:rFonts w:hint="eastAsia" w:ascii="宋体" w:hAnsi="宋体" w:eastAsia="宋体" w:cs="Times New Roman"/>
                <w:color w:val="auto"/>
                <w:szCs w:val="21"/>
                <w:highlight w:val="none"/>
                <w:lang w:val="en-US" w:eastAsia="zh-CN"/>
              </w:rPr>
              <w:t>审</w:t>
            </w:r>
            <w:r>
              <w:rPr>
                <w:rFonts w:hint="eastAsia" w:ascii="宋体" w:hAnsi="宋体" w:eastAsia="宋体" w:cs="Times New Roman"/>
                <w:color w:val="auto"/>
                <w:szCs w:val="21"/>
                <w:highlight w:val="none"/>
                <w:lang w:eastAsia="zh-CN"/>
              </w:rPr>
              <w:t>委员会应当</w:t>
            </w:r>
            <w:r>
              <w:rPr>
                <w:rFonts w:hint="eastAsia" w:ascii="宋体" w:hAnsi="宋体" w:eastAsia="宋体" w:cs="Times New Roman"/>
                <w:color w:val="auto"/>
                <w:szCs w:val="21"/>
                <w:highlight w:val="none"/>
                <w:lang w:val="en-US" w:eastAsia="zh-CN"/>
              </w:rPr>
              <w:t>通知供应商</w:t>
            </w:r>
            <w:r>
              <w:rPr>
                <w:rFonts w:hint="eastAsia" w:ascii="宋体" w:hAnsi="宋体" w:eastAsia="宋体" w:cs="Times New Roman"/>
                <w:color w:val="auto"/>
                <w:szCs w:val="21"/>
                <w:highlight w:val="none"/>
                <w:lang w:eastAsia="zh-CN"/>
              </w:rPr>
              <w:t>作出解释说明。评</w:t>
            </w:r>
            <w:r>
              <w:rPr>
                <w:rFonts w:hint="eastAsia" w:ascii="宋体" w:hAnsi="宋体" w:eastAsia="宋体" w:cs="Times New Roman"/>
                <w:color w:val="auto"/>
                <w:szCs w:val="21"/>
                <w:highlight w:val="none"/>
                <w:lang w:val="en-US" w:eastAsia="zh-CN"/>
              </w:rPr>
              <w:t>审</w:t>
            </w:r>
            <w:r>
              <w:rPr>
                <w:rFonts w:hint="eastAsia" w:ascii="宋体" w:hAnsi="宋体" w:eastAsia="宋体" w:cs="Times New Roman"/>
                <w:color w:val="auto"/>
                <w:szCs w:val="21"/>
                <w:highlight w:val="none"/>
                <w:lang w:eastAsia="zh-CN"/>
              </w:rPr>
              <w:t>委员会经核查发现</w:t>
            </w:r>
            <w:r>
              <w:rPr>
                <w:rFonts w:hint="eastAsia" w:ascii="宋体" w:hAnsi="宋体" w:eastAsia="宋体" w:cs="Times New Roman"/>
                <w:color w:val="auto"/>
                <w:szCs w:val="21"/>
                <w:highlight w:val="none"/>
                <w:lang w:val="en-US" w:eastAsia="zh-CN"/>
              </w:rPr>
              <w:t>供应商</w:t>
            </w:r>
            <w:r>
              <w:rPr>
                <w:rFonts w:hint="eastAsia" w:ascii="宋体" w:hAnsi="宋体" w:eastAsia="宋体" w:cs="Times New Roman"/>
                <w:color w:val="auto"/>
                <w:szCs w:val="21"/>
                <w:highlight w:val="none"/>
                <w:lang w:eastAsia="zh-CN"/>
              </w:rPr>
              <w:t>存在串通</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lang w:eastAsia="zh-CN"/>
              </w:rPr>
              <w:t>、弄虚作假等违法行为的，按照法律法规规定进行处理。</w:t>
            </w:r>
          </w:p>
        </w:tc>
      </w:tr>
      <w:tr w14:paraId="0AA4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72E7AA8D">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0F6E3169">
            <w:pPr>
              <w:snapToGrid w:val="0"/>
              <w:jc w:val="center"/>
              <w:rPr>
                <w:rFonts w:ascii="宋体" w:hAnsi="宋体" w:eastAsia="宋体" w:cs="宋体"/>
                <w:color w:val="auto"/>
                <w:szCs w:val="21"/>
                <w:highlight w:val="none"/>
              </w:rPr>
            </w:pPr>
          </w:p>
        </w:tc>
        <w:tc>
          <w:tcPr>
            <w:tcW w:w="709" w:type="dxa"/>
            <w:vMerge w:val="continue"/>
            <w:noWrap w:val="0"/>
            <w:vAlign w:val="center"/>
          </w:tcPr>
          <w:p w14:paraId="74DB52B0">
            <w:pPr>
              <w:snapToGrid w:val="0"/>
              <w:jc w:val="left"/>
              <w:rPr>
                <w:rFonts w:ascii="宋体" w:hAnsi="宋体" w:eastAsia="宋体" w:cs="宋体"/>
                <w:color w:val="auto"/>
                <w:kern w:val="0"/>
                <w:szCs w:val="21"/>
                <w:highlight w:val="none"/>
              </w:rPr>
            </w:pPr>
          </w:p>
        </w:tc>
        <w:tc>
          <w:tcPr>
            <w:tcW w:w="1559" w:type="dxa"/>
            <w:noWrap w:val="0"/>
            <w:vAlign w:val="center"/>
          </w:tcPr>
          <w:p w14:paraId="27416C93">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响应有效期</w:t>
            </w:r>
          </w:p>
        </w:tc>
        <w:tc>
          <w:tcPr>
            <w:tcW w:w="5051" w:type="dxa"/>
            <w:gridSpan w:val="2"/>
            <w:noWrap w:val="0"/>
            <w:vAlign w:val="center"/>
          </w:tcPr>
          <w:p w14:paraId="181F2FA7">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120天</w:t>
            </w:r>
          </w:p>
        </w:tc>
      </w:tr>
      <w:tr w14:paraId="021A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7F317E3B">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39205C7C">
            <w:pPr>
              <w:snapToGrid w:val="0"/>
              <w:jc w:val="center"/>
              <w:rPr>
                <w:rFonts w:ascii="宋体" w:hAnsi="宋体" w:eastAsia="宋体" w:cs="宋体"/>
                <w:color w:val="auto"/>
                <w:szCs w:val="21"/>
                <w:highlight w:val="none"/>
              </w:rPr>
            </w:pPr>
          </w:p>
        </w:tc>
        <w:tc>
          <w:tcPr>
            <w:tcW w:w="709" w:type="dxa"/>
            <w:vMerge w:val="continue"/>
            <w:noWrap w:val="0"/>
            <w:vAlign w:val="center"/>
          </w:tcPr>
          <w:p w14:paraId="06603872">
            <w:pPr>
              <w:snapToGrid w:val="0"/>
              <w:jc w:val="left"/>
              <w:rPr>
                <w:rFonts w:ascii="宋体" w:hAnsi="宋体" w:eastAsia="宋体" w:cs="宋体"/>
                <w:color w:val="auto"/>
                <w:kern w:val="0"/>
                <w:szCs w:val="21"/>
                <w:highlight w:val="none"/>
              </w:rPr>
            </w:pPr>
          </w:p>
        </w:tc>
        <w:tc>
          <w:tcPr>
            <w:tcW w:w="1559" w:type="dxa"/>
            <w:noWrap w:val="0"/>
            <w:vAlign w:val="center"/>
          </w:tcPr>
          <w:p w14:paraId="2A418606">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响应文件应答</w:t>
            </w:r>
          </w:p>
        </w:tc>
        <w:tc>
          <w:tcPr>
            <w:tcW w:w="5051" w:type="dxa"/>
            <w:gridSpan w:val="2"/>
            <w:noWrap w:val="0"/>
            <w:vAlign w:val="center"/>
          </w:tcPr>
          <w:p w14:paraId="2FC9DDD8">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合同条款、技术规范书及★条款应答无负偏离</w:t>
            </w:r>
          </w:p>
        </w:tc>
      </w:tr>
      <w:tr w14:paraId="6FEF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238AB35C">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3A290EA2">
            <w:pPr>
              <w:snapToGrid w:val="0"/>
              <w:jc w:val="center"/>
              <w:rPr>
                <w:rFonts w:ascii="宋体" w:hAnsi="宋体" w:eastAsia="宋体" w:cs="宋体"/>
                <w:color w:val="auto"/>
                <w:szCs w:val="21"/>
                <w:highlight w:val="none"/>
              </w:rPr>
            </w:pPr>
          </w:p>
        </w:tc>
        <w:tc>
          <w:tcPr>
            <w:tcW w:w="709" w:type="dxa"/>
            <w:vMerge w:val="continue"/>
            <w:noWrap w:val="0"/>
            <w:vAlign w:val="center"/>
          </w:tcPr>
          <w:p w14:paraId="2C09A923">
            <w:pPr>
              <w:snapToGrid w:val="0"/>
              <w:jc w:val="left"/>
              <w:rPr>
                <w:rFonts w:ascii="宋体" w:hAnsi="宋体" w:eastAsia="宋体" w:cs="宋体"/>
                <w:color w:val="auto"/>
                <w:szCs w:val="21"/>
                <w:highlight w:val="none"/>
              </w:rPr>
            </w:pPr>
          </w:p>
        </w:tc>
        <w:tc>
          <w:tcPr>
            <w:tcW w:w="1559" w:type="dxa"/>
            <w:noWrap w:val="0"/>
            <w:vAlign w:val="center"/>
          </w:tcPr>
          <w:p w14:paraId="06E5024E">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5051" w:type="dxa"/>
            <w:gridSpan w:val="2"/>
            <w:noWrap w:val="0"/>
            <w:vAlign w:val="center"/>
          </w:tcPr>
          <w:p w14:paraId="01F36A26">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无法律、法规和询比文件规定的其他无效情形</w:t>
            </w:r>
          </w:p>
        </w:tc>
      </w:tr>
      <w:tr w14:paraId="4581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restart"/>
            <w:noWrap w:val="0"/>
            <w:vAlign w:val="center"/>
          </w:tcPr>
          <w:p w14:paraId="3292BFB2">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709" w:type="dxa"/>
            <w:vMerge w:val="restart"/>
            <w:noWrap w:val="0"/>
            <w:vAlign w:val="center"/>
          </w:tcPr>
          <w:p w14:paraId="47A66387">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详细评审</w:t>
            </w:r>
          </w:p>
        </w:tc>
        <w:tc>
          <w:tcPr>
            <w:tcW w:w="709" w:type="dxa"/>
            <w:noWrap w:val="0"/>
            <w:vAlign w:val="center"/>
          </w:tcPr>
          <w:p w14:paraId="507D0731">
            <w:pPr>
              <w:snapToGrid w:val="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评审内容</w:t>
            </w:r>
          </w:p>
        </w:tc>
        <w:tc>
          <w:tcPr>
            <w:tcW w:w="1559" w:type="dxa"/>
            <w:noWrap w:val="0"/>
            <w:vAlign w:val="center"/>
          </w:tcPr>
          <w:p w14:paraId="5CF480DD">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评分因素</w:t>
            </w:r>
          </w:p>
        </w:tc>
        <w:tc>
          <w:tcPr>
            <w:tcW w:w="567" w:type="dxa"/>
            <w:noWrap w:val="0"/>
            <w:vAlign w:val="center"/>
          </w:tcPr>
          <w:p w14:paraId="6D7999C0">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分值</w:t>
            </w:r>
          </w:p>
        </w:tc>
        <w:tc>
          <w:tcPr>
            <w:tcW w:w="4484" w:type="dxa"/>
            <w:noWrap w:val="0"/>
            <w:vAlign w:val="center"/>
          </w:tcPr>
          <w:p w14:paraId="1C71498B">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评分标准</w:t>
            </w:r>
          </w:p>
        </w:tc>
      </w:tr>
      <w:tr w14:paraId="609E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CC10AF4">
            <w:pPr>
              <w:snapToGrid w:val="0"/>
              <w:jc w:val="center"/>
              <w:rPr>
                <w:rFonts w:ascii="宋体" w:hAnsi="宋体" w:eastAsia="宋体" w:cs="宋体"/>
                <w:color w:val="auto"/>
                <w:szCs w:val="21"/>
                <w:highlight w:val="none"/>
              </w:rPr>
            </w:pPr>
          </w:p>
        </w:tc>
        <w:tc>
          <w:tcPr>
            <w:tcW w:w="709" w:type="dxa"/>
            <w:vMerge w:val="continue"/>
            <w:noWrap w:val="0"/>
            <w:vAlign w:val="center"/>
          </w:tcPr>
          <w:p w14:paraId="5EF5C735">
            <w:pPr>
              <w:snapToGrid w:val="0"/>
              <w:jc w:val="center"/>
              <w:rPr>
                <w:rFonts w:ascii="宋体" w:hAnsi="宋体" w:eastAsia="宋体" w:cs="宋体"/>
                <w:color w:val="auto"/>
                <w:kern w:val="0"/>
                <w:szCs w:val="21"/>
                <w:highlight w:val="none"/>
              </w:rPr>
            </w:pPr>
          </w:p>
        </w:tc>
        <w:tc>
          <w:tcPr>
            <w:tcW w:w="709" w:type="dxa"/>
            <w:noWrap w:val="0"/>
            <w:vAlign w:val="center"/>
          </w:tcPr>
          <w:p w14:paraId="3B8B2FFE">
            <w:pPr>
              <w:adjustRightInd w:val="0"/>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商务部分（</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w:t>
            </w:r>
          </w:p>
        </w:tc>
        <w:tc>
          <w:tcPr>
            <w:tcW w:w="1559" w:type="dxa"/>
            <w:noWrap w:val="0"/>
            <w:vAlign w:val="center"/>
          </w:tcPr>
          <w:p w14:paraId="65ABC6A4">
            <w:pPr>
              <w:bidi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类似项目业绩</w:t>
            </w:r>
          </w:p>
        </w:tc>
        <w:tc>
          <w:tcPr>
            <w:tcW w:w="567" w:type="dxa"/>
            <w:noWrap w:val="0"/>
            <w:vAlign w:val="center"/>
          </w:tcPr>
          <w:p w14:paraId="07622C6C">
            <w:pPr>
              <w:bidi w:val="0"/>
              <w:jc w:val="cente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5</w:t>
            </w:r>
          </w:p>
        </w:tc>
        <w:tc>
          <w:tcPr>
            <w:tcW w:w="4484" w:type="dxa"/>
            <w:noWrap w:val="0"/>
            <w:vAlign w:val="center"/>
          </w:tcPr>
          <w:p w14:paraId="6876DF58">
            <w:pPr>
              <w:bidi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提供近年（2023年1月1日至响应截止时间）</w:t>
            </w:r>
            <w:r>
              <w:rPr>
                <w:rFonts w:hint="eastAsia" w:ascii="宋体" w:hAnsi="宋体" w:eastAsia="宋体" w:cs="宋体"/>
                <w:color w:val="auto"/>
                <w:sz w:val="21"/>
                <w:szCs w:val="21"/>
                <w:highlight w:val="none"/>
                <w:lang w:val="en-US" w:eastAsia="zh-CN"/>
              </w:rPr>
              <w:t>合同金额在10万元以上的</w:t>
            </w:r>
            <w:r>
              <w:rPr>
                <w:rFonts w:hint="eastAsia" w:ascii="宋体" w:hAnsi="宋体" w:eastAsia="宋体" w:cs="宋体"/>
                <w:color w:val="auto"/>
                <w:sz w:val="21"/>
                <w:szCs w:val="21"/>
                <w:highlight w:val="none"/>
              </w:rPr>
              <w:t>类似</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rPr>
              <w:t>业绩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在一个业绩的基础上，每额外提供1个业绩得1分</w:t>
            </w:r>
            <w:r>
              <w:rPr>
                <w:rFonts w:hint="eastAsia" w:ascii="宋体" w:hAnsi="宋体" w:eastAsia="宋体" w:cs="宋体"/>
                <w:color w:val="auto"/>
                <w:sz w:val="21"/>
                <w:szCs w:val="21"/>
                <w:highlight w:val="none"/>
              </w:rPr>
              <w:t>。</w:t>
            </w:r>
          </w:p>
          <w:p w14:paraId="3F3AC523">
            <w:pPr>
              <w:bidi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委员会无法确定业绩的不予认可。</w:t>
            </w:r>
          </w:p>
        </w:tc>
      </w:tr>
      <w:tr w14:paraId="0DDE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0509D3F5">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71A64D75">
            <w:pPr>
              <w:snapToGrid w:val="0"/>
              <w:jc w:val="center"/>
              <w:rPr>
                <w:rFonts w:ascii="宋体" w:hAnsi="宋体" w:eastAsia="宋体" w:cs="宋体"/>
                <w:color w:val="auto"/>
                <w:kern w:val="0"/>
                <w:szCs w:val="21"/>
                <w:highlight w:val="none"/>
              </w:rPr>
            </w:pPr>
          </w:p>
        </w:tc>
        <w:tc>
          <w:tcPr>
            <w:tcW w:w="709" w:type="dxa"/>
            <w:vMerge w:val="restart"/>
            <w:noWrap w:val="0"/>
            <w:vAlign w:val="center"/>
          </w:tcPr>
          <w:p w14:paraId="30F8B936">
            <w:pPr>
              <w:adjustRightInd w:val="0"/>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技术</w:t>
            </w:r>
            <w:r>
              <w:rPr>
                <w:rFonts w:hint="eastAsia" w:ascii="宋体" w:hAnsi="宋体" w:eastAsia="宋体" w:cs="宋体"/>
                <w:color w:val="auto"/>
                <w:szCs w:val="21"/>
                <w:highlight w:val="none"/>
              </w:rPr>
              <w:t>部分（</w:t>
            </w:r>
            <w:r>
              <w:rPr>
                <w:rFonts w:hint="eastAsia" w:ascii="宋体" w:hAnsi="宋体" w:eastAsia="宋体" w:cs="宋体"/>
                <w:color w:val="auto"/>
                <w:szCs w:val="21"/>
                <w:highlight w:val="none"/>
                <w:lang w:val="en-US" w:eastAsia="zh-CN"/>
              </w:rPr>
              <w:t>35</w:t>
            </w:r>
            <w:r>
              <w:rPr>
                <w:rFonts w:hint="eastAsia" w:ascii="宋体" w:hAnsi="宋体" w:eastAsia="宋体" w:cs="宋体"/>
                <w:color w:val="auto"/>
                <w:szCs w:val="21"/>
                <w:highlight w:val="none"/>
              </w:rPr>
              <w:t>分）</w:t>
            </w:r>
          </w:p>
        </w:tc>
        <w:tc>
          <w:tcPr>
            <w:tcW w:w="1559" w:type="dxa"/>
            <w:noWrap w:val="0"/>
            <w:vAlign w:val="center"/>
          </w:tcPr>
          <w:p w14:paraId="549F5DD5">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现场作业方案</w:t>
            </w:r>
          </w:p>
        </w:tc>
        <w:tc>
          <w:tcPr>
            <w:tcW w:w="567" w:type="dxa"/>
            <w:noWrap w:val="0"/>
            <w:vAlign w:val="center"/>
          </w:tcPr>
          <w:p w14:paraId="2B86E5F7">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6</w:t>
            </w:r>
          </w:p>
        </w:tc>
        <w:tc>
          <w:tcPr>
            <w:tcW w:w="4484" w:type="dxa"/>
            <w:noWrap w:val="0"/>
            <w:vAlign w:val="center"/>
          </w:tcPr>
          <w:p w14:paraId="21006099">
            <w:pPr>
              <w:bidi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根据供应商提供的零星搬运作业方案（包括响应流程、人员调度、车辆调配、现场指挥机制、物资分类搬运措施、紧急搬运保障、节假日作业保障等）的完整性、合理性和可操作性进行评分：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优得（4-6]分（方案完整、针对性强、可操作性强）；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良得（2-4]分（方案较完整，有部分针对性）；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一般得（0-2]分（方案简单或无针对性）。</w:t>
            </w:r>
          </w:p>
          <w:p w14:paraId="1D80F088">
            <w:pPr>
              <w:bidi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未提供不得分。</w:t>
            </w:r>
          </w:p>
        </w:tc>
      </w:tr>
      <w:tr w14:paraId="09ED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78EC4AA">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4F164D93">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3D8E57A4">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62DDA8C1">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安全生产方案</w:t>
            </w:r>
          </w:p>
        </w:tc>
        <w:tc>
          <w:tcPr>
            <w:tcW w:w="567" w:type="dxa"/>
            <w:noWrap w:val="0"/>
            <w:vAlign w:val="center"/>
          </w:tcPr>
          <w:p w14:paraId="0725653F">
            <w:pPr>
              <w:bidi w:val="0"/>
              <w:jc w:val="center"/>
              <w:rPr>
                <w:rFonts w:hint="default"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6</w:t>
            </w:r>
          </w:p>
        </w:tc>
        <w:tc>
          <w:tcPr>
            <w:tcW w:w="4484" w:type="dxa"/>
            <w:noWrap w:val="0"/>
            <w:vAlign w:val="center"/>
          </w:tcPr>
          <w:p w14:paraId="6B3BB5DF">
            <w:pPr>
              <w:bidi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供应商提供安全生产管理制度、安全培训记录、事故应急预案等材料，</w:t>
            </w:r>
          </w:p>
          <w:p w14:paraId="43222C02">
            <w:pPr>
              <w:bidi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优得（4-6]分（方案完整、针对性强、可操作性强）；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良得（2-4]分（方案较完整，有部分针对性）；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一般得（0-2]分（方案简单或无针对性）。</w:t>
            </w:r>
          </w:p>
          <w:p w14:paraId="311F7552">
            <w:pPr>
              <w:bidi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未提供不得分。</w:t>
            </w:r>
          </w:p>
        </w:tc>
      </w:tr>
      <w:tr w14:paraId="3BE0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796C697">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5C088544">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321D4E93">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639EB89F">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本地化服务承诺</w:t>
            </w:r>
          </w:p>
        </w:tc>
        <w:tc>
          <w:tcPr>
            <w:tcW w:w="567" w:type="dxa"/>
            <w:noWrap w:val="0"/>
            <w:vAlign w:val="center"/>
          </w:tcPr>
          <w:p w14:paraId="52761601">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3</w:t>
            </w:r>
          </w:p>
        </w:tc>
        <w:tc>
          <w:tcPr>
            <w:tcW w:w="4484" w:type="dxa"/>
            <w:noWrap w:val="0"/>
            <w:vAlign w:val="center"/>
          </w:tcPr>
          <w:p w14:paraId="423F5342">
            <w:pPr>
              <w:bidi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投标人提供在荆州市（含荆州区、沙市区、开发区及各县市）设有服务网点、常驻人员、应急响应机制等本地化服务承诺，提供承诺得3分，未提供不得分。</w:t>
            </w:r>
          </w:p>
        </w:tc>
      </w:tr>
      <w:tr w14:paraId="7EC0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942151B">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60EB0617">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735A6767">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218A33FD">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人员保险</w:t>
            </w:r>
          </w:p>
        </w:tc>
        <w:tc>
          <w:tcPr>
            <w:tcW w:w="567" w:type="dxa"/>
            <w:noWrap w:val="0"/>
            <w:vAlign w:val="center"/>
          </w:tcPr>
          <w:p w14:paraId="059B5695">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3</w:t>
            </w:r>
          </w:p>
        </w:tc>
        <w:tc>
          <w:tcPr>
            <w:tcW w:w="4484" w:type="dxa"/>
            <w:noWrap w:val="0"/>
            <w:vAlign w:val="center"/>
          </w:tcPr>
          <w:p w14:paraId="14F06C88">
            <w:pPr>
              <w:bidi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供应商需承诺给本项目相关工作人员购买保额</w:t>
            </w:r>
            <w:r>
              <w:rPr>
                <w:rFonts w:hint="default"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lang w:val="en-US" w:eastAsia="zh-CN"/>
              </w:rPr>
              <w:t>万以上保险，保额在30万元的基础上每增加20万得1分，最高得3分。未提供不得分。</w:t>
            </w:r>
          </w:p>
        </w:tc>
      </w:tr>
      <w:tr w14:paraId="5D27A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3B6FDAA">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00D42084">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4100B934">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493B50AC">
            <w:pPr>
              <w:bidi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服务团队</w:t>
            </w:r>
          </w:p>
        </w:tc>
        <w:tc>
          <w:tcPr>
            <w:tcW w:w="567" w:type="dxa"/>
            <w:noWrap w:val="0"/>
            <w:vAlign w:val="center"/>
          </w:tcPr>
          <w:p w14:paraId="41E32E93">
            <w:pPr>
              <w:bidi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484" w:type="dxa"/>
            <w:noWrap w:val="0"/>
            <w:vAlign w:val="center"/>
          </w:tcPr>
          <w:p w14:paraId="2C69FA50">
            <w:pPr>
              <w:bidi w:val="0"/>
              <w:jc w:val="left"/>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sz w:val="21"/>
                <w:szCs w:val="21"/>
                <w:highlight w:val="none"/>
                <w:lang w:val="en-US" w:eastAsia="zh-CN"/>
              </w:rPr>
              <w:t>供应商为本项目至少配备项目经理1名，搬运服务人员数量3人，项目经理和服务人员不得复用。在4人的基础上每额外提供1人得1.5分，最高得6分。需提供人员身份证及近三个月社保缴纳证明或者劳动合同。</w:t>
            </w:r>
          </w:p>
        </w:tc>
      </w:tr>
      <w:tr w14:paraId="7708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561AA6D7">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4FEED142">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64BC16E8">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175EBA16">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应急服务响应时间</w:t>
            </w:r>
          </w:p>
        </w:tc>
        <w:tc>
          <w:tcPr>
            <w:tcW w:w="567" w:type="dxa"/>
            <w:noWrap w:val="0"/>
            <w:vAlign w:val="center"/>
          </w:tcPr>
          <w:p w14:paraId="347F2292">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4</w:t>
            </w:r>
          </w:p>
        </w:tc>
        <w:tc>
          <w:tcPr>
            <w:tcW w:w="4484" w:type="dxa"/>
            <w:noWrap w:val="0"/>
            <w:vAlign w:val="center"/>
          </w:tcPr>
          <w:p w14:paraId="022CF109">
            <w:pPr>
              <w:bidi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供应商需满足在收到采购人提出的需求工单后，紧急搬运应在1小时内响应、普通搬运应在2小时内响应。需求工单完成时限：工作日8小时完成；非工作日24小时完成。</w:t>
            </w:r>
          </w:p>
          <w:p w14:paraId="45615220">
            <w:pPr>
              <w:bidi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响应时间每提前10分钟得1分，最高得2分，工单完成时限每提前1个小时得1分，最高得2分。需提供承诺函，未提供不得分。</w:t>
            </w:r>
          </w:p>
        </w:tc>
      </w:tr>
      <w:tr w14:paraId="47F63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74D05238">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4C095730">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73C0CC98">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2A3DFBC9">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人员健康承诺</w:t>
            </w:r>
          </w:p>
        </w:tc>
        <w:tc>
          <w:tcPr>
            <w:tcW w:w="567" w:type="dxa"/>
            <w:noWrap w:val="0"/>
            <w:vAlign w:val="center"/>
          </w:tcPr>
          <w:p w14:paraId="6A5A271D">
            <w:pPr>
              <w:bidi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3</w:t>
            </w:r>
          </w:p>
        </w:tc>
        <w:tc>
          <w:tcPr>
            <w:tcW w:w="4484" w:type="dxa"/>
            <w:noWrap w:val="0"/>
            <w:vAlign w:val="center"/>
          </w:tcPr>
          <w:p w14:paraId="7EA15331">
            <w:pPr>
              <w:bidi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1"/>
                <w:szCs w:val="21"/>
                <w:highlight w:val="none"/>
                <w:lang w:val="en-US" w:eastAsia="zh-CN"/>
              </w:rPr>
              <w:t>供应商须提供书面承诺函，承诺从业人员身体健康、无高血压、心脏病等不宜从事体力劳动的疾病。提供承诺得3分，未提供不得分。</w:t>
            </w:r>
          </w:p>
        </w:tc>
      </w:tr>
    </w:tbl>
    <w:p w14:paraId="6C1E3779">
      <w:pPr>
        <w:rPr>
          <w:rFonts w:ascii="Times New Roman" w:hAnsi="Times New Roman" w:eastAsia="宋体" w:cs="Times New Roman"/>
          <w:color w:val="auto"/>
          <w:highlight w:val="none"/>
        </w:rPr>
      </w:pPr>
    </w:p>
    <w:tbl>
      <w:tblPr>
        <w:tblStyle w:val="78"/>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09"/>
        <w:gridCol w:w="709"/>
        <w:gridCol w:w="1559"/>
        <w:gridCol w:w="567"/>
        <w:gridCol w:w="4610"/>
      </w:tblGrid>
      <w:tr w14:paraId="60FD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noWrap w:val="0"/>
            <w:vAlign w:val="center"/>
          </w:tcPr>
          <w:p w14:paraId="77BA02A2">
            <w:pPr>
              <w:snapToGrid w:val="0"/>
              <w:jc w:val="center"/>
              <w:rPr>
                <w:rFonts w:ascii="宋体" w:hAnsi="宋体" w:eastAsia="宋体" w:cs="宋体"/>
                <w:color w:val="auto"/>
                <w:kern w:val="0"/>
                <w:szCs w:val="21"/>
                <w:highlight w:val="none"/>
              </w:rPr>
            </w:pPr>
          </w:p>
        </w:tc>
        <w:tc>
          <w:tcPr>
            <w:tcW w:w="709" w:type="dxa"/>
            <w:noWrap w:val="0"/>
            <w:vAlign w:val="top"/>
          </w:tcPr>
          <w:p w14:paraId="3A98476E">
            <w:pPr>
              <w:snapToGrid w:val="0"/>
              <w:jc w:val="center"/>
              <w:rPr>
                <w:rFonts w:ascii="宋体" w:hAnsi="宋体" w:eastAsia="宋体" w:cs="宋体"/>
                <w:color w:val="auto"/>
                <w:kern w:val="0"/>
                <w:szCs w:val="21"/>
                <w:highlight w:val="none"/>
              </w:rPr>
            </w:pPr>
          </w:p>
        </w:tc>
        <w:tc>
          <w:tcPr>
            <w:tcW w:w="709" w:type="dxa"/>
            <w:noWrap w:val="0"/>
            <w:vAlign w:val="center"/>
          </w:tcPr>
          <w:p w14:paraId="3CFE75FF">
            <w:pPr>
              <w:adjustRightInd w:val="0"/>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rPr>
              <w:t>价格部分（</w:t>
            </w:r>
            <w:r>
              <w:rPr>
                <w:rFonts w:hint="eastAsia" w:ascii="宋体" w:hAnsi="宋体" w:eastAsia="宋体" w:cs="宋体"/>
                <w:color w:val="auto"/>
                <w:szCs w:val="21"/>
                <w:highlight w:val="none"/>
                <w:lang w:val="en-US" w:eastAsia="zh-CN"/>
              </w:rPr>
              <w:t>60</w:t>
            </w:r>
            <w:r>
              <w:rPr>
                <w:rFonts w:hint="eastAsia" w:ascii="宋体" w:hAnsi="宋体" w:eastAsia="宋体" w:cs="宋体"/>
                <w:color w:val="auto"/>
                <w:szCs w:val="21"/>
                <w:highlight w:val="none"/>
              </w:rPr>
              <w:t>分）</w:t>
            </w:r>
          </w:p>
        </w:tc>
        <w:tc>
          <w:tcPr>
            <w:tcW w:w="1559" w:type="dxa"/>
            <w:noWrap w:val="0"/>
            <w:vAlign w:val="center"/>
          </w:tcPr>
          <w:p w14:paraId="32D1C535">
            <w:pPr>
              <w:jc w:val="center"/>
              <w:rPr>
                <w:rFonts w:ascii="宋体" w:hAnsi="宋体" w:eastAsia="宋体" w:cs="宋体"/>
                <w:color w:val="auto"/>
                <w:kern w:val="0"/>
                <w:sz w:val="22"/>
                <w:szCs w:val="22"/>
                <w:highlight w:val="none"/>
                <w:lang w:bidi="ar"/>
              </w:rPr>
            </w:pPr>
            <w:r>
              <w:rPr>
                <w:rFonts w:hint="eastAsia" w:ascii="宋体" w:hAnsi="宋体" w:eastAsia="宋体" w:cs="宋体"/>
                <w:b/>
                <w:bCs/>
                <w:i w:val="0"/>
                <w:iCs w:val="0"/>
                <w:color w:val="000000"/>
                <w:kern w:val="0"/>
                <w:sz w:val="22"/>
                <w:szCs w:val="22"/>
                <w:u w:val="none"/>
                <w:lang w:val="en-US" w:eastAsia="zh-CN" w:bidi="ar"/>
              </w:rPr>
              <w:t>经修正的直线内插法</w:t>
            </w:r>
          </w:p>
        </w:tc>
        <w:tc>
          <w:tcPr>
            <w:tcW w:w="567" w:type="dxa"/>
            <w:noWrap w:val="0"/>
            <w:vAlign w:val="center"/>
          </w:tcPr>
          <w:p w14:paraId="3369FC1F">
            <w:pPr>
              <w:jc w:val="center"/>
              <w:rPr>
                <w:rFonts w:hint="default" w:ascii="宋体" w:hAnsi="宋体" w:eastAsia="宋体" w:cs="宋体"/>
                <w:color w:val="auto"/>
                <w:kern w:val="0"/>
                <w:sz w:val="22"/>
                <w:szCs w:val="22"/>
                <w:highlight w:val="none"/>
                <w:lang w:val="en-US" w:eastAsia="zh-CN" w:bidi="ar"/>
              </w:rPr>
            </w:pPr>
            <w:r>
              <w:rPr>
                <w:rFonts w:hint="eastAsia" w:ascii="宋体" w:hAnsi="宋体" w:cs="宋体"/>
                <w:color w:val="auto"/>
                <w:szCs w:val="21"/>
                <w:highlight w:val="none"/>
                <w:lang w:val="en-US" w:eastAsia="zh-CN"/>
              </w:rPr>
              <w:t>60</w:t>
            </w:r>
          </w:p>
        </w:tc>
        <w:tc>
          <w:tcPr>
            <w:tcW w:w="4610" w:type="dxa"/>
            <w:noWrap w:val="0"/>
            <w:vAlign w:val="center"/>
          </w:tcPr>
          <w:p w14:paraId="6883B22C">
            <w:pPr>
              <w:jc w:val="left"/>
              <w:rPr>
                <w:rFonts w:hint="eastAsia" w:ascii="宋体" w:hAnsi="宋体" w:eastAsia="宋体" w:cs="宋体"/>
                <w:color w:val="auto"/>
                <w:kern w:val="0"/>
                <w:sz w:val="22"/>
                <w:szCs w:val="22"/>
                <w:highlight w:val="none"/>
                <w:lang w:eastAsia="zh-CN" w:bidi="ar"/>
              </w:rPr>
            </w:pPr>
            <w:r>
              <w:rPr>
                <w:rFonts w:hint="eastAsia" w:ascii="宋体" w:hAnsi="宋体" w:eastAsia="宋体" w:cs="宋体"/>
                <w:b/>
                <w:bCs/>
                <w:i w:val="0"/>
                <w:iCs w:val="0"/>
                <w:color w:val="000000"/>
                <w:kern w:val="0"/>
                <w:sz w:val="22"/>
                <w:szCs w:val="22"/>
                <w:u w:val="none"/>
                <w:lang w:val="en-US" w:eastAsia="zh-CN" w:bidi="ar"/>
              </w:rPr>
              <w:t>价格分计算采用经修正的直线内插法：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1.价格得分=（（有效最高报价+有效最低报价）-响应报价)/有效最高报价*</w:t>
            </w:r>
            <w:r>
              <w:rPr>
                <w:rFonts w:hint="eastAsia" w:ascii="宋体" w:hAnsi="宋体" w:eastAsia="宋体" w:cs="宋体"/>
                <w:szCs w:val="21"/>
                <w:highlight w:val="none"/>
                <w:lang w:val="en-US" w:eastAsia="zh-CN"/>
              </w:rPr>
              <w:t>分值</w:t>
            </w: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2.关于异常报价：所有有效响应报价算术平均值，正偏离20%（含）以上、负偏离30%（含）以上为异常价格。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3.有效最高报价和有效最低报价为剔除异常报价后的所有报价中的最高、最低报价；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4.异常报价供应商价格得分同样按以上计算公式计算；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5.若剔除异常报价后剩余报价少于2个的，则不再作为异常报价认定，直接以所有供应商报价中的最高报价和最低报价代入计算公式计算；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6.价格得分最高得分为满分，最低得分为0分。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价格评审以该供应商响应报价的“</w:t>
            </w:r>
            <w:r>
              <w:rPr>
                <w:rFonts w:hint="eastAsia" w:ascii="宋体" w:hAnsi="宋体" w:eastAsia="宋体" w:cs="宋体"/>
                <w:b/>
                <w:bCs/>
                <w:i w:val="0"/>
                <w:iCs w:val="0"/>
                <w:color w:val="000000"/>
                <w:kern w:val="0"/>
                <w:sz w:val="22"/>
                <w:szCs w:val="22"/>
                <w:u w:val="none"/>
                <w:lang w:val="en-US" w:eastAsia="zh-CN" w:bidi="ar"/>
              </w:rPr>
              <w:t>不含税总价</w:t>
            </w:r>
            <w:r>
              <w:rPr>
                <w:rFonts w:hint="eastAsia" w:ascii="宋体" w:hAnsi="宋体" w:eastAsia="宋体" w:cs="宋体"/>
                <w:i w:val="0"/>
                <w:iCs w:val="0"/>
                <w:color w:val="000000"/>
                <w:kern w:val="0"/>
                <w:sz w:val="22"/>
                <w:szCs w:val="22"/>
                <w:u w:val="none"/>
                <w:lang w:val="en-US" w:eastAsia="zh-CN" w:bidi="ar"/>
              </w:rPr>
              <w:t>”为评审依据</w:t>
            </w:r>
            <w:r>
              <w:rPr>
                <w:rFonts w:hint="eastAsia" w:ascii="宋体" w:hAnsi="宋体" w:eastAsia="宋体" w:cs="宋体"/>
                <w:color w:val="auto"/>
                <w:kern w:val="0"/>
                <w:sz w:val="22"/>
                <w:szCs w:val="22"/>
                <w:highlight w:val="none"/>
                <w:lang w:eastAsia="zh-CN" w:bidi="ar"/>
              </w:rPr>
              <w:t>。</w:t>
            </w:r>
          </w:p>
          <w:p w14:paraId="3D6C4694">
            <w:pPr>
              <w:jc w:val="left"/>
              <w:rPr>
                <w:rFonts w:hint="eastAsia" w:ascii="宋体" w:hAnsi="宋体" w:eastAsia="宋体" w:cs="宋体"/>
                <w:color w:val="auto"/>
                <w:kern w:val="0"/>
                <w:sz w:val="22"/>
                <w:szCs w:val="22"/>
                <w:highlight w:val="none"/>
                <w:lang w:eastAsia="zh-CN" w:bidi="ar"/>
              </w:rPr>
            </w:pPr>
          </w:p>
          <w:p w14:paraId="71263853">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可能低于成本或者影响履约的异常低价判定及处理程序：</w:t>
            </w:r>
          </w:p>
          <w:p w14:paraId="773F27EC">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出现下列情形之一的，评审委员会应当启动异常低价响应审查程序：</w:t>
            </w:r>
          </w:p>
          <w:p w14:paraId="40B727FA">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1.响应报价低于全部通过符合性审查供应商响应报价平均值50%的，即响应报价&lt;全部通过符合性审查供应商响应报价平均值×50%；</w:t>
            </w:r>
          </w:p>
          <w:p w14:paraId="5C5EEE37">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2.响应报价低于通过符合性审查且报价次低供应商响应报价50%的，即响应报价&lt;通过符合性审查且报价次低供应商响应报价×50%；</w:t>
            </w:r>
          </w:p>
          <w:p w14:paraId="58ECFB83">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3.响应报价低于采购项目最高限价45%的，即响应报价&lt;采购项目最高限价×45%；</w:t>
            </w:r>
          </w:p>
          <w:p w14:paraId="100F3077">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4.其他评审委员会认为供应商报价过低，有可能影响产品质量或者不能诚信履约的情形。</w:t>
            </w:r>
          </w:p>
          <w:p w14:paraId="7722B30F">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审委员会启动异常低价响应审查后，应当要求相关供应商在合理的时间内提供书面说明及必要的证明材料，对响应价格作出解释。书面说明、证明材料主要是项目具体成本测算等与报价合理性相关的说明、材料。</w:t>
            </w:r>
          </w:p>
          <w:p w14:paraId="2004878D">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1"/>
                <w:szCs w:val="21"/>
                <w:highlight w:val="none"/>
                <w:lang w:bidi="ar"/>
              </w:rPr>
              <w:t>评审委员会应当结合同类产品在主要电商平台的价格、该行业当地薪资水平等情况，依据专业经验对报价合理性进行判断。如果响应供应商不提供书面说明、证明材料，或者提供的书面说明、证明材料不能证明其报价合理性的，应当将其作为无效响应处理。</w:t>
            </w:r>
          </w:p>
        </w:tc>
      </w:tr>
      <w:tr w14:paraId="2175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098A57ED">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3.2.2</w:t>
            </w:r>
          </w:p>
        </w:tc>
        <w:tc>
          <w:tcPr>
            <w:tcW w:w="709" w:type="dxa"/>
            <w:vAlign w:val="center"/>
          </w:tcPr>
          <w:p w14:paraId="76BDFC05">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评分计算原则</w:t>
            </w:r>
          </w:p>
        </w:tc>
        <w:tc>
          <w:tcPr>
            <w:tcW w:w="7445" w:type="dxa"/>
            <w:gridSpan w:val="4"/>
            <w:vAlign w:val="center"/>
          </w:tcPr>
          <w:p w14:paraId="176FD422">
            <w:pPr>
              <w:snapToGrid w:val="0"/>
              <w:rPr>
                <w:rFonts w:cs="宋体" w:asciiTheme="minorEastAsia" w:hAnsiTheme="minorEastAsia" w:eastAsiaTheme="minorEastAsia"/>
                <w:color w:val="auto"/>
                <w:kern w:val="0"/>
                <w:szCs w:val="21"/>
                <w:highlight w:val="none"/>
              </w:rPr>
            </w:pPr>
            <w:r>
              <w:rPr>
                <w:rFonts w:hint="eastAsia" w:ascii="Times New Roman" w:hAnsi="宋体" w:eastAsia="宋体" w:cs="Times New Roman"/>
                <w:color w:val="auto"/>
                <w:highlight w:val="none"/>
              </w:rPr>
              <w:t>评审过程涉及得分计算的，最终结果一律保留两位小数，小数点后第三位“四舍五入”。</w:t>
            </w:r>
          </w:p>
        </w:tc>
      </w:tr>
      <w:tr w14:paraId="3B4E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18FB3C90">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3.4.1</w:t>
            </w:r>
          </w:p>
        </w:tc>
        <w:tc>
          <w:tcPr>
            <w:tcW w:w="709" w:type="dxa"/>
            <w:vAlign w:val="center"/>
          </w:tcPr>
          <w:p w14:paraId="06FBE179">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综合评分相同的处理原则</w:t>
            </w:r>
          </w:p>
        </w:tc>
        <w:tc>
          <w:tcPr>
            <w:tcW w:w="7445" w:type="dxa"/>
            <w:gridSpan w:val="4"/>
            <w:vAlign w:val="center"/>
          </w:tcPr>
          <w:p w14:paraId="281173A7">
            <w:pPr>
              <w:snapToGrid w:val="0"/>
              <w:rPr>
                <w:rFonts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如综合得分排名相同，评审委员会则优先选取价格较低的供应商为成交候选人；出现价格得分相同时，评审委员会按照技术得分，由高到低依次推荐成交候选人。</w:t>
            </w:r>
          </w:p>
        </w:tc>
      </w:tr>
      <w:tr w14:paraId="051E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567" w:type="dxa"/>
            <w:vAlign w:val="center"/>
          </w:tcPr>
          <w:p w14:paraId="0DD544CD">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3.4.2</w:t>
            </w:r>
          </w:p>
        </w:tc>
        <w:tc>
          <w:tcPr>
            <w:tcW w:w="709" w:type="dxa"/>
            <w:vAlign w:val="center"/>
          </w:tcPr>
          <w:p w14:paraId="79BC9301">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成交候选人推荐原则</w:t>
            </w:r>
          </w:p>
        </w:tc>
        <w:tc>
          <w:tcPr>
            <w:tcW w:w="7445" w:type="dxa"/>
            <w:gridSpan w:val="4"/>
            <w:vAlign w:val="center"/>
          </w:tcPr>
          <w:p w14:paraId="4A0EA781">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【详见第二章供应商须知6.4条款】</w:t>
            </w:r>
          </w:p>
        </w:tc>
      </w:tr>
      <w:tr w14:paraId="2DE4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8721" w:type="dxa"/>
            <w:gridSpan w:val="6"/>
            <w:vAlign w:val="center"/>
          </w:tcPr>
          <w:p w14:paraId="509A7AFB">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1.首台（套）重大技术装备供应商参与采购活动，仅需提交首台（套）相关证明材料，即视同满足应用业绩等资格要求。</w:t>
            </w:r>
          </w:p>
          <w:p w14:paraId="1E47EFF3">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2.首台（套）重大技术装备供应商参与采购活动，仅需提交首台（套）相关证明材料，即视同满足市场占有率、应用业绩等评审标准。</w:t>
            </w:r>
          </w:p>
          <w:p w14:paraId="38F4DAFC">
            <w:pPr>
              <w:widowControl w:val="0"/>
              <w:snapToGrid w:val="0"/>
              <w:ind w:left="14" w:firstLine="0" w:firstLineChars="0"/>
              <w:jc w:val="both"/>
              <w:rPr>
                <w:rFonts w:cs="Times New Roman" w:asciiTheme="minorEastAsia" w:hAnsiTheme="minorEastAsia" w:eastAsiaTheme="minorEastAsia"/>
                <w:color w:val="auto"/>
                <w:kern w:val="2"/>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3.使用首台（套）重大技术装备生产制造的产品，首台（套）等相关证明材料可视为“自主可控”评审项的评审依据。</w:t>
            </w:r>
          </w:p>
        </w:tc>
      </w:tr>
    </w:tbl>
    <w:p w14:paraId="53211D8E">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80" w:name="_Toc25994"/>
      <w:bookmarkStart w:id="481" w:name="_Toc450489345"/>
      <w:bookmarkStart w:id="482" w:name="_Toc20275"/>
      <w:r>
        <w:rPr>
          <w:rFonts w:hint="eastAsia" w:asciiTheme="minorEastAsia" w:hAnsiTheme="minorEastAsia" w:eastAsiaTheme="minorEastAsia"/>
          <w:color w:val="auto"/>
          <w:sz w:val="28"/>
          <w:szCs w:val="28"/>
          <w:highlight w:val="none"/>
        </w:rPr>
        <w:t>评审方法</w:t>
      </w:r>
      <w:bookmarkEnd w:id="480"/>
      <w:bookmarkEnd w:id="481"/>
      <w:bookmarkEnd w:id="482"/>
    </w:p>
    <w:p w14:paraId="70412B79">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询比项目评审采用综合评估法。评审委员会对满足询比文件实质要求的响应文件，根据本章第2.2款规定的评分因素和评分标准进行评分，按照综合评分由高到低的顺序推荐成交候选人，但响应报价低于其成本的除外。</w:t>
      </w:r>
    </w:p>
    <w:p w14:paraId="78996B53">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83" w:name="_Toc561"/>
      <w:bookmarkStart w:id="484" w:name="_Toc450489346"/>
      <w:bookmarkStart w:id="485" w:name="_Toc20443"/>
      <w:r>
        <w:rPr>
          <w:rFonts w:hint="eastAsia" w:asciiTheme="minorEastAsia" w:hAnsiTheme="minorEastAsia" w:eastAsiaTheme="minorEastAsia"/>
          <w:color w:val="auto"/>
          <w:sz w:val="28"/>
          <w:szCs w:val="28"/>
          <w:highlight w:val="none"/>
        </w:rPr>
        <w:t>评审标准</w:t>
      </w:r>
      <w:bookmarkEnd w:id="483"/>
      <w:bookmarkEnd w:id="484"/>
      <w:bookmarkEnd w:id="485"/>
    </w:p>
    <w:p w14:paraId="458895E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86" w:name="_Toc30268"/>
      <w:bookmarkStart w:id="487" w:name="_Toc10132"/>
      <w:bookmarkStart w:id="488" w:name="_Toc450489347"/>
      <w:r>
        <w:rPr>
          <w:rFonts w:hint="eastAsia" w:asciiTheme="minorEastAsia" w:hAnsiTheme="minorEastAsia" w:eastAsiaTheme="minorEastAsia"/>
          <w:color w:val="auto"/>
          <w:sz w:val="24"/>
          <w:szCs w:val="24"/>
          <w:highlight w:val="none"/>
        </w:rPr>
        <w:t>2.1初步评审标准</w:t>
      </w:r>
      <w:bookmarkEnd w:id="486"/>
      <w:bookmarkEnd w:id="487"/>
      <w:bookmarkEnd w:id="488"/>
    </w:p>
    <w:p w14:paraId="396741F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初步评审标准：见评审办法前附表。</w:t>
      </w:r>
    </w:p>
    <w:p w14:paraId="0603DB5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89" w:name="_Toc23693"/>
      <w:bookmarkStart w:id="490" w:name="_Toc27777"/>
      <w:bookmarkStart w:id="491" w:name="_Toc450489348"/>
      <w:r>
        <w:rPr>
          <w:rFonts w:hint="eastAsia" w:asciiTheme="minorEastAsia" w:hAnsiTheme="minorEastAsia" w:eastAsiaTheme="minorEastAsia"/>
          <w:color w:val="auto"/>
          <w:sz w:val="24"/>
          <w:szCs w:val="24"/>
          <w:highlight w:val="none"/>
        </w:rPr>
        <w:t>2.2详细评审标准</w:t>
      </w:r>
      <w:bookmarkEnd w:id="489"/>
      <w:bookmarkEnd w:id="490"/>
      <w:bookmarkEnd w:id="491"/>
    </w:p>
    <w:p w14:paraId="17F604E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详细评审标准：见评审办法前附表。</w:t>
      </w:r>
    </w:p>
    <w:p w14:paraId="401A1EB6">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92" w:name="_Toc450489349"/>
      <w:bookmarkStart w:id="493" w:name="_Toc16620"/>
      <w:bookmarkStart w:id="494" w:name="_Toc28139"/>
      <w:r>
        <w:rPr>
          <w:rFonts w:hint="eastAsia" w:asciiTheme="minorEastAsia" w:hAnsiTheme="minorEastAsia" w:eastAsiaTheme="minorEastAsia"/>
          <w:color w:val="auto"/>
          <w:sz w:val="28"/>
          <w:szCs w:val="28"/>
          <w:highlight w:val="none"/>
        </w:rPr>
        <w:t>评审程序</w:t>
      </w:r>
      <w:bookmarkEnd w:id="492"/>
      <w:bookmarkEnd w:id="493"/>
      <w:bookmarkEnd w:id="494"/>
    </w:p>
    <w:p w14:paraId="254AD760">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95" w:name="_Toc8908"/>
      <w:bookmarkStart w:id="496" w:name="_Toc450489350"/>
      <w:bookmarkStart w:id="497" w:name="_Toc27341"/>
      <w:r>
        <w:rPr>
          <w:rFonts w:hint="eastAsia" w:asciiTheme="minorEastAsia" w:hAnsiTheme="minorEastAsia" w:eastAsiaTheme="minorEastAsia"/>
          <w:color w:val="auto"/>
          <w:sz w:val="24"/>
          <w:szCs w:val="24"/>
          <w:highlight w:val="none"/>
        </w:rPr>
        <w:t>3.1初步评审</w:t>
      </w:r>
      <w:bookmarkEnd w:id="495"/>
      <w:bookmarkEnd w:id="496"/>
      <w:bookmarkEnd w:id="497"/>
    </w:p>
    <w:p w14:paraId="0912ACC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3.1.1评审委员会根据本章第2.1款规定的标准对响应文件进行初步评审。有一项不符合评审标准的，评审委员会应当否决其响应。</w:t>
      </w:r>
    </w:p>
    <w:p w14:paraId="059A381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3.1.2供应商有以下情形之一的，评审委员会应当否决其响应：</w:t>
      </w:r>
    </w:p>
    <w:p w14:paraId="244C62C9">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（1）第二章“供应商须知”第1.8款规定的任何一种情形的；</w:t>
      </w:r>
    </w:p>
    <w:p w14:paraId="77353ACD">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（2）响应文件未按照询比文件要求盖章和签字的；</w:t>
      </w:r>
    </w:p>
    <w:p w14:paraId="2171EBEC">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（3）没有按照询比文件要求提供响应担保或者所提供的响应担保有瑕疵的；</w:t>
      </w:r>
    </w:p>
    <w:p w14:paraId="0D60D265">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（4）响应供应商提交两份以上不同内容的响应文件，或在一份响应文件中有两个或多个报价，且未声明哪一个为最终报价的，但按询比文件规定提交备选响应方案的除外；</w:t>
      </w:r>
    </w:p>
    <w:p w14:paraId="4A3C4929">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（5）允许联合体响应的，联合体没有提交共同响应协议；</w:t>
      </w:r>
    </w:p>
    <w:p w14:paraId="27679027">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（6）响应供应商名称或组织结构与资格预审时不一致且未提供有效证明的；</w:t>
      </w:r>
    </w:p>
    <w:p w14:paraId="7C4FF0B7">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（7）响应供应商以他人名义响应或者响应供应商经资格审查不符合资格条件的；</w:t>
      </w:r>
    </w:p>
    <w:p w14:paraId="48D8DD20">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（8）响应有效期不满足询比文件要求或响应文件载明的询比项目完成期限超过询比文件规定的期限的；</w:t>
      </w:r>
    </w:p>
    <w:p w14:paraId="608F74CE">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（9）响应供应商报价低于成本价或严重影响履约，且供应商不能按评审委员会要求对其报价进行合理说明或提供相关证明材料的；</w:t>
      </w:r>
    </w:p>
    <w:p w14:paraId="611590BF">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（10）响应供应商报价高于询比文件设定的最高响应限价的；</w:t>
      </w:r>
    </w:p>
    <w:p w14:paraId="7DB3ABA2">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（11）明显不符合技术规格、技术标准的要求；</w:t>
      </w:r>
    </w:p>
    <w:p w14:paraId="21501EF4">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（12）响应文件载明的货物包装方式、检验标准和方法等不符合询比文件的要求；</w:t>
      </w:r>
    </w:p>
    <w:p w14:paraId="06EC5B94">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（13）响应文件附有采购人不能接受的条件；</w:t>
      </w:r>
    </w:p>
    <w:p w14:paraId="4AD5C653">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（14）响应文件未能对询比文件中提出的实质性要求和条件做出实质性响应的；</w:t>
      </w:r>
    </w:p>
    <w:p w14:paraId="0B5126A8">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（15）响应供应商有串通响应、弄虚作假、行贿等违法行为的；</w:t>
      </w:r>
    </w:p>
    <w:p w14:paraId="5F1C003F">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（16）响应供应商拒不按照要求对响应文件进行澄清、说明或者补正的；</w:t>
      </w:r>
    </w:p>
    <w:p w14:paraId="1CB2BF2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（17）询比文件明确规定可以否决响应的其他情形。</w:t>
      </w:r>
    </w:p>
    <w:p w14:paraId="36BA643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3.1.3评审过程中，评审委员会收到低于成本价响应的书面质疑材料、发现供应商的综合报价明显低于其他响应报价或者设有标底时明显低于标底，认为响应报价可能低于其个别成本的，应当书面要求该供应商做出书面说明并提供相关证明材料。供应商不能合理说明或者不能提供相应证明材料的，由评审委员会认定该供应商以低于成本报价响应，评审委员会应当否决其响应。</w:t>
      </w:r>
    </w:p>
    <w:p w14:paraId="6953F46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3.1.4响应报价有算术错误的，评审委员会按照以下原则对响应报价进行修正，修正的价格经供应商书面确认后具有约束力。供应商不接受修正价格的，评审委员会应当否决其响应。</w:t>
      </w:r>
    </w:p>
    <w:p w14:paraId="1A32B038">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（1）响应文件中的大写金额与小写金额不一致的，以大写金额为准；</w:t>
      </w:r>
    </w:p>
    <w:p w14:paraId="5672EDAC">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（2）总价金额与根据单价计算出的结果不一致的，以单价金额为准修正总价，但单价金额小数点有明显错误的除外。</w:t>
      </w:r>
    </w:p>
    <w:p w14:paraId="11D3B2E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98" w:name="_Toc4450"/>
      <w:bookmarkStart w:id="499" w:name="_Toc23485"/>
      <w:bookmarkStart w:id="500" w:name="_Toc450489351"/>
      <w:r>
        <w:rPr>
          <w:rFonts w:hint="eastAsia" w:asciiTheme="minorEastAsia" w:hAnsiTheme="minorEastAsia" w:eastAsiaTheme="minorEastAsia"/>
          <w:color w:val="auto"/>
          <w:sz w:val="24"/>
          <w:szCs w:val="24"/>
          <w:highlight w:val="none"/>
        </w:rPr>
        <w:t>3.2详细评审</w:t>
      </w:r>
      <w:bookmarkEnd w:id="498"/>
      <w:bookmarkEnd w:id="499"/>
      <w:bookmarkEnd w:id="500"/>
    </w:p>
    <w:p w14:paraId="0A020A0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3.2.1</w:t>
      </w:r>
      <w:r>
        <w:rPr>
          <w:rFonts w:hint="eastAsia" w:asciiTheme="minorEastAsia" w:hAnsiTheme="minorEastAsia" w:eastAsiaTheme="minorEastAsia"/>
          <w:color w:val="auto"/>
          <w:highlight w:val="none"/>
        </w:rPr>
        <w:t>评审委员会按照本章第2.2款规定的评审因素和量化标准进行评分，并计算出综合评估得分。</w:t>
      </w:r>
    </w:p>
    <w:p w14:paraId="22B4CA2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3.2.2评分分值计算原则上保留小数点后两位，小数点后第三位“四舍五入”。另有规定的，见评审办法前附表。</w:t>
      </w:r>
    </w:p>
    <w:p w14:paraId="14D0BC5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01" w:name="_Toc450489352"/>
      <w:bookmarkStart w:id="502" w:name="_Toc20826"/>
      <w:bookmarkStart w:id="503" w:name="_Toc447265561"/>
      <w:bookmarkStart w:id="504" w:name="_Toc447265275"/>
      <w:bookmarkStart w:id="505" w:name="_Toc1394"/>
      <w:bookmarkStart w:id="506" w:name="_Toc22952"/>
      <w:bookmarkStart w:id="507" w:name="_Toc450489353"/>
      <w:bookmarkStart w:id="508" w:name="_Toc13432"/>
      <w:r>
        <w:rPr>
          <w:rFonts w:hint="eastAsia" w:asciiTheme="minorEastAsia" w:hAnsiTheme="minorEastAsia" w:eastAsiaTheme="minorEastAsia"/>
          <w:color w:val="auto"/>
          <w:sz w:val="24"/>
          <w:szCs w:val="24"/>
          <w:highlight w:val="none"/>
        </w:rPr>
        <w:t>3.3响应文件的澄清</w:t>
      </w:r>
      <w:bookmarkEnd w:id="501"/>
      <w:bookmarkEnd w:id="502"/>
      <w:bookmarkEnd w:id="503"/>
      <w:bookmarkEnd w:id="504"/>
      <w:bookmarkEnd w:id="505"/>
    </w:p>
    <w:p w14:paraId="7A91B22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3.3.1在评审过程中，评审委员会可以书面形式要求供应商对响应文件中含义不明确、对同类问题表述不一致或者有明显文字和计算错误的内容进行必要的澄清、说明或对响应文件中的细微偏差进行补正。评审委员会不接受供应商主动提出的澄清、说明或者补正。</w:t>
      </w:r>
    </w:p>
    <w:p w14:paraId="287D1AD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3.3.2细微偏差是指响应文件在实质上响应询比文件要求，但个别地方存在漏项或者提供了不完整的技术信息和数据等情况，并且补正这些遗漏或者不完整不会对其他供应商造成不公平的结果。细微偏差不影响响应文件的有效性。</w:t>
      </w:r>
    </w:p>
    <w:p w14:paraId="0DC430A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3.3.3澄清、说明和补正不得改变响应文件的实质性内容（算术性错误修正的除外）。供应商的书面澄清、说明和补正属于响应文件的组成部分。</w:t>
      </w:r>
    </w:p>
    <w:p w14:paraId="4D5470B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3.3.4评审委员会对供应商提交的澄清、说明或者补正有疑问的，可以要求供应商进一步澄清、说明或者补正，直至满足评审委员会的要求。</w:t>
      </w:r>
    </w:p>
    <w:p w14:paraId="07696B4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3.3.5</w:t>
      </w:r>
      <w:r>
        <w:rPr>
          <w:rFonts w:hint="eastAsia" w:asciiTheme="minorEastAsia" w:hAnsiTheme="minorEastAsia" w:eastAsiaTheme="minorEastAsia"/>
          <w:color w:val="auto"/>
          <w:highlight w:val="none"/>
        </w:rPr>
        <w:t>评审委员会必要时可以要求供应商递交有关证明和证件的原件，以便核验。</w:t>
      </w:r>
    </w:p>
    <w:p w14:paraId="224050D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3.4成交候选人推荐原则</w:t>
      </w:r>
      <w:bookmarkEnd w:id="506"/>
      <w:bookmarkEnd w:id="507"/>
      <w:bookmarkEnd w:id="508"/>
    </w:p>
    <w:p w14:paraId="303A60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3.4.1评审委员会按照综合评分由高到低的顺序推荐成交候选人。综合评分相同的，处理原则见评审办法前附表。</w:t>
      </w:r>
    </w:p>
    <w:p w14:paraId="5F3C28C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3.4.2成交候选人推荐原则见评审办法前附表。</w:t>
      </w:r>
    </w:p>
    <w:p w14:paraId="16E1D81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09" w:name="_Toc450489354"/>
      <w:bookmarkStart w:id="510" w:name="_Toc32250"/>
      <w:bookmarkStart w:id="511" w:name="_Toc26034"/>
      <w:r>
        <w:rPr>
          <w:rFonts w:hint="eastAsia" w:asciiTheme="minorEastAsia" w:hAnsiTheme="minorEastAsia" w:eastAsiaTheme="minorEastAsia"/>
          <w:color w:val="auto"/>
          <w:sz w:val="24"/>
          <w:szCs w:val="24"/>
          <w:highlight w:val="none"/>
        </w:rPr>
        <w:t>3.5评审结果</w:t>
      </w:r>
      <w:bookmarkEnd w:id="509"/>
      <w:bookmarkEnd w:id="510"/>
      <w:bookmarkEnd w:id="511"/>
    </w:p>
    <w:p w14:paraId="63AE9EA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3.5.1评审委员会完成评审后，应当向采购人提交书面评审报告。评审委员会分组评审的，应当形成统一、完整的评审报告。</w:t>
      </w:r>
    </w:p>
    <w:p w14:paraId="5130954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3.5.2评审报告应当包括下列内容：</w:t>
      </w:r>
    </w:p>
    <w:p w14:paraId="0E505E36">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评审概况（包括评审日程、评审方法和标准、评审委员会名单、响应文件开启记录等评审基本情况）；</w:t>
      </w:r>
    </w:p>
    <w:p w14:paraId="30F8C4E0">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资格审查结果及技术、服务、商务和价格比较；</w:t>
      </w:r>
    </w:p>
    <w:p w14:paraId="5F2FFA0C">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评审专家评分原始记录表和否决响应的情况说明；</w:t>
      </w:r>
    </w:p>
    <w:p w14:paraId="44B1605E">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响应供应商的排名顺序及推荐的成交候选人；</w:t>
      </w:r>
    </w:p>
    <w:p w14:paraId="62F7A98F">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签订合同前要处理的事宜；</w:t>
      </w:r>
    </w:p>
    <w:p w14:paraId="4B170014">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其他重要情况说明（澄清、说明、异常低价响应、严重不平衡报价分析、评分畸高畸低、竞争性分析、补正事项纪要等）；</w:t>
      </w:r>
    </w:p>
    <w:p w14:paraId="5E213A8A">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sectPr>
          <w:footerReference r:id="rId9" w:type="first"/>
          <w:headerReference r:id="rId7" w:type="default"/>
          <w:footerReference r:id="rId8" w:type="default"/>
          <w:pgSz w:w="11906" w:h="16838"/>
          <w:pgMar w:top="1440" w:right="1800" w:bottom="1440" w:left="1800" w:header="851" w:footer="992" w:gutter="0"/>
          <w:cols w:space="425" w:num="1"/>
          <w:docGrid w:type="lines" w:linePitch="312" w:charSpace="0"/>
        </w:sectPr>
      </w:pPr>
      <w:r>
        <w:rPr>
          <w:rFonts w:hint="eastAsia" w:cs="宋体" w:asciiTheme="minorEastAsia" w:hAnsiTheme="minorEastAsia" w:eastAsiaTheme="minorEastAsia"/>
          <w:color w:val="auto"/>
          <w:szCs w:val="21"/>
          <w:highlight w:val="none"/>
        </w:rPr>
        <w:t xml:space="preserve">评审委员会成员名单及本人签字、拒绝在评审报告上签字的评审委员会成员名单及其陈述的不同意见和理由。 </w:t>
      </w:r>
    </w:p>
    <w:bookmarkEnd w:id="475"/>
    <w:bookmarkEnd w:id="476"/>
    <w:bookmarkEnd w:id="477"/>
    <w:bookmarkEnd w:id="478"/>
    <w:bookmarkEnd w:id="479"/>
    <w:p w14:paraId="34737D25">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需要补充的其他内容</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202E72A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需要补充的其他内容：见供应商须知前附表。</w:t>
      </w:r>
    </w:p>
    <w:p w14:paraId="041D9235">
      <w:pPr>
        <w:pStyle w:val="101"/>
        <w:numPr>
          <w:ilvl w:val="0"/>
          <w:numId w:val="38"/>
        </w:numPr>
        <w:spacing w:before="240" w:after="120"/>
        <w:rPr>
          <w:rFonts w:hint="eastAsia" w:cs="宋体" w:asciiTheme="minorEastAsia" w:hAnsiTheme="minorEastAsia" w:eastAsiaTheme="minorEastAsia"/>
          <w:b/>
          <w:bCs w:val="0"/>
          <w:color w:val="auto"/>
          <w:kern w:val="0"/>
          <w:sz w:val="28"/>
          <w:szCs w:val="28"/>
          <w:highlight w:val="none"/>
        </w:rPr>
      </w:pPr>
      <w:bookmarkStart w:id="512" w:name="_Toc475472623"/>
      <w:bookmarkStart w:id="513" w:name="_Toc14166"/>
      <w:bookmarkStart w:id="514" w:name="_Toc12095"/>
      <w:bookmarkStart w:id="515" w:name="_Toc447265599"/>
      <w:bookmarkStart w:id="516" w:name="_Toc447265313"/>
      <w:bookmarkStart w:id="517" w:name="_Toc226969353"/>
      <w:bookmarkStart w:id="518" w:name="_Toc227057959"/>
      <w:bookmarkStart w:id="519" w:name="_Toc107822570"/>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lang w:val="en-US" w:eastAsia="zh-CN"/>
        </w:rPr>
        <w:t xml:space="preserve"> </w:t>
      </w:r>
      <w:r>
        <w:rPr>
          <w:rFonts w:hint="eastAsia" w:cs="宋体" w:asciiTheme="minorEastAsia" w:hAnsiTheme="minorEastAsia" w:eastAsiaTheme="minorEastAsia"/>
          <w:b/>
          <w:bCs w:val="0"/>
          <w:color w:val="auto"/>
          <w:kern w:val="0"/>
          <w:sz w:val="28"/>
          <w:szCs w:val="28"/>
          <w:highlight w:val="none"/>
        </w:rPr>
        <w:t>商务规范书</w:t>
      </w:r>
      <w:bookmarkEnd w:id="512"/>
      <w:r>
        <w:rPr>
          <w:rFonts w:hint="eastAsia" w:cs="宋体" w:asciiTheme="minorEastAsia" w:hAnsiTheme="minorEastAsia" w:eastAsiaTheme="minorEastAsia"/>
          <w:b/>
          <w:bCs w:val="0"/>
          <w:color w:val="auto"/>
          <w:kern w:val="0"/>
          <w:sz w:val="28"/>
          <w:szCs w:val="28"/>
          <w:highlight w:val="none"/>
        </w:rPr>
        <w:t>[即合同文本]</w:t>
      </w:r>
      <w:bookmarkEnd w:id="513"/>
      <w:bookmarkEnd w:id="514"/>
    </w:p>
    <w:p w14:paraId="1A78145B">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（★本章条款如有正负偏离须在《</w:t>
      </w:r>
      <w:r>
        <w:rPr>
          <w:rFonts w:hint="eastAsia" w:ascii="宋体" w:hAnsi="宋体" w:eastAsia="宋体" w:cs="宋体"/>
          <w:b/>
          <w:bCs/>
          <w:color w:val="auto"/>
          <w:sz w:val="24"/>
          <w:szCs w:val="32"/>
          <w:highlight w:val="none"/>
          <w:lang w:val="en-US" w:eastAsia="zh-CN"/>
        </w:rPr>
        <w:t>商务</w:t>
      </w:r>
      <w:r>
        <w:rPr>
          <w:rFonts w:hint="eastAsia" w:ascii="宋体" w:hAnsi="宋体" w:eastAsia="宋体" w:cs="宋体"/>
          <w:b/>
          <w:bCs/>
          <w:color w:val="auto"/>
          <w:sz w:val="24"/>
          <w:szCs w:val="32"/>
          <w:highlight w:val="none"/>
        </w:rPr>
        <w:t>规范书偏离表》中说明）</w:t>
      </w:r>
    </w:p>
    <w:bookmarkEnd w:id="515"/>
    <w:bookmarkEnd w:id="516"/>
    <w:bookmarkEnd w:id="517"/>
    <w:bookmarkEnd w:id="518"/>
    <w:bookmarkEnd w:id="519"/>
    <w:p w14:paraId="6438F9C2">
      <w:pPr>
        <w:widowControl/>
        <w:autoSpaceDE w:val="0"/>
        <w:autoSpaceDN w:val="0"/>
        <w:spacing w:line="360" w:lineRule="exact"/>
        <w:ind w:firstLine="420" w:firstLineChars="200"/>
        <w:jc w:val="both"/>
        <w:textAlignment w:val="bottom"/>
        <w:rPr>
          <w:rFonts w:hint="eastAsia" w:cs="宋体" w:asciiTheme="minorEastAsia" w:hAnsiTheme="minorEastAsia" w:eastAsiaTheme="minorEastAsia"/>
          <w:color w:val="auto"/>
          <w:kern w:val="0"/>
          <w:szCs w:val="21"/>
          <w:highlight w:val="none"/>
        </w:rPr>
      </w:pPr>
      <w:bookmarkStart w:id="520" w:name="_Toc447265316"/>
      <w:bookmarkStart w:id="521" w:name="_Toc21874"/>
      <w:bookmarkStart w:id="522" w:name="_Toc447265602"/>
      <w:bookmarkStart w:id="523" w:name="_Toc475472669"/>
    </w:p>
    <w:p w14:paraId="230B58E8">
      <w:pPr>
        <w:adjustRightInd w:val="0"/>
        <w:snapToGrid w:val="0"/>
        <w:rPr>
          <w:rFonts w:hint="eastAsia" w:ascii="仿宋" w:hAnsi="仿宋" w:eastAsia="仿宋" w:cs="方正仿宋_GB2312"/>
          <w:b/>
          <w:bCs/>
          <w:color w:val="auto"/>
          <w:sz w:val="24"/>
          <w:highlight w:val="none"/>
        </w:rPr>
      </w:pPr>
      <w:bookmarkStart w:id="524" w:name="_Toc14084"/>
    </w:p>
    <w:p w14:paraId="11DD9816">
      <w:pPr>
        <w:adjustRightInd w:val="0"/>
        <w:snapToGrid w:val="0"/>
        <w:rPr>
          <w:rFonts w:hint="default" w:ascii="仿宋" w:hAnsi="仿宋" w:eastAsia="仿宋" w:cs="方正仿宋_GB2312"/>
          <w:b/>
          <w:bCs/>
          <w:color w:val="auto"/>
          <w:sz w:val="24"/>
          <w:highlight w:val="none"/>
          <w:lang w:val="en-US" w:eastAsia="zh-CN"/>
        </w:rPr>
      </w:pPr>
      <w:r>
        <w:rPr>
          <w:rFonts w:hint="eastAsia" w:ascii="仿宋" w:hAnsi="仿宋" w:eastAsia="仿宋" w:cs="方正仿宋_GB2312"/>
          <w:b/>
          <w:bCs/>
          <w:color w:val="auto"/>
          <w:sz w:val="24"/>
          <w:highlight w:val="none"/>
          <w:lang w:val="en-US" w:eastAsia="zh-CN"/>
        </w:rPr>
        <w:t>合同详见附件：湖北信通与xxx公司关xxx年装卸搬运服务合同</w:t>
      </w:r>
    </w:p>
    <w:p w14:paraId="6A2A3042">
      <w:pPr>
        <w:adjustRightInd w:val="0"/>
        <w:snapToGrid w:val="0"/>
        <w:rPr>
          <w:rFonts w:hint="eastAsia" w:ascii="仿宋" w:hAnsi="仿宋" w:eastAsia="仿宋" w:cs="方正仿宋_GB2312"/>
          <w:b/>
          <w:bCs/>
          <w:color w:val="auto"/>
          <w:sz w:val="24"/>
          <w:highlight w:val="none"/>
        </w:rPr>
      </w:pPr>
    </w:p>
    <w:p w14:paraId="2C73E718">
      <w:pPr>
        <w:rPr>
          <w:rFonts w:hint="eastAsia" w:ascii="仿宋" w:hAnsi="仿宋" w:eastAsia="仿宋" w:cs="方正仿宋_GB2312"/>
          <w:b/>
          <w:bCs/>
          <w:color w:val="auto"/>
          <w:sz w:val="24"/>
          <w:highlight w:val="none"/>
        </w:rPr>
      </w:pPr>
      <w:r>
        <w:rPr>
          <w:rFonts w:hint="eastAsia" w:ascii="仿宋" w:hAnsi="仿宋" w:eastAsia="仿宋" w:cs="方正仿宋_GB2312"/>
          <w:b/>
          <w:bCs/>
          <w:color w:val="auto"/>
          <w:sz w:val="24"/>
          <w:highlight w:val="none"/>
        </w:rPr>
        <w:br w:type="page"/>
      </w:r>
    </w:p>
    <w:p w14:paraId="23BC9304">
      <w:pPr>
        <w:adjustRightInd w:val="0"/>
        <w:snapToGrid w:val="0"/>
        <w:rPr>
          <w:rFonts w:hint="eastAsia" w:ascii="仿宋" w:hAnsi="仿宋" w:eastAsia="仿宋" w:cs="方正仿宋_GB2312"/>
          <w:b/>
          <w:bCs/>
          <w:color w:val="auto"/>
          <w:sz w:val="24"/>
          <w:highlight w:val="none"/>
        </w:rPr>
      </w:pPr>
    </w:p>
    <w:p w14:paraId="5EA5CBB8">
      <w:pPr>
        <w:rPr>
          <w:color w:val="auto"/>
          <w:highlight w:val="none"/>
        </w:rPr>
      </w:pPr>
    </w:p>
    <w:p w14:paraId="427C1714">
      <w:pPr>
        <w:keepNext/>
        <w:keepLines/>
        <w:widowControl w:val="0"/>
        <w:spacing w:before="240" w:after="120" w:line="240" w:lineRule="auto"/>
        <w:jc w:val="center"/>
        <w:outlineLvl w:val="0"/>
        <w:rPr>
          <w:rFonts w:ascii="宋体" w:hAnsi="宋体" w:eastAsia="宋体" w:cs="宋体"/>
          <w:b/>
          <w:bCs w:val="0"/>
          <w:color w:val="auto"/>
          <w:kern w:val="0"/>
          <w:sz w:val="28"/>
          <w:szCs w:val="28"/>
          <w:highlight w:val="none"/>
          <w:lang w:val="en-US" w:eastAsia="zh-CN" w:bidi="ar-SA"/>
        </w:rPr>
      </w:pPr>
      <w:r>
        <w:rPr>
          <w:rFonts w:hint="eastAsia" w:ascii="宋体" w:hAnsi="宋体" w:eastAsia="宋体" w:cs="宋体"/>
          <w:b/>
          <w:bCs w:val="0"/>
          <w:color w:val="auto"/>
          <w:kern w:val="0"/>
          <w:sz w:val="28"/>
          <w:szCs w:val="28"/>
          <w:highlight w:val="none"/>
          <w:lang w:val="en-US" w:eastAsia="zh-CN" w:bidi="ar-SA"/>
        </w:rPr>
        <w:t>第五章  技术规范书</w:t>
      </w:r>
      <w:bookmarkEnd w:id="524"/>
    </w:p>
    <w:p w14:paraId="75BC9215">
      <w:pPr>
        <w:jc w:val="center"/>
        <w:rPr>
          <w:rFonts w:hint="eastAsia" w:ascii="宋体" w:hAnsi="宋体" w:eastAsia="宋体" w:cs="宋体"/>
          <w:b/>
          <w:bCs/>
          <w:color w:val="auto"/>
          <w:sz w:val="24"/>
          <w:szCs w:val="32"/>
          <w:highlight w:val="none"/>
        </w:rPr>
      </w:pPr>
      <w:bookmarkStart w:id="525" w:name="_Toc318969405"/>
      <w:bookmarkStart w:id="526" w:name="_Toc496264199"/>
      <w:r>
        <w:rPr>
          <w:rFonts w:hint="eastAsia" w:ascii="宋体" w:hAnsi="宋体" w:eastAsia="宋体" w:cs="宋体"/>
          <w:b/>
          <w:bCs/>
          <w:color w:val="auto"/>
          <w:sz w:val="24"/>
          <w:szCs w:val="32"/>
          <w:highlight w:val="none"/>
        </w:rPr>
        <w:t>（★本章条款如有正负偏离须在《技术规范书偏离表》中说明）</w:t>
      </w:r>
      <w:bookmarkEnd w:id="525"/>
      <w:bookmarkEnd w:id="526"/>
    </w:p>
    <w:p w14:paraId="21EC5363">
      <w:pPr>
        <w:widowControl w:val="0"/>
        <w:ind w:left="0" w:leftChars="0" w:firstLine="0" w:firstLineChars="0"/>
        <w:jc w:val="both"/>
        <w:rPr>
          <w:rFonts w:hint="eastAsia" w:ascii="宋体" w:hAnsi="宋体" w:eastAsia="宋体" w:cs="宋体"/>
          <w:b/>
          <w:bCs/>
          <w:color w:val="auto"/>
          <w:kern w:val="2"/>
          <w:sz w:val="21"/>
          <w:szCs w:val="24"/>
          <w:highlight w:val="none"/>
          <w:lang w:val="en-US" w:eastAsia="zh-CN" w:bidi="ar-SA"/>
        </w:rPr>
      </w:pPr>
    </w:p>
    <w:p w14:paraId="03C2D97E">
      <w:pPr>
        <w:pStyle w:val="890"/>
        <w:snapToGrid w:val="0"/>
        <w:spacing w:line="300" w:lineRule="auto"/>
        <w:rPr>
          <w:rFonts w:ascii="黑体" w:hAnsi="仿宋_GB2312" w:eastAsia="黑体"/>
          <w:b/>
        </w:rPr>
      </w:pPr>
      <w:bookmarkStart w:id="527" w:name="_Toc27324"/>
    </w:p>
    <w:p w14:paraId="7AFB5835">
      <w:pPr>
        <w:widowControl/>
        <w:spacing w:after="200"/>
        <w:jc w:val="center"/>
        <w:rPr>
          <w:rFonts w:ascii="微软雅黑" w:hAnsi="微软雅黑" w:eastAsia="微软雅黑"/>
          <w:b/>
          <w:kern w:val="0"/>
          <w:sz w:val="36"/>
          <w:szCs w:val="36"/>
        </w:rPr>
      </w:pPr>
      <w:r>
        <w:rPr>
          <w:rFonts w:hint="eastAsia" w:ascii="微软雅黑" w:hAnsi="微软雅黑" w:eastAsia="微软雅黑"/>
          <w:b/>
          <w:kern w:val="0"/>
          <w:sz w:val="36"/>
          <w:szCs w:val="36"/>
          <w:lang w:val="en-US" w:eastAsia="zh-CN"/>
        </w:rPr>
        <w:t>湖北信通通信有限公司荆州区域</w:t>
      </w:r>
      <w:r>
        <w:rPr>
          <w:rFonts w:hint="eastAsia" w:ascii="微软雅黑" w:hAnsi="微软雅黑" w:eastAsia="微软雅黑"/>
          <w:b/>
          <w:kern w:val="0"/>
          <w:sz w:val="36"/>
          <w:szCs w:val="36"/>
          <w:lang w:eastAsia="zh-CN"/>
        </w:rPr>
        <w:t>2026年</w:t>
      </w:r>
      <w:r>
        <w:rPr>
          <w:rFonts w:hint="eastAsia" w:ascii="微软雅黑" w:hAnsi="微软雅黑" w:eastAsia="微软雅黑"/>
          <w:b/>
          <w:kern w:val="0"/>
          <w:sz w:val="36"/>
          <w:szCs w:val="36"/>
        </w:rPr>
        <w:t>-202</w:t>
      </w:r>
      <w:r>
        <w:rPr>
          <w:rFonts w:hint="eastAsia" w:ascii="微软雅黑" w:hAnsi="微软雅黑" w:eastAsia="微软雅黑"/>
          <w:b/>
          <w:kern w:val="0"/>
          <w:sz w:val="36"/>
          <w:szCs w:val="36"/>
          <w:lang w:val="en-US" w:eastAsia="zh-CN"/>
        </w:rPr>
        <w:t>8</w:t>
      </w:r>
      <w:r>
        <w:rPr>
          <w:rFonts w:hint="eastAsia" w:ascii="微软雅黑" w:hAnsi="微软雅黑" w:eastAsia="微软雅黑"/>
          <w:b/>
          <w:kern w:val="0"/>
          <w:sz w:val="36"/>
          <w:szCs w:val="36"/>
        </w:rPr>
        <w:t>年零星搬运服务项目</w:t>
      </w:r>
    </w:p>
    <w:p w14:paraId="79847C97">
      <w:pPr>
        <w:widowControl/>
        <w:spacing w:after="200"/>
        <w:jc w:val="center"/>
        <w:rPr>
          <w:rFonts w:ascii="微软雅黑" w:hAnsi="微软雅黑" w:eastAsia="微软雅黑"/>
          <w:b/>
          <w:kern w:val="0"/>
          <w:sz w:val="36"/>
          <w:szCs w:val="36"/>
        </w:rPr>
      </w:pPr>
      <w:r>
        <w:rPr>
          <w:rFonts w:hint="eastAsia" w:ascii="微软雅黑" w:hAnsi="微软雅黑" w:eastAsia="微软雅黑"/>
          <w:b/>
          <w:kern w:val="0"/>
          <w:sz w:val="36"/>
          <w:szCs w:val="36"/>
        </w:rPr>
        <w:t>技术规范书</w:t>
      </w:r>
    </w:p>
    <w:p w14:paraId="3A453FD2">
      <w:pPr>
        <w:spacing w:line="240" w:lineRule="auto"/>
        <w:ind w:firstLine="629"/>
        <w:rPr>
          <w:rFonts w:hint="eastAsia" w:ascii="仿宋_GB2312" w:eastAsia="仿宋_GB2312"/>
          <w:sz w:val="28"/>
          <w:szCs w:val="28"/>
        </w:rPr>
      </w:pPr>
    </w:p>
    <w:p w14:paraId="5AE0B203">
      <w:pPr>
        <w:spacing w:line="600" w:lineRule="exact"/>
        <w:ind w:firstLine="630"/>
        <w:rPr>
          <w:rFonts w:hint="eastAsia" w:ascii="仿宋_GB2312" w:eastAsia="仿宋_GB2312"/>
          <w:sz w:val="28"/>
          <w:szCs w:val="28"/>
          <w:lang w:eastAsia="zh-CN"/>
        </w:rPr>
      </w:pPr>
      <w:r>
        <w:rPr>
          <w:rFonts w:hint="eastAsia" w:ascii="仿宋_GB2312" w:eastAsia="仿宋_GB2312"/>
          <w:sz w:val="28"/>
          <w:szCs w:val="28"/>
          <w:lang w:eastAsia="zh-CN"/>
        </w:rPr>
        <w:t>一、采购内容：</w:t>
      </w:r>
      <w:r>
        <w:rPr>
          <w:rFonts w:hint="eastAsia" w:ascii="仿宋_GB2312" w:eastAsia="仿宋_GB2312"/>
          <w:sz w:val="28"/>
          <w:szCs w:val="28"/>
          <w:lang w:val="en-US" w:eastAsia="zh-CN"/>
        </w:rPr>
        <w:t>湖北信通公司荆州区域</w:t>
      </w:r>
      <w:r>
        <w:rPr>
          <w:rFonts w:hint="eastAsia" w:ascii="仿宋_GB2312" w:eastAsia="仿宋_GB2312"/>
          <w:sz w:val="28"/>
          <w:szCs w:val="28"/>
          <w:lang w:eastAsia="zh-CN"/>
        </w:rPr>
        <w:t>2026年-202</w:t>
      </w:r>
      <w:r>
        <w:rPr>
          <w:rFonts w:hint="eastAsia" w:ascii="仿宋_GB2312" w:eastAsia="仿宋_GB2312"/>
          <w:sz w:val="28"/>
          <w:szCs w:val="28"/>
          <w:lang w:val="en-US" w:eastAsia="zh-CN"/>
        </w:rPr>
        <w:t>8</w:t>
      </w:r>
      <w:r>
        <w:rPr>
          <w:rFonts w:hint="eastAsia" w:ascii="仿宋_GB2312" w:eastAsia="仿宋_GB2312"/>
          <w:sz w:val="28"/>
          <w:szCs w:val="28"/>
          <w:lang w:eastAsia="zh-CN"/>
        </w:rPr>
        <w:t>年零星搬运服务。服务内容包括但不限于:1.人工搬运：暂存点物资搬运（物资上货下架、物资清理及搬运等）。2.车辆转运：市场物资转运（促销礼品、进驻物资、高校迎新活动物资、外场活动物资搬运、营业厅转场搬运等），应急物资转运、其它零星搬运服务（办公场所转场搬运、办公杂物清理转运、</w:t>
      </w:r>
      <w:r>
        <w:rPr>
          <w:rFonts w:hint="eastAsia" w:ascii="仿宋_GB2312" w:eastAsia="仿宋_GB2312"/>
          <w:sz w:val="28"/>
          <w:szCs w:val="28"/>
          <w:lang w:val="en-US" w:eastAsia="zh-CN"/>
        </w:rPr>
        <w:t>报废物资转运</w:t>
      </w:r>
      <w:r>
        <w:rPr>
          <w:rFonts w:hint="eastAsia" w:ascii="仿宋_GB2312" w:eastAsia="仿宋_GB2312"/>
          <w:sz w:val="28"/>
          <w:szCs w:val="28"/>
          <w:lang w:eastAsia="zh-CN"/>
        </w:rPr>
        <w:t>等）。</w:t>
      </w:r>
    </w:p>
    <w:p w14:paraId="7486461B">
      <w:pPr>
        <w:spacing w:line="600" w:lineRule="exact"/>
        <w:ind w:firstLine="630"/>
        <w:rPr>
          <w:rFonts w:hint="eastAsia" w:ascii="仿宋_GB2312" w:eastAsia="仿宋_GB2312"/>
          <w:sz w:val="28"/>
          <w:szCs w:val="28"/>
        </w:rPr>
      </w:pPr>
      <w:r>
        <w:rPr>
          <w:rFonts w:hint="eastAsia" w:ascii="仿宋_GB2312" w:eastAsia="仿宋_GB2312"/>
          <w:sz w:val="28"/>
          <w:szCs w:val="28"/>
          <w:lang w:eastAsia="zh-CN"/>
        </w:rPr>
        <w:t>二</w:t>
      </w:r>
      <w:r>
        <w:rPr>
          <w:rFonts w:hint="eastAsia" w:ascii="仿宋_GB2312" w:eastAsia="仿宋_GB2312"/>
          <w:sz w:val="28"/>
          <w:szCs w:val="28"/>
        </w:rPr>
        <w:t>、</w:t>
      </w:r>
      <w:r>
        <w:rPr>
          <w:rFonts w:hint="eastAsia" w:ascii="仿宋_GB2312" w:eastAsia="仿宋_GB2312"/>
          <w:sz w:val="28"/>
          <w:szCs w:val="28"/>
          <w:lang w:eastAsia="zh-CN"/>
        </w:rPr>
        <w:t>供应商</w:t>
      </w:r>
      <w:r>
        <w:rPr>
          <w:rFonts w:hint="eastAsia" w:ascii="仿宋_GB2312" w:eastAsia="仿宋_GB2312"/>
          <w:sz w:val="28"/>
          <w:szCs w:val="28"/>
        </w:rPr>
        <w:t>需有专人与</w:t>
      </w:r>
      <w:r>
        <w:rPr>
          <w:rFonts w:hint="eastAsia" w:ascii="仿宋_GB2312" w:eastAsia="仿宋_GB2312"/>
          <w:sz w:val="28"/>
          <w:szCs w:val="28"/>
          <w:lang w:eastAsia="zh-CN"/>
        </w:rPr>
        <w:t>采购方</w:t>
      </w:r>
      <w:r>
        <w:rPr>
          <w:rFonts w:hint="eastAsia" w:ascii="仿宋_GB2312" w:eastAsia="仿宋_GB2312"/>
          <w:sz w:val="28"/>
          <w:szCs w:val="28"/>
        </w:rPr>
        <w:t>对接本项目，</w:t>
      </w:r>
      <w:r>
        <w:rPr>
          <w:rFonts w:hint="eastAsia" w:ascii="仿宋_GB2312" w:eastAsia="仿宋_GB2312"/>
          <w:sz w:val="28"/>
          <w:szCs w:val="28"/>
          <w:lang w:eastAsia="zh-CN"/>
        </w:rPr>
        <w:t>采购方</w:t>
      </w:r>
      <w:r>
        <w:rPr>
          <w:rFonts w:hint="eastAsia" w:ascii="仿宋_GB2312" w:eastAsia="仿宋_GB2312"/>
          <w:sz w:val="28"/>
          <w:szCs w:val="28"/>
        </w:rPr>
        <w:t>下发搬运服务需求单后，紧急搬运应</w:t>
      </w:r>
      <w:r>
        <w:rPr>
          <w:rFonts w:hint="eastAsia" w:ascii="仿宋_GB2312" w:eastAsia="仿宋_GB2312"/>
          <w:b/>
          <w:sz w:val="28"/>
          <w:szCs w:val="28"/>
        </w:rPr>
        <w:t>在1小时</w:t>
      </w:r>
      <w:r>
        <w:rPr>
          <w:rFonts w:hint="eastAsia" w:ascii="仿宋_GB2312" w:eastAsia="仿宋_GB2312"/>
          <w:sz w:val="28"/>
          <w:szCs w:val="28"/>
        </w:rPr>
        <w:t>内响应、普通搬运应在</w:t>
      </w:r>
      <w:r>
        <w:rPr>
          <w:rFonts w:hint="eastAsia" w:ascii="仿宋_GB2312" w:eastAsia="仿宋_GB2312"/>
          <w:b/>
          <w:sz w:val="28"/>
          <w:szCs w:val="28"/>
        </w:rPr>
        <w:t>2小时</w:t>
      </w:r>
      <w:r>
        <w:rPr>
          <w:rFonts w:hint="eastAsia" w:ascii="仿宋_GB2312" w:eastAsia="仿宋_GB2312"/>
          <w:sz w:val="28"/>
          <w:szCs w:val="28"/>
        </w:rPr>
        <w:t>内响应，供应商应在需求单指定的时间提供相应服务并配合</w:t>
      </w:r>
      <w:r>
        <w:rPr>
          <w:rFonts w:hint="eastAsia" w:ascii="仿宋_GB2312" w:eastAsia="仿宋_GB2312"/>
          <w:sz w:val="28"/>
          <w:szCs w:val="28"/>
          <w:lang w:eastAsia="zh-CN"/>
        </w:rPr>
        <w:t>采购方</w:t>
      </w:r>
      <w:r>
        <w:rPr>
          <w:rFonts w:hint="eastAsia" w:ascii="仿宋_GB2312" w:eastAsia="仿宋_GB2312"/>
          <w:sz w:val="28"/>
          <w:szCs w:val="28"/>
        </w:rPr>
        <w:t>完善搬运服务系统需求工单，</w:t>
      </w:r>
      <w:r>
        <w:rPr>
          <w:rFonts w:hint="eastAsia" w:ascii="仿宋_GB2312" w:eastAsia="仿宋_GB2312"/>
          <w:b/>
          <w:sz w:val="28"/>
          <w:szCs w:val="28"/>
        </w:rPr>
        <w:t>工单完成时限：</w:t>
      </w:r>
      <w:r>
        <w:rPr>
          <w:rFonts w:hint="eastAsia" w:ascii="仿宋_GB2312" w:eastAsia="仿宋_GB2312"/>
          <w:sz w:val="28"/>
          <w:szCs w:val="28"/>
        </w:rPr>
        <w:t>工作日需在8小时内完成；非工作日需在24小时内完成。</w:t>
      </w:r>
    </w:p>
    <w:p w14:paraId="5A3A6E3C">
      <w:pPr>
        <w:spacing w:line="600" w:lineRule="exact"/>
        <w:ind w:firstLine="630"/>
        <w:rPr>
          <w:rFonts w:ascii="仿宋_GB2312" w:eastAsia="仿宋_GB2312"/>
          <w:sz w:val="28"/>
          <w:szCs w:val="28"/>
        </w:rPr>
      </w:pPr>
      <w:r>
        <w:rPr>
          <w:rFonts w:hint="eastAsia" w:ascii="仿宋_GB2312" w:eastAsia="仿宋_GB2312"/>
          <w:sz w:val="28"/>
          <w:szCs w:val="28"/>
          <w:lang w:eastAsia="zh-CN"/>
        </w:rPr>
        <w:t>三</w:t>
      </w:r>
      <w:r>
        <w:rPr>
          <w:rFonts w:ascii="仿宋_GB2312" w:eastAsia="仿宋_GB2312"/>
          <w:sz w:val="28"/>
          <w:szCs w:val="28"/>
        </w:rPr>
        <w:t>、</w:t>
      </w:r>
      <w:r>
        <w:rPr>
          <w:rFonts w:hint="eastAsia" w:ascii="仿宋_GB2312" w:eastAsia="仿宋_GB2312"/>
          <w:sz w:val="28"/>
          <w:szCs w:val="28"/>
        </w:rPr>
        <w:t>要求</w:t>
      </w:r>
      <w:r>
        <w:rPr>
          <w:rFonts w:hint="eastAsia" w:ascii="仿宋_GB2312" w:eastAsia="仿宋_GB2312"/>
          <w:sz w:val="28"/>
          <w:szCs w:val="28"/>
          <w:lang w:eastAsia="zh-CN"/>
        </w:rPr>
        <w:t>供应商</w:t>
      </w:r>
      <w:r>
        <w:rPr>
          <w:rFonts w:hint="eastAsia" w:ascii="仿宋_GB2312" w:eastAsia="仿宋_GB2312"/>
          <w:sz w:val="28"/>
          <w:szCs w:val="28"/>
        </w:rPr>
        <w:t>设项目经理1名，搬运服务人员数量不少于</w:t>
      </w:r>
      <w:r>
        <w:rPr>
          <w:rFonts w:ascii="仿宋_GB2312" w:eastAsia="仿宋_GB2312"/>
          <w:sz w:val="28"/>
          <w:szCs w:val="28"/>
        </w:rPr>
        <w:t>3</w:t>
      </w:r>
      <w:r>
        <w:rPr>
          <w:rFonts w:hint="eastAsia" w:ascii="仿宋_GB2312" w:eastAsia="仿宋_GB2312"/>
          <w:sz w:val="28"/>
          <w:szCs w:val="28"/>
        </w:rPr>
        <w:t>人。本项目项目经理和服务人员不得复用，出现复用人员不予认可。</w:t>
      </w:r>
    </w:p>
    <w:p w14:paraId="5035CB09">
      <w:pPr>
        <w:spacing w:line="600" w:lineRule="exact"/>
        <w:ind w:firstLine="630"/>
        <w:rPr>
          <w:rFonts w:hint="eastAsia" w:ascii="仿宋_GB2312" w:eastAsia="仿宋_GB2312"/>
          <w:sz w:val="28"/>
          <w:szCs w:val="28"/>
        </w:rPr>
      </w:pPr>
      <w:r>
        <w:rPr>
          <w:rFonts w:hint="eastAsia" w:ascii="仿宋_GB2312" w:eastAsia="仿宋_GB2312"/>
          <w:sz w:val="28"/>
          <w:szCs w:val="28"/>
          <w:lang w:eastAsia="zh-CN"/>
        </w:rPr>
        <w:t>四</w:t>
      </w:r>
      <w:r>
        <w:rPr>
          <w:rFonts w:hint="eastAsia" w:ascii="仿宋_GB2312" w:eastAsia="仿宋_GB2312"/>
          <w:sz w:val="28"/>
          <w:szCs w:val="28"/>
        </w:rPr>
        <w:t>、</w:t>
      </w:r>
      <w:r>
        <w:rPr>
          <w:rFonts w:hint="eastAsia" w:ascii="仿宋_GB2312" w:eastAsia="仿宋_GB2312"/>
          <w:sz w:val="28"/>
          <w:szCs w:val="28"/>
          <w:lang w:eastAsia="zh-CN"/>
        </w:rPr>
        <w:t>供应商</w:t>
      </w:r>
      <w:r>
        <w:rPr>
          <w:rFonts w:hint="eastAsia" w:ascii="仿宋_GB2312" w:eastAsia="仿宋_GB2312"/>
          <w:sz w:val="28"/>
          <w:szCs w:val="28"/>
        </w:rPr>
        <w:t>提供的服务，对应</w:t>
      </w:r>
      <w:r>
        <w:rPr>
          <w:rFonts w:hint="eastAsia" w:ascii="仿宋_GB2312" w:eastAsia="仿宋_GB2312"/>
          <w:sz w:val="28"/>
          <w:szCs w:val="28"/>
          <w:lang w:eastAsia="zh-CN"/>
        </w:rPr>
        <w:t>采购方</w:t>
      </w:r>
      <w:r>
        <w:rPr>
          <w:rFonts w:hint="eastAsia" w:ascii="仿宋_GB2312" w:eastAsia="仿宋_GB2312"/>
          <w:sz w:val="28"/>
          <w:szCs w:val="28"/>
        </w:rPr>
        <w:t>发起的每笔工单工作量计算方式：根据每笔工单的时长（指</w:t>
      </w:r>
      <w:r>
        <w:rPr>
          <w:rFonts w:hint="eastAsia" w:ascii="仿宋_GB2312" w:eastAsia="仿宋_GB2312"/>
          <w:sz w:val="28"/>
          <w:szCs w:val="28"/>
          <w:lang w:eastAsia="zh-CN"/>
        </w:rPr>
        <w:t>采购方</w:t>
      </w:r>
      <w:r>
        <w:rPr>
          <w:rFonts w:hint="eastAsia" w:ascii="仿宋_GB2312" w:eastAsia="仿宋_GB2312"/>
          <w:sz w:val="28"/>
          <w:szCs w:val="28"/>
        </w:rPr>
        <w:t>填写的工作时长或天数）核算</w:t>
      </w:r>
      <w:r>
        <w:rPr>
          <w:rFonts w:hint="eastAsia" w:ascii="仿宋_GB2312" w:eastAsia="仿宋_GB2312"/>
          <w:b/>
          <w:bCs/>
          <w:sz w:val="28"/>
          <w:szCs w:val="28"/>
        </w:rPr>
        <w:t>，小于等于4小时按0.5天计算，超过4小时的按1天计算，</w:t>
      </w:r>
      <w:r>
        <w:rPr>
          <w:rFonts w:hint="eastAsia" w:ascii="仿宋_GB2312" w:eastAsia="仿宋_GB2312"/>
          <w:sz w:val="28"/>
          <w:szCs w:val="28"/>
        </w:rPr>
        <w:t>费用按前述标准费用进行累加。</w:t>
      </w:r>
    </w:p>
    <w:p w14:paraId="1BA54F73">
      <w:pPr>
        <w:spacing w:line="600" w:lineRule="exact"/>
        <w:ind w:firstLine="630"/>
        <w:rPr>
          <w:rFonts w:hint="default" w:ascii="仿宋_GB2312" w:eastAsia="仿宋_GB2312"/>
          <w:sz w:val="28"/>
          <w:szCs w:val="28"/>
          <w:lang w:val="en-US" w:eastAsia="zh-CN"/>
        </w:rPr>
      </w:pPr>
      <w:r>
        <w:rPr>
          <w:rFonts w:hint="eastAsia" w:ascii="仿宋_GB2312" w:eastAsia="仿宋_GB2312"/>
          <w:sz w:val="28"/>
          <w:szCs w:val="28"/>
          <w:lang w:val="en-US" w:eastAsia="zh-CN"/>
        </w:rPr>
        <w:t>五、转场搬运服务含车辆、绳索等搬运工具，500公斤（含）以下算一次，501-1000公斤（含）算2次，1001-1500公斤（含）算3次，依次类推。其中城区转场搬运包括各县市城区内的转场搬运（荆州区、沙市区、开发区按同一个县市处理）；乡鎮转场搬运指物资起运地或运到目的地任一点属于乡镇。</w:t>
      </w:r>
    </w:p>
    <w:p w14:paraId="665B4CE4">
      <w:pPr>
        <w:spacing w:line="600" w:lineRule="exact"/>
        <w:ind w:firstLine="630"/>
        <w:rPr>
          <w:rFonts w:ascii="仿宋_GB2312" w:eastAsia="仿宋_GB2312"/>
          <w:sz w:val="28"/>
          <w:szCs w:val="28"/>
        </w:rPr>
      </w:pPr>
      <w:r>
        <w:rPr>
          <w:rFonts w:hint="eastAsia" w:ascii="仿宋_GB2312" w:eastAsia="仿宋_GB2312"/>
          <w:sz w:val="28"/>
          <w:szCs w:val="28"/>
          <w:lang w:val="en-US" w:eastAsia="zh-CN"/>
        </w:rPr>
        <w:t>六</w:t>
      </w:r>
      <w:r>
        <w:rPr>
          <w:rFonts w:hint="eastAsia" w:ascii="仿宋_GB2312" w:eastAsia="仿宋_GB2312"/>
          <w:sz w:val="28"/>
          <w:szCs w:val="28"/>
        </w:rPr>
        <w:t>、本项目应用地点为</w:t>
      </w:r>
      <w:r>
        <w:rPr>
          <w:rFonts w:hint="eastAsia" w:ascii="仿宋_GB2312" w:eastAsia="仿宋_GB2312"/>
          <w:sz w:val="28"/>
          <w:szCs w:val="28"/>
          <w:lang w:eastAsia="zh-CN"/>
        </w:rPr>
        <w:t>荆州</w:t>
      </w:r>
      <w:r>
        <w:rPr>
          <w:rFonts w:hint="eastAsia" w:ascii="仿宋_GB2312" w:eastAsia="仿宋_GB2312"/>
          <w:sz w:val="28"/>
          <w:szCs w:val="28"/>
        </w:rPr>
        <w:t>市（含区县分公司）,指定专人配合项目经理完成工单需求量统计工作，并按月提交项目经理审核。</w:t>
      </w:r>
    </w:p>
    <w:p w14:paraId="78E9AFEE">
      <w:pPr>
        <w:spacing w:line="600" w:lineRule="exact"/>
        <w:ind w:firstLine="630"/>
        <w:rPr>
          <w:rFonts w:ascii="仿宋_GB2312" w:eastAsia="仿宋_GB2312"/>
          <w:sz w:val="28"/>
          <w:szCs w:val="28"/>
        </w:rPr>
      </w:pPr>
      <w:r>
        <w:rPr>
          <w:rFonts w:hint="eastAsia" w:ascii="仿宋_GB2312" w:eastAsia="仿宋_GB2312"/>
          <w:sz w:val="28"/>
          <w:szCs w:val="28"/>
          <w:lang w:val="en-US" w:eastAsia="zh-CN"/>
        </w:rPr>
        <w:t>七</w:t>
      </w:r>
      <w:r>
        <w:rPr>
          <w:rFonts w:hint="eastAsia" w:ascii="仿宋_GB2312" w:eastAsia="仿宋_GB2312"/>
          <w:sz w:val="28"/>
          <w:szCs w:val="28"/>
        </w:rPr>
        <w:t>、</w:t>
      </w:r>
      <w:r>
        <w:rPr>
          <w:rFonts w:hint="eastAsia" w:ascii="仿宋_GB2312" w:eastAsia="仿宋_GB2312"/>
          <w:sz w:val="28"/>
          <w:szCs w:val="28"/>
          <w:lang w:eastAsia="zh-CN"/>
        </w:rPr>
        <w:t>供应商</w:t>
      </w:r>
      <w:r>
        <w:rPr>
          <w:rFonts w:hint="eastAsia" w:ascii="仿宋_GB2312" w:eastAsia="仿宋_GB2312"/>
          <w:sz w:val="28"/>
          <w:szCs w:val="28"/>
        </w:rPr>
        <w:t>应按</w:t>
      </w:r>
      <w:r>
        <w:rPr>
          <w:rFonts w:hint="eastAsia" w:ascii="仿宋_GB2312" w:eastAsia="仿宋_GB2312"/>
          <w:sz w:val="28"/>
          <w:szCs w:val="28"/>
          <w:lang w:eastAsia="zh-CN"/>
        </w:rPr>
        <w:t>采购方</w:t>
      </w:r>
      <w:r>
        <w:rPr>
          <w:rFonts w:hint="eastAsia" w:ascii="仿宋_GB2312" w:eastAsia="仿宋_GB2312"/>
          <w:sz w:val="28"/>
          <w:szCs w:val="28"/>
        </w:rPr>
        <w:t>现场工作人员要求提供服务（按时限要求搬运到指定地点等），提供服务期间需遵守场地内相关制度规定。</w:t>
      </w:r>
    </w:p>
    <w:p w14:paraId="553FEADF">
      <w:pPr>
        <w:spacing w:line="600" w:lineRule="exact"/>
        <w:ind w:firstLine="630"/>
        <w:rPr>
          <w:rFonts w:ascii="仿宋_GB2312" w:eastAsia="仿宋_GB2312"/>
          <w:sz w:val="28"/>
          <w:szCs w:val="28"/>
        </w:rPr>
      </w:pPr>
      <w:r>
        <w:rPr>
          <w:rFonts w:hint="eastAsia" w:ascii="仿宋_GB2312" w:eastAsia="仿宋_GB2312"/>
          <w:sz w:val="28"/>
          <w:szCs w:val="28"/>
          <w:lang w:val="en-US" w:eastAsia="zh-CN"/>
        </w:rPr>
        <w:t>八</w:t>
      </w:r>
      <w:r>
        <w:rPr>
          <w:rFonts w:hint="eastAsia" w:ascii="仿宋_GB2312" w:eastAsia="仿宋_GB2312"/>
          <w:sz w:val="28"/>
          <w:szCs w:val="28"/>
        </w:rPr>
        <w:t>、</w:t>
      </w:r>
      <w:r>
        <w:rPr>
          <w:rFonts w:hint="eastAsia" w:ascii="仿宋_GB2312" w:eastAsia="仿宋_GB2312"/>
          <w:sz w:val="28"/>
          <w:szCs w:val="28"/>
          <w:lang w:eastAsia="zh-CN"/>
        </w:rPr>
        <w:t>供应商</w:t>
      </w:r>
      <w:r>
        <w:rPr>
          <w:rFonts w:hint="eastAsia" w:ascii="仿宋_GB2312" w:eastAsia="仿宋_GB2312"/>
          <w:sz w:val="28"/>
          <w:szCs w:val="28"/>
        </w:rPr>
        <w:t>提供搬运服务时应严格按劳动保护要求穿戴、配齐各种劳动保护用品。</w:t>
      </w:r>
    </w:p>
    <w:p w14:paraId="67D739D9">
      <w:pPr>
        <w:spacing w:line="600" w:lineRule="exact"/>
        <w:ind w:firstLine="630"/>
        <w:rPr>
          <w:rFonts w:hint="eastAsia" w:ascii="仿宋_GB2312" w:eastAsia="仿宋_GB2312"/>
          <w:b/>
          <w:bCs/>
          <w:sz w:val="28"/>
          <w:szCs w:val="28"/>
          <w:highlight w:val="none"/>
          <w:lang w:val="en-US" w:eastAsia="zh-CN"/>
        </w:rPr>
      </w:pPr>
      <w:r>
        <w:rPr>
          <w:rFonts w:hint="eastAsia" w:ascii="仿宋_GB2312" w:eastAsia="仿宋_GB2312"/>
          <w:b/>
          <w:bCs/>
          <w:sz w:val="28"/>
          <w:szCs w:val="28"/>
          <w:highlight w:val="none"/>
        </w:rPr>
        <w:t>★</w:t>
      </w:r>
      <w:r>
        <w:rPr>
          <w:rFonts w:hint="eastAsia" w:ascii="仿宋_GB2312" w:eastAsia="仿宋_GB2312"/>
          <w:b/>
          <w:bCs/>
          <w:sz w:val="28"/>
          <w:szCs w:val="28"/>
          <w:highlight w:val="none"/>
          <w:lang w:val="en-US" w:eastAsia="zh-CN"/>
        </w:rPr>
        <w:t>九、供应商须为本项目拟投入人员办理意外伤害险，且赔付金额不低于30万元。需提供意外险缴纳证明材料或承诺缴纳函。</w:t>
      </w:r>
    </w:p>
    <w:p w14:paraId="63F431ED">
      <w:pPr>
        <w:spacing w:line="600" w:lineRule="exact"/>
        <w:ind w:firstLine="630"/>
        <w:rPr>
          <w:rFonts w:hint="eastAsia" w:ascii="仿宋_GB2312" w:eastAsia="仿宋_GB2312"/>
          <w:b/>
          <w:bCs/>
          <w:sz w:val="28"/>
          <w:szCs w:val="28"/>
          <w:highlight w:val="none"/>
        </w:rPr>
      </w:pPr>
      <w:r>
        <w:rPr>
          <w:rFonts w:hint="eastAsia" w:ascii="仿宋_GB2312" w:eastAsia="仿宋_GB2312"/>
          <w:b/>
          <w:bCs/>
          <w:sz w:val="28"/>
          <w:szCs w:val="28"/>
          <w:highlight w:val="none"/>
        </w:rPr>
        <w:t>★</w:t>
      </w:r>
      <w:r>
        <w:rPr>
          <w:rFonts w:hint="eastAsia" w:ascii="仿宋_GB2312" w:eastAsia="仿宋_GB2312"/>
          <w:b/>
          <w:bCs/>
          <w:sz w:val="28"/>
          <w:szCs w:val="28"/>
          <w:highlight w:val="none"/>
          <w:lang w:val="en-US" w:eastAsia="zh-CN"/>
        </w:rPr>
        <w:t>十</w:t>
      </w:r>
      <w:r>
        <w:rPr>
          <w:rFonts w:hint="eastAsia" w:ascii="仿宋_GB2312" w:eastAsia="仿宋_GB2312"/>
          <w:b/>
          <w:bCs/>
          <w:sz w:val="28"/>
          <w:szCs w:val="28"/>
          <w:highlight w:val="none"/>
        </w:rPr>
        <w:t>、</w:t>
      </w:r>
      <w:r>
        <w:rPr>
          <w:rFonts w:hint="eastAsia" w:ascii="仿宋_GB2312" w:eastAsia="仿宋_GB2312"/>
          <w:b/>
          <w:bCs/>
          <w:sz w:val="28"/>
          <w:szCs w:val="28"/>
          <w:highlight w:val="none"/>
          <w:lang w:val="en-US" w:eastAsia="zh-CN"/>
        </w:rPr>
        <w:t>单次</w:t>
      </w:r>
      <w:r>
        <w:rPr>
          <w:rFonts w:hint="eastAsia" w:ascii="仿宋_GB2312" w:eastAsia="仿宋_GB2312"/>
          <w:b/>
          <w:bCs/>
          <w:sz w:val="28"/>
          <w:szCs w:val="28"/>
          <w:highlight w:val="none"/>
        </w:rPr>
        <w:t>搬运价格(含转场搬运)为全程搬运打包价，含上下楼层费用</w:t>
      </w:r>
      <w:r>
        <w:rPr>
          <w:rFonts w:hint="eastAsia" w:ascii="仿宋_GB2312" w:eastAsia="仿宋_GB2312"/>
          <w:b/>
          <w:bCs/>
          <w:sz w:val="28"/>
          <w:szCs w:val="28"/>
          <w:highlight w:val="none"/>
          <w:lang w:eastAsia="zh-CN"/>
        </w:rPr>
        <w:t>、</w:t>
      </w:r>
      <w:r>
        <w:rPr>
          <w:rFonts w:hint="eastAsia" w:ascii="仿宋_GB2312" w:eastAsia="仿宋_GB2312"/>
          <w:b/>
          <w:bCs/>
          <w:sz w:val="28"/>
          <w:szCs w:val="28"/>
          <w:highlight w:val="none"/>
        </w:rPr>
        <w:t>车辆</w:t>
      </w:r>
      <w:r>
        <w:rPr>
          <w:rFonts w:ascii="仿宋_GB2312" w:eastAsia="仿宋_GB2312"/>
          <w:b/>
          <w:bCs/>
          <w:sz w:val="28"/>
          <w:szCs w:val="28"/>
          <w:highlight w:val="none"/>
        </w:rPr>
        <w:t>运行</w:t>
      </w:r>
      <w:r>
        <w:rPr>
          <w:rFonts w:hint="eastAsia" w:ascii="仿宋_GB2312" w:eastAsia="仿宋_GB2312"/>
          <w:b/>
          <w:bCs/>
          <w:sz w:val="28"/>
          <w:szCs w:val="28"/>
          <w:highlight w:val="none"/>
          <w:lang w:val="en-US" w:eastAsia="zh-CN"/>
        </w:rPr>
        <w:t>等</w:t>
      </w:r>
      <w:r>
        <w:rPr>
          <w:rFonts w:ascii="仿宋_GB2312" w:eastAsia="仿宋_GB2312"/>
          <w:b/>
          <w:bCs/>
          <w:sz w:val="28"/>
          <w:szCs w:val="28"/>
          <w:highlight w:val="none"/>
        </w:rPr>
        <w:t>费用</w:t>
      </w:r>
      <w:r>
        <w:rPr>
          <w:rFonts w:hint="eastAsia" w:ascii="仿宋_GB2312" w:eastAsia="仿宋_GB2312"/>
          <w:b/>
          <w:bCs/>
          <w:sz w:val="28"/>
          <w:szCs w:val="28"/>
          <w:highlight w:val="none"/>
          <w:lang w:eastAsia="zh-CN"/>
        </w:rPr>
        <w:t>，</w:t>
      </w:r>
      <w:r>
        <w:rPr>
          <w:rFonts w:hint="eastAsia" w:ascii="仿宋_GB2312" w:eastAsia="仿宋_GB2312"/>
          <w:b/>
          <w:bCs/>
          <w:sz w:val="28"/>
          <w:szCs w:val="28"/>
          <w:highlight w:val="none"/>
        </w:rPr>
        <w:t>不</w:t>
      </w:r>
      <w:r>
        <w:rPr>
          <w:rFonts w:ascii="仿宋_GB2312" w:eastAsia="仿宋_GB2312"/>
          <w:b/>
          <w:bCs/>
          <w:sz w:val="28"/>
          <w:szCs w:val="28"/>
          <w:highlight w:val="none"/>
        </w:rPr>
        <w:t>含</w:t>
      </w:r>
      <w:r>
        <w:rPr>
          <w:rFonts w:hint="eastAsia" w:ascii="仿宋_GB2312" w:eastAsia="仿宋_GB2312"/>
          <w:b/>
          <w:bCs/>
          <w:sz w:val="28"/>
          <w:szCs w:val="28"/>
          <w:highlight w:val="none"/>
        </w:rPr>
        <w:t>清运垃圾费用</w:t>
      </w:r>
      <w:r>
        <w:rPr>
          <w:rFonts w:hint="eastAsia" w:ascii="仿宋_GB2312" w:eastAsia="仿宋_GB2312"/>
          <w:b/>
          <w:bCs/>
          <w:sz w:val="28"/>
          <w:szCs w:val="28"/>
          <w:highlight w:val="none"/>
          <w:lang w:eastAsia="zh-CN"/>
        </w:rPr>
        <w:t>，</w:t>
      </w:r>
      <w:r>
        <w:rPr>
          <w:rFonts w:hint="eastAsia" w:ascii="仿宋_GB2312" w:eastAsia="仿宋_GB2312"/>
          <w:b/>
          <w:bCs/>
          <w:sz w:val="28"/>
          <w:szCs w:val="28"/>
          <w:highlight w:val="none"/>
        </w:rPr>
        <w:t>不含加值服务（如对物品拆卸、包装等）等费用。</w:t>
      </w:r>
    </w:p>
    <w:p w14:paraId="034BB055">
      <w:pPr>
        <w:spacing w:line="600" w:lineRule="exact"/>
        <w:ind w:firstLine="630"/>
        <w:rPr>
          <w:rFonts w:hint="default" w:ascii="仿宋_GB2312" w:eastAsia="仿宋_GB2312"/>
          <w:b/>
          <w:bCs/>
          <w:sz w:val="28"/>
          <w:szCs w:val="28"/>
          <w:lang w:val="en-US" w:eastAsia="zh-CN"/>
        </w:rPr>
      </w:pPr>
      <w:r>
        <w:rPr>
          <w:rFonts w:hint="eastAsia" w:ascii="仿宋_GB2312" w:eastAsia="仿宋_GB2312"/>
          <w:b/>
          <w:bCs/>
          <w:sz w:val="28"/>
          <w:szCs w:val="28"/>
          <w:highlight w:val="none"/>
        </w:rPr>
        <w:t>★</w:t>
      </w:r>
      <w:r>
        <w:rPr>
          <w:rFonts w:hint="eastAsia" w:ascii="仿宋_GB2312" w:eastAsia="仿宋_GB2312"/>
          <w:b/>
          <w:bCs/>
          <w:sz w:val="28"/>
          <w:szCs w:val="28"/>
          <w:highlight w:val="none"/>
          <w:lang w:val="en-US" w:eastAsia="zh-CN"/>
        </w:rPr>
        <w:t>十一</w:t>
      </w:r>
      <w:r>
        <w:rPr>
          <w:rFonts w:hint="eastAsia" w:ascii="仿宋_GB2312" w:eastAsia="仿宋_GB2312"/>
          <w:b/>
          <w:bCs/>
          <w:sz w:val="28"/>
          <w:szCs w:val="28"/>
          <w:highlight w:val="none"/>
        </w:rPr>
        <w:t>、</w:t>
      </w:r>
      <w:r>
        <w:rPr>
          <w:rFonts w:hint="eastAsia" w:ascii="仿宋_GB2312" w:eastAsia="仿宋_GB2312"/>
          <w:b/>
          <w:bCs/>
          <w:sz w:val="28"/>
          <w:szCs w:val="28"/>
          <w:highlight w:val="none"/>
          <w:lang w:eastAsia="zh-CN"/>
        </w:rPr>
        <w:t>供应商</w:t>
      </w:r>
      <w:r>
        <w:rPr>
          <w:rFonts w:hint="eastAsia" w:ascii="仿宋_GB2312" w:eastAsia="仿宋_GB2312"/>
          <w:b/>
          <w:bCs/>
          <w:sz w:val="28"/>
          <w:szCs w:val="28"/>
          <w:highlight w:val="none"/>
        </w:rPr>
        <w:t>在提供搬运服务过程中出现安全事故，供应</w:t>
      </w:r>
      <w:r>
        <w:rPr>
          <w:rFonts w:hint="eastAsia" w:ascii="仿宋_GB2312" w:eastAsia="仿宋_GB2312"/>
          <w:b/>
          <w:bCs/>
          <w:sz w:val="28"/>
          <w:szCs w:val="28"/>
        </w:rPr>
        <w:t>商应及时解决，并承担全部责任。</w:t>
      </w:r>
    </w:p>
    <w:p w14:paraId="47670658">
      <w:pPr>
        <w:spacing w:line="600" w:lineRule="exact"/>
        <w:ind w:firstLine="630"/>
        <w:rPr>
          <w:rFonts w:ascii="仿宋_GB2312" w:eastAsia="仿宋_GB2312"/>
          <w:b/>
          <w:bCs/>
          <w:sz w:val="28"/>
          <w:szCs w:val="28"/>
        </w:rPr>
      </w:pPr>
      <w:r>
        <w:rPr>
          <w:rFonts w:hint="eastAsia" w:ascii="仿宋_GB2312" w:eastAsia="仿宋_GB2312"/>
          <w:b/>
          <w:bCs/>
          <w:sz w:val="28"/>
          <w:szCs w:val="28"/>
        </w:rPr>
        <w:t>★</w:t>
      </w:r>
      <w:r>
        <w:rPr>
          <w:rFonts w:hint="eastAsia" w:ascii="仿宋_GB2312" w:eastAsia="仿宋_GB2312"/>
          <w:b/>
          <w:bCs/>
          <w:sz w:val="28"/>
          <w:szCs w:val="28"/>
          <w:lang w:val="en-US" w:eastAsia="zh-CN"/>
        </w:rPr>
        <w:t>十二</w:t>
      </w:r>
      <w:r>
        <w:rPr>
          <w:rFonts w:hint="eastAsia" w:ascii="仿宋_GB2312" w:eastAsia="仿宋_GB2312"/>
          <w:b/>
          <w:bCs/>
          <w:sz w:val="28"/>
          <w:szCs w:val="28"/>
        </w:rPr>
        <w:t>、服务过程中对物资造成损毁、遗失的，</w:t>
      </w:r>
      <w:r>
        <w:rPr>
          <w:rFonts w:hint="eastAsia" w:ascii="仿宋_GB2312" w:eastAsia="仿宋_GB2312"/>
          <w:b/>
          <w:bCs/>
          <w:sz w:val="28"/>
          <w:szCs w:val="28"/>
          <w:lang w:eastAsia="zh-CN"/>
        </w:rPr>
        <w:t>供应商</w:t>
      </w:r>
      <w:r>
        <w:rPr>
          <w:rFonts w:hint="eastAsia" w:ascii="仿宋_GB2312" w:eastAsia="仿宋_GB2312"/>
          <w:b/>
          <w:bCs/>
          <w:sz w:val="28"/>
          <w:szCs w:val="28"/>
        </w:rPr>
        <w:t>照价赔偿；服务过程中资料遗失、损毁的，服务商应承担相应责任并与采购方协商赔偿。</w:t>
      </w:r>
    </w:p>
    <w:p w14:paraId="588A1BDD">
      <w:pPr>
        <w:spacing w:line="240" w:lineRule="auto"/>
        <w:ind w:firstLine="640"/>
        <w:jc w:val="left"/>
        <w:rPr>
          <w:rFonts w:hint="eastAsia"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val="en-US" w:eastAsia="zh-CN"/>
        </w:rPr>
        <w:t>三</w:t>
      </w:r>
      <w:r>
        <w:rPr>
          <w:rFonts w:hint="eastAsia" w:ascii="仿宋_GB2312" w:eastAsia="仿宋_GB2312"/>
          <w:b/>
          <w:bCs/>
          <w:sz w:val="28"/>
          <w:szCs w:val="28"/>
        </w:rPr>
        <w:t>、本项目要求</w:t>
      </w:r>
      <w:r>
        <w:rPr>
          <w:rFonts w:hint="eastAsia" w:ascii="仿宋_GB2312" w:eastAsia="仿宋_GB2312"/>
          <w:b/>
          <w:bCs/>
          <w:sz w:val="28"/>
          <w:szCs w:val="28"/>
          <w:lang w:eastAsia="zh-CN"/>
        </w:rPr>
        <w:t>供应商</w:t>
      </w:r>
      <w:r>
        <w:rPr>
          <w:rFonts w:hint="eastAsia" w:ascii="仿宋_GB2312" w:eastAsia="仿宋_GB2312"/>
          <w:b/>
          <w:bCs/>
          <w:sz w:val="28"/>
          <w:szCs w:val="28"/>
        </w:rPr>
        <w:t>提供</w:t>
      </w:r>
      <w:r>
        <w:rPr>
          <w:rFonts w:hint="eastAsia" w:ascii="仿宋_GB2312" w:eastAsia="仿宋_GB2312"/>
          <w:b/>
          <w:bCs/>
          <w:sz w:val="28"/>
          <w:szCs w:val="28"/>
          <w:lang w:val="en-US" w:eastAsia="zh-CN"/>
        </w:rPr>
        <w:t>货运车辆</w:t>
      </w:r>
      <w:r>
        <w:rPr>
          <w:rFonts w:hint="eastAsia" w:ascii="仿宋_GB2312" w:eastAsia="仿宋_GB2312"/>
          <w:b/>
          <w:bCs/>
          <w:sz w:val="28"/>
          <w:szCs w:val="28"/>
        </w:rPr>
        <w:t>下不低于</w:t>
      </w:r>
      <w:r>
        <w:rPr>
          <w:rFonts w:hint="eastAsia" w:ascii="仿宋_GB2312" w:eastAsia="仿宋_GB2312"/>
          <w:b/>
          <w:bCs/>
          <w:sz w:val="28"/>
          <w:szCs w:val="28"/>
          <w:lang w:val="en-US" w:eastAsia="zh-CN"/>
        </w:rPr>
        <w:t>3</w:t>
      </w:r>
      <w:r>
        <w:rPr>
          <w:rFonts w:hint="eastAsia" w:ascii="仿宋_GB2312" w:eastAsia="仿宋_GB2312"/>
          <w:b/>
          <w:bCs/>
          <w:sz w:val="28"/>
          <w:szCs w:val="28"/>
        </w:rPr>
        <w:t>辆，</w:t>
      </w:r>
      <w:r>
        <w:rPr>
          <w:rFonts w:hint="eastAsia" w:ascii="仿宋_GB2312" w:eastAsia="仿宋_GB2312"/>
          <w:b/>
          <w:bCs/>
          <w:sz w:val="28"/>
          <w:szCs w:val="28"/>
          <w:lang w:val="en-US" w:eastAsia="zh-CN"/>
        </w:rPr>
        <w:t>且每辆车配备驾驶员。</w:t>
      </w:r>
      <w:r>
        <w:rPr>
          <w:rFonts w:hint="eastAsia" w:ascii="仿宋_GB2312" w:eastAsia="仿宋_GB2312"/>
          <w:b/>
          <w:bCs/>
          <w:sz w:val="28"/>
          <w:szCs w:val="28"/>
        </w:rPr>
        <w:t>须提供相应证明材料（</w:t>
      </w:r>
      <w:r>
        <w:rPr>
          <w:rFonts w:hint="eastAsia" w:ascii="仿宋_GB2312" w:eastAsia="仿宋_GB2312"/>
          <w:b/>
          <w:bCs/>
          <w:sz w:val="28"/>
          <w:szCs w:val="28"/>
          <w:lang w:val="en-US" w:eastAsia="zh-CN"/>
        </w:rPr>
        <w:t>驾驶证</w:t>
      </w: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有效期内</w:t>
      </w: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w:t>
      </w:r>
      <w:r>
        <w:rPr>
          <w:rFonts w:hint="eastAsia" w:ascii="仿宋_GB2312" w:eastAsia="仿宋_GB2312"/>
          <w:b/>
          <w:bCs/>
          <w:sz w:val="28"/>
          <w:szCs w:val="28"/>
        </w:rPr>
        <w:t>如为自有车辆，须提供车辆行驶证</w:t>
      </w: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有效期内</w:t>
      </w:r>
      <w:r>
        <w:rPr>
          <w:rFonts w:hint="eastAsia" w:ascii="仿宋_GB2312" w:eastAsia="仿宋_GB2312"/>
          <w:b/>
          <w:bCs/>
          <w:sz w:val="28"/>
          <w:szCs w:val="28"/>
          <w:lang w:eastAsia="zh-CN"/>
        </w:rPr>
        <w:t>）</w:t>
      </w:r>
      <w:r>
        <w:rPr>
          <w:rFonts w:hint="eastAsia" w:ascii="仿宋_GB2312" w:eastAsia="仿宋_GB2312"/>
          <w:b/>
          <w:bCs/>
          <w:sz w:val="28"/>
          <w:szCs w:val="28"/>
        </w:rPr>
        <w:t>；如为租赁车辆，须额外提供有效期内的租赁证明）。</w:t>
      </w:r>
    </w:p>
    <w:p w14:paraId="587420A4">
      <w:pPr>
        <w:spacing w:line="240" w:lineRule="auto"/>
        <w:ind w:firstLine="640"/>
        <w:jc w:val="left"/>
        <w:rPr>
          <w:rFonts w:hint="eastAsia" w:ascii="仿宋_GB2312" w:eastAsia="仿宋_GB2312"/>
          <w:b/>
          <w:bCs/>
          <w:sz w:val="28"/>
          <w:szCs w:val="28"/>
        </w:rPr>
      </w:pPr>
      <w:r>
        <w:rPr>
          <w:rFonts w:hint="eastAsia" w:ascii="仿宋_GB2312" w:hAnsi="微软雅黑" w:eastAsia="仿宋_GB2312" w:cs="Times New Roman"/>
          <w:b/>
          <w:bCs/>
          <w:color w:val="000000"/>
          <w:kern w:val="0"/>
          <w:sz w:val="28"/>
          <w:szCs w:val="28"/>
        </w:rPr>
        <w:t>因</w:t>
      </w:r>
      <w:r>
        <w:rPr>
          <w:rFonts w:hint="eastAsia" w:ascii="仿宋_GB2312" w:hAnsi="微软雅黑" w:eastAsia="仿宋_GB2312" w:cs="Times New Roman"/>
          <w:b/>
          <w:bCs/>
          <w:color w:val="000000"/>
          <w:kern w:val="0"/>
          <w:sz w:val="28"/>
          <w:szCs w:val="28"/>
          <w:lang w:val="en-US" w:eastAsia="zh-CN"/>
        </w:rPr>
        <w:t>转场</w:t>
      </w:r>
      <w:r>
        <w:rPr>
          <w:rFonts w:hint="eastAsia" w:ascii="仿宋_GB2312" w:hAnsi="微软雅黑" w:eastAsia="仿宋_GB2312" w:cs="Times New Roman"/>
          <w:b/>
          <w:bCs/>
          <w:color w:val="000000"/>
          <w:kern w:val="0"/>
          <w:sz w:val="28"/>
          <w:szCs w:val="28"/>
        </w:rPr>
        <w:t>范围中部分区域货车禁行，</w:t>
      </w:r>
      <w:r>
        <w:rPr>
          <w:rFonts w:hint="eastAsia" w:ascii="仿宋_GB2312" w:hAnsi="微软雅黑" w:eastAsia="仿宋_GB2312" w:cs="Times New Roman"/>
          <w:b/>
          <w:bCs/>
          <w:color w:val="000000"/>
          <w:kern w:val="0"/>
          <w:sz w:val="28"/>
          <w:szCs w:val="28"/>
          <w:lang w:val="en-US" w:eastAsia="zh-CN"/>
        </w:rPr>
        <w:t>供应商</w:t>
      </w:r>
      <w:r>
        <w:rPr>
          <w:rFonts w:hint="eastAsia" w:ascii="仿宋_GB2312" w:hAnsi="微软雅黑" w:eastAsia="仿宋_GB2312" w:cs="Times New Roman"/>
          <w:b/>
          <w:bCs/>
          <w:color w:val="000000"/>
          <w:kern w:val="0"/>
          <w:sz w:val="28"/>
          <w:szCs w:val="28"/>
        </w:rPr>
        <w:t>须承诺提供符合通行条件的车辆</w:t>
      </w:r>
      <w:r>
        <w:rPr>
          <w:rFonts w:hint="eastAsia" w:ascii="仿宋_GB2312" w:hAnsi="微软雅黑" w:eastAsia="仿宋_GB2312" w:cs="Times New Roman"/>
          <w:b/>
          <w:bCs/>
          <w:color w:val="000000"/>
          <w:kern w:val="0"/>
          <w:sz w:val="28"/>
          <w:szCs w:val="28"/>
          <w:lang w:val="en-US" w:eastAsia="zh-CN"/>
        </w:rPr>
        <w:t>（包括但不限于提供服务区域交通管理局发放的货车通行证、新能源车辆等）。</w:t>
      </w:r>
      <w:r>
        <w:rPr>
          <w:rFonts w:hint="eastAsia" w:ascii="仿宋_GB2312" w:hAnsi="微软雅黑" w:eastAsia="仿宋_GB2312" w:cs="Times New Roman"/>
          <w:b/>
          <w:bCs/>
          <w:color w:val="000000"/>
          <w:kern w:val="0"/>
          <w:sz w:val="28"/>
          <w:szCs w:val="28"/>
        </w:rPr>
        <w:t>须提供承诺函。</w:t>
      </w:r>
    </w:p>
    <w:p w14:paraId="112867A6">
      <w:pPr>
        <w:spacing w:line="600" w:lineRule="exact"/>
        <w:ind w:firstLine="630"/>
        <w:rPr>
          <w:rFonts w:hint="eastAsia" w:ascii="仿宋_GB2312" w:hAnsi="Times New Roman" w:eastAsia="仿宋_GB2312" w:cs="Times New Roman"/>
          <w:b/>
          <w:bCs/>
          <w:sz w:val="28"/>
          <w:szCs w:val="28"/>
          <w:lang w:eastAsia="zh-CN"/>
        </w:rPr>
      </w:pPr>
      <w:r>
        <w:rPr>
          <w:rFonts w:hint="eastAsia" w:ascii="仿宋_GB2312" w:eastAsia="仿宋_GB2312"/>
          <w:b/>
          <w:bCs/>
          <w:sz w:val="28"/>
          <w:szCs w:val="28"/>
        </w:rPr>
        <w:t>★</w:t>
      </w:r>
      <w:r>
        <w:rPr>
          <w:rFonts w:hint="eastAsia" w:ascii="仿宋_GB2312" w:hAnsi="Times New Roman" w:eastAsia="仿宋_GB2312" w:cs="Times New Roman"/>
          <w:b/>
          <w:bCs/>
          <w:sz w:val="28"/>
          <w:szCs w:val="28"/>
          <w:lang w:eastAsia="zh-CN"/>
        </w:rPr>
        <w:t>十</w:t>
      </w:r>
      <w:r>
        <w:rPr>
          <w:rFonts w:hint="eastAsia" w:ascii="仿宋_GB2312" w:hAnsi="Times New Roman" w:eastAsia="仿宋_GB2312" w:cs="Times New Roman"/>
          <w:b/>
          <w:bCs/>
          <w:sz w:val="28"/>
          <w:szCs w:val="28"/>
          <w:lang w:val="en-US" w:eastAsia="zh-CN"/>
        </w:rPr>
        <w:t>四</w:t>
      </w:r>
      <w:r>
        <w:rPr>
          <w:rFonts w:hint="eastAsia" w:ascii="仿宋_GB2312" w:hAnsi="Times New Roman" w:eastAsia="仿宋_GB2312" w:cs="Times New Roman"/>
          <w:b/>
          <w:bCs/>
          <w:sz w:val="28"/>
          <w:szCs w:val="28"/>
          <w:lang w:eastAsia="zh-CN"/>
        </w:rPr>
        <w:t>、考核要求：</w:t>
      </w:r>
    </w:p>
    <w:tbl>
      <w:tblPr>
        <w:tblStyle w:val="78"/>
        <w:tblW w:w="8946" w:type="dxa"/>
        <w:tblInd w:w="93" w:type="dxa"/>
        <w:tblLayout w:type="autofit"/>
        <w:tblCellMar>
          <w:top w:w="0" w:type="dxa"/>
          <w:left w:w="108" w:type="dxa"/>
          <w:bottom w:w="0" w:type="dxa"/>
          <w:right w:w="108" w:type="dxa"/>
        </w:tblCellMar>
      </w:tblPr>
      <w:tblGrid>
        <w:gridCol w:w="940"/>
        <w:gridCol w:w="6520"/>
        <w:gridCol w:w="1486"/>
      </w:tblGrid>
      <w:tr w14:paraId="4FE787C5">
        <w:tblPrEx>
          <w:tblCellMar>
            <w:top w:w="0" w:type="dxa"/>
            <w:left w:w="108" w:type="dxa"/>
            <w:bottom w:w="0" w:type="dxa"/>
            <w:right w:w="108" w:type="dxa"/>
          </w:tblCellMar>
        </w:tblPrEx>
        <w:trPr>
          <w:trHeight w:val="780" w:hRule="atLeast"/>
        </w:trPr>
        <w:tc>
          <w:tcPr>
            <w:tcW w:w="940" w:type="dxa"/>
            <w:tcBorders>
              <w:top w:val="single" w:color="auto" w:sz="4" w:space="0"/>
              <w:left w:val="single" w:color="auto" w:sz="4" w:space="0"/>
              <w:bottom w:val="single" w:color="auto" w:sz="4" w:space="0"/>
              <w:right w:val="single" w:color="auto" w:sz="4" w:space="0"/>
            </w:tcBorders>
            <w:noWrap/>
            <w:vAlign w:val="center"/>
          </w:tcPr>
          <w:p w14:paraId="6E354502">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序号</w:t>
            </w:r>
          </w:p>
        </w:tc>
        <w:tc>
          <w:tcPr>
            <w:tcW w:w="6520" w:type="dxa"/>
            <w:tcBorders>
              <w:top w:val="single" w:color="auto" w:sz="4" w:space="0"/>
              <w:left w:val="nil"/>
              <w:bottom w:val="single" w:color="auto" w:sz="4" w:space="0"/>
              <w:right w:val="single" w:color="auto" w:sz="4" w:space="0"/>
            </w:tcBorders>
            <w:noWrap/>
            <w:vAlign w:val="center"/>
          </w:tcPr>
          <w:p w14:paraId="7EB35901">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考核内容</w:t>
            </w:r>
          </w:p>
        </w:tc>
        <w:tc>
          <w:tcPr>
            <w:tcW w:w="1486" w:type="dxa"/>
            <w:tcBorders>
              <w:top w:val="single" w:color="auto" w:sz="4" w:space="0"/>
              <w:left w:val="nil"/>
              <w:bottom w:val="single" w:color="auto" w:sz="4" w:space="0"/>
              <w:right w:val="single" w:color="auto" w:sz="4" w:space="0"/>
            </w:tcBorders>
            <w:noWrap/>
            <w:vAlign w:val="center"/>
          </w:tcPr>
          <w:p w14:paraId="1EBFC755">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考核情况</w:t>
            </w:r>
          </w:p>
        </w:tc>
      </w:tr>
      <w:tr w14:paraId="49BF496E">
        <w:tblPrEx>
          <w:tblCellMar>
            <w:top w:w="0" w:type="dxa"/>
            <w:left w:w="108" w:type="dxa"/>
            <w:bottom w:w="0" w:type="dxa"/>
            <w:right w:w="108" w:type="dxa"/>
          </w:tblCellMar>
        </w:tblPrEx>
        <w:trPr>
          <w:trHeight w:val="780" w:hRule="atLeast"/>
        </w:trPr>
        <w:tc>
          <w:tcPr>
            <w:tcW w:w="940" w:type="dxa"/>
            <w:tcBorders>
              <w:top w:val="nil"/>
              <w:left w:val="single" w:color="auto" w:sz="4" w:space="0"/>
              <w:bottom w:val="single" w:color="auto" w:sz="4" w:space="0"/>
              <w:right w:val="single" w:color="auto" w:sz="4" w:space="0"/>
            </w:tcBorders>
            <w:noWrap/>
            <w:vAlign w:val="center"/>
          </w:tcPr>
          <w:p w14:paraId="409B2ED0">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1</w:t>
            </w:r>
          </w:p>
        </w:tc>
        <w:tc>
          <w:tcPr>
            <w:tcW w:w="6520" w:type="dxa"/>
            <w:tcBorders>
              <w:top w:val="nil"/>
              <w:left w:val="nil"/>
              <w:bottom w:val="single" w:color="auto" w:sz="4" w:space="0"/>
              <w:right w:val="single" w:color="auto" w:sz="4" w:space="0"/>
            </w:tcBorders>
            <w:noWrap w:val="0"/>
            <w:vAlign w:val="center"/>
          </w:tcPr>
          <w:p w14:paraId="0F4FA636">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应按采购方</w:t>
            </w:r>
            <w:r>
              <w:rPr>
                <w:rFonts w:hint="eastAsia" w:ascii="仿宋_GB2312" w:hAnsi="Times New Roman" w:eastAsia="仿宋_GB2312" w:cs="Times New Roman"/>
                <w:b/>
                <w:bCs/>
                <w:color w:val="000000"/>
                <w:kern w:val="2"/>
                <w:sz w:val="28"/>
                <w:szCs w:val="28"/>
                <w:lang w:eastAsia="zh-CN"/>
              </w:rPr>
              <w:t>采购方</w:t>
            </w:r>
            <w:r>
              <w:rPr>
                <w:rFonts w:hint="eastAsia" w:ascii="仿宋_GB2312" w:hAnsi="Times New Roman" w:eastAsia="仿宋_GB2312" w:cs="Times New Roman"/>
                <w:b/>
                <w:bCs/>
                <w:color w:val="000000"/>
                <w:kern w:val="2"/>
                <w:sz w:val="28"/>
                <w:szCs w:val="28"/>
              </w:rPr>
              <w:t>下发的需求单要求时间响应并提供服务，如有延误按每次50元进行扣罚</w:t>
            </w:r>
          </w:p>
        </w:tc>
        <w:tc>
          <w:tcPr>
            <w:tcW w:w="1486" w:type="dxa"/>
            <w:tcBorders>
              <w:top w:val="nil"/>
              <w:left w:val="nil"/>
              <w:bottom w:val="single" w:color="auto" w:sz="4" w:space="0"/>
              <w:right w:val="single" w:color="auto" w:sz="4" w:space="0"/>
            </w:tcBorders>
            <w:noWrap/>
            <w:vAlign w:val="center"/>
          </w:tcPr>
          <w:p w14:paraId="204A9F11">
            <w:pPr>
              <w:widowControl/>
              <w:spacing w:line="600" w:lineRule="exact"/>
              <w:ind w:firstLine="63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　</w:t>
            </w:r>
          </w:p>
        </w:tc>
      </w:tr>
      <w:tr w14:paraId="701698CB">
        <w:tblPrEx>
          <w:tblCellMar>
            <w:top w:w="0" w:type="dxa"/>
            <w:left w:w="108" w:type="dxa"/>
            <w:bottom w:w="0" w:type="dxa"/>
            <w:right w:w="108" w:type="dxa"/>
          </w:tblCellMar>
        </w:tblPrEx>
        <w:trPr>
          <w:trHeight w:val="780" w:hRule="atLeast"/>
        </w:trPr>
        <w:tc>
          <w:tcPr>
            <w:tcW w:w="940" w:type="dxa"/>
            <w:tcBorders>
              <w:top w:val="nil"/>
              <w:left w:val="single" w:color="auto" w:sz="4" w:space="0"/>
              <w:bottom w:val="single" w:color="auto" w:sz="4" w:space="0"/>
              <w:right w:val="single" w:color="auto" w:sz="4" w:space="0"/>
            </w:tcBorders>
            <w:noWrap/>
            <w:vAlign w:val="center"/>
          </w:tcPr>
          <w:p w14:paraId="13260B5A">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2</w:t>
            </w:r>
          </w:p>
        </w:tc>
        <w:tc>
          <w:tcPr>
            <w:tcW w:w="6520" w:type="dxa"/>
            <w:tcBorders>
              <w:top w:val="nil"/>
              <w:left w:val="nil"/>
              <w:bottom w:val="single" w:color="auto" w:sz="4" w:space="0"/>
              <w:right w:val="single" w:color="auto" w:sz="4" w:space="0"/>
            </w:tcBorders>
            <w:noWrap w:val="0"/>
            <w:vAlign w:val="center"/>
          </w:tcPr>
          <w:p w14:paraId="0BA8FCA5">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未在约定时间完成服务的，不结算超时费用，超过1小时每次扣50元</w:t>
            </w:r>
          </w:p>
        </w:tc>
        <w:tc>
          <w:tcPr>
            <w:tcW w:w="1486" w:type="dxa"/>
            <w:tcBorders>
              <w:top w:val="nil"/>
              <w:left w:val="nil"/>
              <w:bottom w:val="single" w:color="auto" w:sz="4" w:space="0"/>
              <w:right w:val="single" w:color="auto" w:sz="4" w:space="0"/>
            </w:tcBorders>
            <w:noWrap/>
            <w:vAlign w:val="center"/>
          </w:tcPr>
          <w:p w14:paraId="44D20C2B">
            <w:pPr>
              <w:widowControl/>
              <w:spacing w:line="600" w:lineRule="exact"/>
              <w:ind w:firstLine="63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　</w:t>
            </w:r>
          </w:p>
        </w:tc>
      </w:tr>
      <w:tr w14:paraId="097C8419">
        <w:tblPrEx>
          <w:tblCellMar>
            <w:top w:w="0" w:type="dxa"/>
            <w:left w:w="108" w:type="dxa"/>
            <w:bottom w:w="0" w:type="dxa"/>
            <w:right w:w="108" w:type="dxa"/>
          </w:tblCellMar>
        </w:tblPrEx>
        <w:trPr>
          <w:trHeight w:val="780" w:hRule="atLeast"/>
        </w:trPr>
        <w:tc>
          <w:tcPr>
            <w:tcW w:w="940" w:type="dxa"/>
            <w:tcBorders>
              <w:top w:val="nil"/>
              <w:left w:val="single" w:color="auto" w:sz="4" w:space="0"/>
              <w:bottom w:val="single" w:color="auto" w:sz="4" w:space="0"/>
              <w:right w:val="single" w:color="auto" w:sz="4" w:space="0"/>
            </w:tcBorders>
            <w:noWrap/>
            <w:vAlign w:val="center"/>
          </w:tcPr>
          <w:p w14:paraId="59F2A50C">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3</w:t>
            </w:r>
          </w:p>
        </w:tc>
        <w:tc>
          <w:tcPr>
            <w:tcW w:w="6520" w:type="dxa"/>
            <w:tcBorders>
              <w:top w:val="nil"/>
              <w:left w:val="nil"/>
              <w:bottom w:val="single" w:color="auto" w:sz="4" w:space="0"/>
              <w:right w:val="single" w:color="auto" w:sz="4" w:space="0"/>
            </w:tcBorders>
            <w:noWrap w:val="0"/>
            <w:vAlign w:val="center"/>
          </w:tcPr>
          <w:p w14:paraId="02560B0A">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不服从安排、未按要求进行摆放、整理，除按要求整改外每次扣100元</w:t>
            </w:r>
          </w:p>
        </w:tc>
        <w:tc>
          <w:tcPr>
            <w:tcW w:w="1486" w:type="dxa"/>
            <w:tcBorders>
              <w:top w:val="nil"/>
              <w:left w:val="nil"/>
              <w:bottom w:val="single" w:color="auto" w:sz="4" w:space="0"/>
              <w:right w:val="single" w:color="auto" w:sz="4" w:space="0"/>
            </w:tcBorders>
            <w:noWrap/>
            <w:vAlign w:val="center"/>
          </w:tcPr>
          <w:p w14:paraId="52FDCA8A">
            <w:pPr>
              <w:widowControl/>
              <w:spacing w:line="600" w:lineRule="exact"/>
              <w:ind w:firstLine="63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　</w:t>
            </w:r>
          </w:p>
        </w:tc>
      </w:tr>
      <w:tr w14:paraId="28062F34">
        <w:tblPrEx>
          <w:tblCellMar>
            <w:top w:w="0" w:type="dxa"/>
            <w:left w:w="108" w:type="dxa"/>
            <w:bottom w:w="0" w:type="dxa"/>
            <w:right w:w="108" w:type="dxa"/>
          </w:tblCellMar>
        </w:tblPrEx>
        <w:trPr>
          <w:trHeight w:val="780" w:hRule="atLeast"/>
        </w:trPr>
        <w:tc>
          <w:tcPr>
            <w:tcW w:w="940" w:type="dxa"/>
            <w:tcBorders>
              <w:top w:val="nil"/>
              <w:left w:val="single" w:color="auto" w:sz="4" w:space="0"/>
              <w:bottom w:val="single" w:color="auto" w:sz="4" w:space="0"/>
              <w:right w:val="single" w:color="auto" w:sz="4" w:space="0"/>
            </w:tcBorders>
            <w:noWrap/>
            <w:vAlign w:val="center"/>
          </w:tcPr>
          <w:p w14:paraId="567EFE32">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4</w:t>
            </w:r>
          </w:p>
        </w:tc>
        <w:tc>
          <w:tcPr>
            <w:tcW w:w="6520" w:type="dxa"/>
            <w:tcBorders>
              <w:top w:val="nil"/>
              <w:left w:val="nil"/>
              <w:bottom w:val="single" w:color="auto" w:sz="4" w:space="0"/>
              <w:right w:val="single" w:color="auto" w:sz="4" w:space="0"/>
            </w:tcBorders>
            <w:noWrap w:val="0"/>
            <w:vAlign w:val="center"/>
          </w:tcPr>
          <w:p w14:paraId="456F0339">
            <w:pPr>
              <w:widowControl/>
              <w:spacing w:line="600" w:lineRule="exact"/>
              <w:ind w:firstLine="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损坏、遗失物资，照价赔偿</w:t>
            </w:r>
          </w:p>
        </w:tc>
        <w:tc>
          <w:tcPr>
            <w:tcW w:w="1486" w:type="dxa"/>
            <w:tcBorders>
              <w:top w:val="nil"/>
              <w:left w:val="nil"/>
              <w:bottom w:val="single" w:color="auto" w:sz="4" w:space="0"/>
              <w:right w:val="single" w:color="auto" w:sz="4" w:space="0"/>
            </w:tcBorders>
            <w:noWrap/>
            <w:vAlign w:val="center"/>
          </w:tcPr>
          <w:p w14:paraId="6D72462C">
            <w:pPr>
              <w:widowControl/>
              <w:spacing w:line="600" w:lineRule="exact"/>
              <w:ind w:firstLine="630"/>
              <w:jc w:val="left"/>
              <w:rPr>
                <w:rFonts w:hint="eastAsia" w:ascii="仿宋_GB2312" w:hAnsi="Times New Roman" w:eastAsia="仿宋_GB2312" w:cs="Times New Roman"/>
                <w:b/>
                <w:bCs/>
                <w:color w:val="000000"/>
                <w:kern w:val="2"/>
                <w:sz w:val="28"/>
                <w:szCs w:val="28"/>
              </w:rPr>
            </w:pPr>
            <w:r>
              <w:rPr>
                <w:rFonts w:hint="eastAsia" w:ascii="仿宋_GB2312" w:hAnsi="Times New Roman" w:eastAsia="仿宋_GB2312" w:cs="Times New Roman"/>
                <w:b/>
                <w:bCs/>
                <w:color w:val="000000"/>
                <w:kern w:val="2"/>
                <w:sz w:val="28"/>
                <w:szCs w:val="28"/>
              </w:rPr>
              <w:t>　</w:t>
            </w:r>
          </w:p>
        </w:tc>
      </w:tr>
    </w:tbl>
    <w:p w14:paraId="2B5749F7">
      <w:pPr>
        <w:widowControl/>
        <w:spacing w:line="600" w:lineRule="exact"/>
        <w:ind w:firstLine="630" w:firstLineChars="0"/>
        <w:jc w:val="left"/>
        <w:rPr>
          <w:rFonts w:hint="eastAsia" w:ascii="仿宋_GB2312" w:hAnsi="Times New Roman" w:eastAsia="仿宋_GB2312" w:cs="Times New Roman"/>
          <w:b/>
          <w:bCs/>
          <w:kern w:val="2"/>
          <w:sz w:val="28"/>
          <w:szCs w:val="28"/>
          <w:highlight w:val="none"/>
        </w:rPr>
      </w:pPr>
      <w:r>
        <w:rPr>
          <w:rFonts w:hint="eastAsia" w:ascii="仿宋_GB2312" w:hAnsi="Times New Roman" w:eastAsia="仿宋_GB2312" w:cs="Times New Roman"/>
          <w:b/>
          <w:bCs/>
          <w:kern w:val="2"/>
          <w:sz w:val="28"/>
          <w:szCs w:val="28"/>
          <w:highlight w:val="none"/>
        </w:rPr>
        <w:t>5、出现下列任意一种情况，甲方有权解除合同，并不承担任何责任：</w:t>
      </w:r>
    </w:p>
    <w:p w14:paraId="05CF689C">
      <w:pPr>
        <w:widowControl/>
        <w:spacing w:line="600" w:lineRule="exact"/>
        <w:ind w:firstLine="630" w:firstLineChars="0"/>
        <w:jc w:val="left"/>
        <w:rPr>
          <w:rFonts w:hint="eastAsia" w:ascii="仿宋_GB2312" w:hAnsi="Times New Roman" w:eastAsia="仿宋_GB2312" w:cs="Times New Roman"/>
          <w:b/>
          <w:bCs/>
          <w:kern w:val="2"/>
          <w:sz w:val="28"/>
          <w:szCs w:val="28"/>
          <w:highlight w:val="none"/>
        </w:rPr>
      </w:pPr>
      <w:r>
        <w:rPr>
          <w:rFonts w:hint="eastAsia" w:ascii="仿宋_GB2312" w:hAnsi="Times New Roman" w:eastAsia="仿宋_GB2312" w:cs="Times New Roman"/>
          <w:b/>
          <w:bCs/>
          <w:kern w:val="2"/>
          <w:sz w:val="28"/>
          <w:szCs w:val="28"/>
          <w:highlight w:val="none"/>
        </w:rPr>
        <w:t>（1）未与员工签订劳动合同并购买相应意外伤害险；</w:t>
      </w:r>
    </w:p>
    <w:p w14:paraId="754F4D9E">
      <w:pPr>
        <w:widowControl/>
        <w:spacing w:line="600" w:lineRule="exact"/>
        <w:ind w:firstLine="630" w:firstLineChars="0"/>
        <w:jc w:val="left"/>
        <w:rPr>
          <w:rFonts w:hint="eastAsia" w:ascii="仿宋_GB2312" w:hAnsi="Times New Roman" w:eastAsia="仿宋_GB2312" w:cs="Times New Roman"/>
          <w:b/>
          <w:bCs/>
          <w:kern w:val="2"/>
          <w:sz w:val="28"/>
          <w:szCs w:val="28"/>
          <w:highlight w:val="none"/>
        </w:rPr>
      </w:pPr>
      <w:r>
        <w:rPr>
          <w:rFonts w:hint="eastAsia" w:ascii="仿宋_GB2312" w:hAnsi="Times New Roman" w:eastAsia="仿宋_GB2312" w:cs="Times New Roman"/>
          <w:b/>
          <w:bCs/>
          <w:kern w:val="2"/>
          <w:sz w:val="28"/>
          <w:szCs w:val="28"/>
          <w:highlight w:val="none"/>
        </w:rPr>
        <w:t>（2）发生人身伤亡，重要设备损坏、遗失等重大事故；</w:t>
      </w:r>
    </w:p>
    <w:p w14:paraId="0EC91DE3">
      <w:pPr>
        <w:widowControl/>
        <w:spacing w:line="600" w:lineRule="exact"/>
        <w:ind w:firstLine="630" w:firstLineChars="0"/>
        <w:jc w:val="left"/>
        <w:rPr>
          <w:rFonts w:hint="eastAsia" w:ascii="仿宋_GB2312" w:hAnsi="Times New Roman" w:eastAsia="仿宋_GB2312" w:cs="Times New Roman"/>
          <w:b/>
          <w:bCs/>
          <w:kern w:val="2"/>
          <w:sz w:val="28"/>
          <w:szCs w:val="28"/>
          <w:highlight w:val="none"/>
        </w:rPr>
      </w:pPr>
      <w:r>
        <w:rPr>
          <w:rFonts w:hint="eastAsia" w:ascii="仿宋_GB2312" w:hAnsi="Times New Roman" w:eastAsia="仿宋_GB2312" w:cs="Times New Roman"/>
          <w:b/>
          <w:bCs/>
          <w:kern w:val="2"/>
          <w:sz w:val="28"/>
          <w:szCs w:val="28"/>
          <w:highlight w:val="none"/>
        </w:rPr>
        <w:t>（3）3个月内延迟和超时达8次；</w:t>
      </w:r>
    </w:p>
    <w:p w14:paraId="79CA3882">
      <w:pPr>
        <w:widowControl/>
        <w:spacing w:line="600" w:lineRule="exact"/>
        <w:ind w:firstLine="630" w:firstLineChars="0"/>
        <w:jc w:val="left"/>
        <w:rPr>
          <w:rFonts w:ascii="宋体" w:hAnsi="宋体" w:eastAsia="宋体" w:cs="宋体"/>
          <w:kern w:val="0"/>
          <w:sz w:val="22"/>
          <w:szCs w:val="22"/>
        </w:rPr>
      </w:pPr>
      <w:r>
        <w:rPr>
          <w:rFonts w:hint="eastAsia" w:ascii="仿宋_GB2312" w:hAnsi="Times New Roman" w:eastAsia="仿宋_GB2312" w:cs="Times New Roman"/>
          <w:b/>
          <w:bCs/>
          <w:kern w:val="2"/>
          <w:sz w:val="28"/>
          <w:szCs w:val="28"/>
          <w:highlight w:val="none"/>
        </w:rPr>
        <w:t>（4）3个月内累计扣款达1万元</w:t>
      </w:r>
      <w:r>
        <w:rPr>
          <w:rFonts w:hint="eastAsia" w:ascii="宋体" w:hAnsi="宋体" w:eastAsia="宋体" w:cs="宋体"/>
          <w:kern w:val="0"/>
          <w:sz w:val="22"/>
          <w:szCs w:val="22"/>
        </w:rPr>
        <w:t>。</w:t>
      </w:r>
    </w:p>
    <w:p w14:paraId="29FC4A9A">
      <w:pPr>
        <w:keepNext/>
        <w:widowControl/>
        <w:spacing w:before="240" w:after="60"/>
        <w:ind w:left="0" w:firstLine="560" w:firstLineChars="200"/>
        <w:jc w:val="left"/>
        <w:outlineLvl w:val="0"/>
        <w:rPr>
          <w:rFonts w:hint="eastAsia" w:ascii="仿宋_GB2312" w:hAnsi="Times New Roman" w:eastAsia="仿宋_GB2312" w:cs="Times New Roman"/>
          <w:b w:val="0"/>
          <w:kern w:val="28"/>
          <w:sz w:val="28"/>
          <w:szCs w:val="28"/>
          <w:lang w:val="en-GB" w:eastAsia="en-US" w:bidi="ar-SA"/>
        </w:rPr>
      </w:pPr>
      <w:r>
        <w:rPr>
          <w:rFonts w:hint="eastAsia" w:ascii="仿宋_GB2312" w:hAnsi="Times New Roman" w:eastAsia="仿宋_GB2312" w:cs="Times New Roman"/>
          <w:b w:val="0"/>
          <w:bCs w:val="0"/>
          <w:kern w:val="2"/>
          <w:sz w:val="28"/>
          <w:szCs w:val="28"/>
          <w:lang w:val="en-US" w:eastAsia="zh-CN" w:bidi="ar-SA"/>
        </w:rPr>
        <w:t>十五、</w:t>
      </w:r>
      <w:r>
        <w:rPr>
          <w:rFonts w:hint="eastAsia" w:ascii="仿宋_GB2312" w:hAnsi="Times New Roman" w:eastAsia="仿宋_GB2312" w:cs="Times New Roman"/>
          <w:b w:val="0"/>
          <w:kern w:val="2"/>
          <w:sz w:val="28"/>
          <w:szCs w:val="28"/>
          <w:lang w:val="en-US" w:eastAsia="zh-CN" w:bidi="ar-SA"/>
        </w:rPr>
        <w:t xml:space="preserve">付款方式： </w:t>
      </w:r>
      <w:r>
        <w:rPr>
          <w:rFonts w:hint="eastAsia" w:ascii="仿宋_GB2312" w:hAnsi="Times New Roman" w:eastAsia="仿宋_GB2312" w:cs="Times New Roman"/>
          <w:b w:val="0"/>
          <w:kern w:val="2"/>
          <w:sz w:val="28"/>
          <w:szCs w:val="28"/>
          <w:lang w:val="en-GB" w:eastAsia="en-US" w:bidi="ar-SA"/>
        </w:rPr>
        <w:t>每季度根据考核结果据实结算。</w:t>
      </w:r>
    </w:p>
    <w:p w14:paraId="3FB964C2">
      <w:pPr>
        <w:rPr>
          <w:rFonts w:hint="eastAsia"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br w:type="page"/>
      </w:r>
    </w:p>
    <w:p w14:paraId="5FF64881">
      <w:pPr>
        <w:pStyle w:val="101"/>
        <w:spacing w:before="240" w:after="120"/>
        <w:rPr>
          <w:rFonts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t>第</w:t>
      </w:r>
      <w:r>
        <w:rPr>
          <w:rFonts w:hint="eastAsia" w:cs="宋体" w:asciiTheme="minorEastAsia" w:hAnsiTheme="minorEastAsia" w:eastAsiaTheme="minorEastAsia"/>
          <w:b/>
          <w:bCs w:val="0"/>
          <w:color w:val="auto"/>
          <w:kern w:val="0"/>
          <w:sz w:val="28"/>
          <w:szCs w:val="28"/>
          <w:highlight w:val="none"/>
          <w:lang w:val="en-US" w:eastAsia="zh-CN"/>
        </w:rPr>
        <w:t>六</w:t>
      </w:r>
      <w:r>
        <w:rPr>
          <w:rFonts w:hint="eastAsia" w:cs="宋体" w:asciiTheme="minorEastAsia" w:hAnsiTheme="minorEastAsia" w:eastAsiaTheme="minorEastAsia"/>
          <w:b/>
          <w:bCs w:val="0"/>
          <w:color w:val="auto"/>
          <w:kern w:val="0"/>
          <w:sz w:val="28"/>
          <w:szCs w:val="28"/>
          <w:highlight w:val="none"/>
        </w:rPr>
        <w:t>章  响应文件格式</w:t>
      </w:r>
      <w:bookmarkEnd w:id="520"/>
      <w:bookmarkEnd w:id="521"/>
      <w:bookmarkEnd w:id="522"/>
      <w:bookmarkEnd w:id="523"/>
      <w:bookmarkEnd w:id="527"/>
      <w:bookmarkStart w:id="528" w:name="_Toc38008076"/>
      <w:bookmarkStart w:id="529" w:name="_Toc21726"/>
      <w:bookmarkStart w:id="530" w:name="_Toc139026961"/>
      <w:bookmarkStart w:id="531" w:name="_Toc3300"/>
      <w:bookmarkStart w:id="532" w:name="_Toc19470"/>
      <w:bookmarkStart w:id="533" w:name="_Toc475472670"/>
    </w:p>
    <w:p w14:paraId="268656F2">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bookmarkStart w:id="534" w:name="_Toc18011"/>
      <w:r>
        <w:rPr>
          <w:rFonts w:hint="eastAsia" w:asciiTheme="minorEastAsia" w:hAnsiTheme="minorEastAsia" w:eastAsiaTheme="minorEastAsia"/>
          <w:color w:val="auto"/>
          <w:sz w:val="24"/>
          <w:szCs w:val="24"/>
          <w:highlight w:val="none"/>
        </w:rPr>
        <w:t>第一分册 商务响应文件</w:t>
      </w:r>
      <w:bookmarkEnd w:id="528"/>
      <w:bookmarkEnd w:id="529"/>
      <w:bookmarkEnd w:id="530"/>
      <w:bookmarkEnd w:id="531"/>
      <w:bookmarkEnd w:id="534"/>
    </w:p>
    <w:p w14:paraId="035E6560">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35" w:name="_Toc1927"/>
      <w:r>
        <w:rPr>
          <w:rFonts w:hint="eastAsia" w:asciiTheme="minorEastAsia" w:hAnsiTheme="minorEastAsia" w:eastAsiaTheme="minorEastAsia"/>
          <w:color w:val="auto"/>
          <w:sz w:val="24"/>
          <w:szCs w:val="24"/>
          <w:highlight w:val="none"/>
        </w:rPr>
        <w:t>商务响应文件封面</w:t>
      </w:r>
      <w:bookmarkEnd w:id="532"/>
      <w:bookmarkEnd w:id="533"/>
      <w:bookmarkEnd w:id="535"/>
    </w:p>
    <w:p w14:paraId="66511170">
      <w:pPr>
        <w:spacing w:after="120" w:line="360" w:lineRule="atLeast"/>
        <w:jc w:val="center"/>
        <w:rPr>
          <w:rFonts w:cs="宋体" w:asciiTheme="minorEastAsia" w:hAnsiTheme="minorEastAsia" w:eastAsiaTheme="minorEastAsia"/>
          <w:color w:val="auto"/>
          <w:sz w:val="32"/>
          <w:szCs w:val="32"/>
          <w:highlight w:val="none"/>
          <w:u w:val="single"/>
        </w:rPr>
      </w:pPr>
    </w:p>
    <w:p w14:paraId="297CA8C0">
      <w:pPr>
        <w:spacing w:after="120" w:line="360" w:lineRule="atLeast"/>
        <w:jc w:val="center"/>
        <w:rPr>
          <w:rFonts w:cs="宋体" w:asciiTheme="minorEastAsia" w:hAnsiTheme="minorEastAsia" w:eastAsiaTheme="minorEastAsia"/>
          <w:color w:val="auto"/>
          <w:sz w:val="32"/>
          <w:szCs w:val="32"/>
          <w:highlight w:val="none"/>
          <w:u w:val="single"/>
        </w:rPr>
      </w:pPr>
    </w:p>
    <w:p w14:paraId="77CDC747">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5FBF3727">
      <w:pPr>
        <w:jc w:val="center"/>
        <w:rPr>
          <w:rFonts w:cs="宋体" w:asciiTheme="minorEastAsia" w:hAnsiTheme="minorEastAsia" w:eastAsiaTheme="minorEastAsia"/>
          <w:color w:val="auto"/>
          <w:sz w:val="28"/>
          <w:szCs w:val="28"/>
          <w:highlight w:val="none"/>
        </w:rPr>
      </w:pPr>
    </w:p>
    <w:p w14:paraId="47333F08">
      <w:pPr>
        <w:jc w:val="center"/>
        <w:rPr>
          <w:rFonts w:cs="宋体" w:asciiTheme="minorEastAsia" w:hAnsiTheme="minorEastAsia" w:eastAsiaTheme="minorEastAsia"/>
          <w:color w:val="auto"/>
          <w:szCs w:val="21"/>
          <w:highlight w:val="none"/>
        </w:rPr>
      </w:pPr>
    </w:p>
    <w:p w14:paraId="31884BD7">
      <w:pPr>
        <w:jc w:val="center"/>
        <w:rPr>
          <w:rFonts w:cs="宋体" w:asciiTheme="minorEastAsia" w:hAnsiTheme="minorEastAsia" w:eastAsiaTheme="minorEastAsia"/>
          <w:color w:val="auto"/>
          <w:szCs w:val="21"/>
          <w:highlight w:val="none"/>
        </w:rPr>
      </w:pPr>
    </w:p>
    <w:p w14:paraId="2CF59AF3">
      <w:pPr>
        <w:jc w:val="center"/>
        <w:rPr>
          <w:rFonts w:cs="宋体" w:asciiTheme="minorEastAsia" w:hAnsiTheme="minorEastAsia" w:eastAsiaTheme="minorEastAsia"/>
          <w:color w:val="auto"/>
          <w:szCs w:val="21"/>
          <w:highlight w:val="none"/>
        </w:rPr>
      </w:pPr>
    </w:p>
    <w:p w14:paraId="4A3E488F">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响应文件【商务响应文件】部分</w:t>
      </w:r>
    </w:p>
    <w:p w14:paraId="3D9E4709">
      <w:pPr>
        <w:spacing w:after="120"/>
        <w:jc w:val="center"/>
        <w:rPr>
          <w:rFonts w:cs="宋体" w:asciiTheme="minorEastAsia" w:hAnsiTheme="minorEastAsia" w:eastAsiaTheme="minorEastAsia"/>
          <w:b/>
          <w:color w:val="auto"/>
          <w:sz w:val="32"/>
          <w:szCs w:val="32"/>
          <w:highlight w:val="none"/>
        </w:rPr>
      </w:pPr>
    </w:p>
    <w:p w14:paraId="3F18F62E">
      <w:pPr>
        <w:spacing w:after="120"/>
        <w:jc w:val="center"/>
        <w:rPr>
          <w:rFonts w:cs="宋体" w:asciiTheme="minorEastAsia" w:hAnsiTheme="minorEastAsia" w:eastAsiaTheme="minorEastAsia"/>
          <w:b/>
          <w:color w:val="auto"/>
          <w:sz w:val="32"/>
          <w:szCs w:val="32"/>
          <w:highlight w:val="none"/>
        </w:rPr>
      </w:pPr>
    </w:p>
    <w:p w14:paraId="6335AB3F">
      <w:pPr>
        <w:spacing w:after="120"/>
        <w:jc w:val="center"/>
        <w:rPr>
          <w:rFonts w:cs="宋体" w:asciiTheme="minorEastAsia" w:hAnsiTheme="minorEastAsia" w:eastAsiaTheme="minorEastAsia"/>
          <w:b/>
          <w:color w:val="auto"/>
          <w:sz w:val="32"/>
          <w:szCs w:val="32"/>
          <w:highlight w:val="none"/>
        </w:rPr>
      </w:pPr>
    </w:p>
    <w:p w14:paraId="5B4FF47B">
      <w:pPr>
        <w:spacing w:after="120"/>
        <w:jc w:val="center"/>
        <w:rPr>
          <w:rFonts w:cs="宋体" w:asciiTheme="minorEastAsia" w:hAnsiTheme="minorEastAsia" w:eastAsiaTheme="minorEastAsia"/>
          <w:b/>
          <w:color w:val="auto"/>
          <w:sz w:val="32"/>
          <w:szCs w:val="32"/>
          <w:highlight w:val="none"/>
        </w:rPr>
      </w:pPr>
    </w:p>
    <w:p w14:paraId="2CA92A17">
      <w:pPr>
        <w:spacing w:after="120"/>
        <w:jc w:val="center"/>
        <w:rPr>
          <w:rFonts w:cs="宋体" w:asciiTheme="minorEastAsia" w:hAnsiTheme="minorEastAsia" w:eastAsiaTheme="minorEastAsia"/>
          <w:b/>
          <w:color w:val="auto"/>
          <w:sz w:val="32"/>
          <w:szCs w:val="32"/>
          <w:highlight w:val="none"/>
        </w:rPr>
      </w:pPr>
    </w:p>
    <w:p w14:paraId="5AC0C075">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0D7CA701">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3DC884F2">
      <w:pPr>
        <w:adjustRightInd w:val="0"/>
        <w:snapToGrid w:val="0"/>
        <w:spacing w:line="440" w:lineRule="exact"/>
        <w:jc w:val="center"/>
        <w:rPr>
          <w:rFonts w:cs="宋体" w:asciiTheme="minorEastAsia" w:hAnsiTheme="minorEastAsia" w:eastAsiaTheme="minorEastAsia"/>
          <w:color w:val="auto"/>
          <w:sz w:val="24"/>
          <w:highlight w:val="none"/>
        </w:rPr>
      </w:pPr>
    </w:p>
    <w:p w14:paraId="1DBBEE3F">
      <w:pPr>
        <w:rPr>
          <w:color w:val="auto"/>
          <w:highlight w:val="none"/>
        </w:rPr>
      </w:pPr>
    </w:p>
    <w:p w14:paraId="19BACB35">
      <w:pPr>
        <w:rPr>
          <w:color w:val="auto"/>
          <w:highlight w:val="none"/>
        </w:rPr>
      </w:pPr>
    </w:p>
    <w:p w14:paraId="58096EA5">
      <w:pPr>
        <w:rPr>
          <w:color w:val="auto"/>
          <w:highlight w:val="none"/>
        </w:rPr>
      </w:pPr>
    </w:p>
    <w:p w14:paraId="1206C3CF">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498C6E31">
      <w:pPr>
        <w:pStyle w:val="101"/>
        <w:adjustRightInd w:val="0"/>
        <w:snapToGrid w:val="0"/>
        <w:spacing w:before="240" w:after="120" w:line="440" w:lineRule="exact"/>
        <w:rPr>
          <w:rFonts w:cs="宋体" w:asciiTheme="minorEastAsia" w:hAnsiTheme="minorEastAsia" w:eastAsiaTheme="minorEastAsia"/>
          <w:b/>
          <w:bCs w:val="0"/>
          <w:color w:val="auto"/>
          <w:kern w:val="0"/>
          <w:sz w:val="28"/>
          <w:szCs w:val="28"/>
          <w:highlight w:val="none"/>
        </w:rPr>
        <w:sectPr>
          <w:headerReference r:id="rId10" w:type="default"/>
          <w:footerReference r:id="rId11" w:type="default"/>
          <w:pgSz w:w="11906" w:h="16838"/>
          <w:pgMar w:top="1440" w:right="1800" w:bottom="1440" w:left="1800" w:header="851" w:footer="992" w:gutter="0"/>
          <w:cols w:space="425" w:num="1"/>
          <w:docGrid w:type="lines" w:linePitch="312" w:charSpace="0"/>
        </w:sectPr>
      </w:pPr>
    </w:p>
    <w:p w14:paraId="3A801D21">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36" w:name="_Toc29977"/>
      <w:bookmarkStart w:id="537" w:name="_Toc13218"/>
      <w:bookmarkStart w:id="538" w:name="_Toc447265317"/>
      <w:bookmarkStart w:id="539" w:name="_Toc447265603"/>
      <w:bookmarkStart w:id="540" w:name="_Toc438052118"/>
      <w:r>
        <w:rPr>
          <w:rFonts w:hint="eastAsia" w:asciiTheme="minorEastAsia" w:hAnsiTheme="minorEastAsia" w:eastAsiaTheme="minorEastAsia"/>
          <w:color w:val="auto"/>
          <w:sz w:val="24"/>
          <w:szCs w:val="24"/>
          <w:highlight w:val="none"/>
        </w:rPr>
        <w:t>初步评审索引表</w:t>
      </w:r>
      <w:bookmarkEnd w:id="536"/>
      <w:bookmarkEnd w:id="537"/>
    </w:p>
    <w:p w14:paraId="3440BE91">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初步评审索引表</w:t>
      </w:r>
    </w:p>
    <w:p w14:paraId="69207BCE">
      <w:pPr>
        <w:jc w:val="center"/>
        <w:rPr>
          <w:rFonts w:asciiTheme="minorEastAsia" w:hAnsiTheme="minorEastAsia" w:eastAsiaTheme="minorEastAsia"/>
          <w:b/>
          <w:color w:val="auto"/>
          <w:highlight w:val="none"/>
        </w:rPr>
      </w:pPr>
    </w:p>
    <w:p w14:paraId="726E9F50">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46"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221"/>
        <w:gridCol w:w="1984"/>
        <w:gridCol w:w="1559"/>
        <w:gridCol w:w="1656"/>
      </w:tblGrid>
      <w:tr w14:paraId="0690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CA37F44">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2221" w:type="dxa"/>
            <w:vAlign w:val="center"/>
          </w:tcPr>
          <w:p w14:paraId="5346A6C8">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984" w:type="dxa"/>
            <w:vAlign w:val="center"/>
          </w:tcPr>
          <w:p w14:paraId="33454F3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559" w:type="dxa"/>
            <w:vAlign w:val="center"/>
          </w:tcPr>
          <w:p w14:paraId="42A8E00E">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656" w:type="dxa"/>
            <w:vAlign w:val="center"/>
          </w:tcPr>
          <w:p w14:paraId="69765C47">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5477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0FAA1B2">
            <w:pPr>
              <w:tabs>
                <w:tab w:val="left" w:pos="720"/>
              </w:tabs>
              <w:spacing w:line="360" w:lineRule="auto"/>
              <w:ind w:left="-2" w:leftChars="0" w:firstLine="1" w:firstLineChars="0"/>
              <w:jc w:val="center"/>
              <w:rPr>
                <w:rFonts w:asciiTheme="minorEastAsia" w:hAnsiTheme="minorEastAsia" w:eastAsiaTheme="minorEastAsia"/>
                <w:color w:val="auto"/>
                <w:szCs w:val="21"/>
                <w:highlight w:val="none"/>
              </w:rPr>
            </w:pPr>
            <w:r>
              <w:rPr>
                <w:rFonts w:hint="eastAsia" w:asciiTheme="minorEastAsia" w:hAnsiTheme="minorEastAsia" w:eastAsiaTheme="minorEastAsia"/>
                <w:szCs w:val="21"/>
              </w:rPr>
              <w:t>1</w:t>
            </w:r>
          </w:p>
        </w:tc>
        <w:tc>
          <w:tcPr>
            <w:tcW w:w="2221" w:type="dxa"/>
            <w:vAlign w:val="center"/>
          </w:tcPr>
          <w:p w14:paraId="6612D4BA">
            <w:pPr>
              <w:tabs>
                <w:tab w:val="left" w:pos="720"/>
              </w:tabs>
              <w:spacing w:line="360" w:lineRule="auto"/>
              <w:jc w:val="center"/>
              <w:rPr>
                <w:rFonts w:cs="宋体" w:asciiTheme="minorEastAsia" w:hAnsiTheme="minorEastAsia" w:eastAsiaTheme="minorEastAsia"/>
                <w:color w:val="auto"/>
                <w:szCs w:val="21"/>
                <w:highlight w:val="none"/>
              </w:rPr>
            </w:pPr>
            <w:r>
              <w:rPr>
                <w:rFonts w:hint="eastAsia" w:asciiTheme="minorEastAsia" w:hAnsiTheme="minorEastAsia" w:eastAsiaTheme="minorEastAsia"/>
                <w:szCs w:val="21"/>
              </w:rPr>
              <w:t>……</w:t>
            </w:r>
          </w:p>
        </w:tc>
        <w:tc>
          <w:tcPr>
            <w:tcW w:w="1984" w:type="dxa"/>
            <w:vAlign w:val="top"/>
          </w:tcPr>
          <w:p w14:paraId="2792C9B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D5A4A3B">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DDEA520">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szCs w:val="21"/>
              </w:rPr>
              <w:t>……</w:t>
            </w:r>
          </w:p>
        </w:tc>
      </w:tr>
      <w:tr w14:paraId="2ACA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946E590">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szCs w:val="21"/>
              </w:rPr>
              <w:t>2</w:t>
            </w:r>
          </w:p>
        </w:tc>
        <w:tc>
          <w:tcPr>
            <w:tcW w:w="2221" w:type="dxa"/>
            <w:vAlign w:val="center"/>
          </w:tcPr>
          <w:p w14:paraId="3BE5E646">
            <w:pPr>
              <w:tabs>
                <w:tab w:val="left" w:pos="720"/>
              </w:tabs>
              <w:spacing w:line="360" w:lineRule="auto"/>
              <w:jc w:val="center"/>
              <w:rPr>
                <w:rFonts w:hint="default" w:cs="宋体" w:asciiTheme="minorEastAsia" w:hAnsiTheme="minorEastAsia" w:eastAsiaTheme="minorEastAsia"/>
                <w:color w:val="auto"/>
                <w:kern w:val="0"/>
                <w:szCs w:val="21"/>
                <w:highlight w:val="none"/>
                <w:lang w:val="en-US" w:eastAsia="zh-CN"/>
              </w:rPr>
            </w:pPr>
            <w:r>
              <w:rPr>
                <w:rFonts w:hint="eastAsia" w:asciiTheme="minorEastAsia" w:hAnsiTheme="minorEastAsia" w:eastAsiaTheme="minorEastAsia"/>
                <w:szCs w:val="21"/>
              </w:rPr>
              <w:t>……</w:t>
            </w:r>
          </w:p>
        </w:tc>
        <w:tc>
          <w:tcPr>
            <w:tcW w:w="1984" w:type="dxa"/>
            <w:vAlign w:val="top"/>
          </w:tcPr>
          <w:p w14:paraId="7CB12AB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6F3D48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3208A1A">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szCs w:val="21"/>
              </w:rPr>
              <w:t>……</w:t>
            </w:r>
          </w:p>
        </w:tc>
      </w:tr>
      <w:tr w14:paraId="6735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24B10F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szCs w:val="21"/>
              </w:rPr>
              <w:t>3</w:t>
            </w:r>
          </w:p>
        </w:tc>
        <w:tc>
          <w:tcPr>
            <w:tcW w:w="2221" w:type="dxa"/>
            <w:vAlign w:val="center"/>
          </w:tcPr>
          <w:p w14:paraId="3F1543EE">
            <w:pPr>
              <w:tabs>
                <w:tab w:val="left" w:pos="720"/>
              </w:tabs>
              <w:spacing w:line="360" w:lineRule="auto"/>
              <w:jc w:val="center"/>
              <w:rPr>
                <w:rFonts w:cs="宋体" w:asciiTheme="minorEastAsia" w:hAnsiTheme="minorEastAsia" w:eastAsiaTheme="minorEastAsia"/>
                <w:color w:val="auto"/>
                <w:szCs w:val="21"/>
                <w:highlight w:val="none"/>
              </w:rPr>
            </w:pPr>
            <w:r>
              <w:rPr>
                <w:rFonts w:hint="eastAsia" w:asciiTheme="minorEastAsia" w:hAnsiTheme="minorEastAsia" w:eastAsiaTheme="minorEastAsia"/>
                <w:szCs w:val="21"/>
              </w:rPr>
              <w:t>……</w:t>
            </w:r>
          </w:p>
        </w:tc>
        <w:tc>
          <w:tcPr>
            <w:tcW w:w="1984" w:type="dxa"/>
            <w:vAlign w:val="top"/>
          </w:tcPr>
          <w:p w14:paraId="4F1DE581">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B9AF0E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2F5C219">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szCs w:val="21"/>
              </w:rPr>
              <w:t>……</w:t>
            </w:r>
          </w:p>
        </w:tc>
      </w:tr>
      <w:tr w14:paraId="62F2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1026" w:type="dxa"/>
            <w:vAlign w:val="center"/>
          </w:tcPr>
          <w:p w14:paraId="03BD65F3">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77999D75">
            <w:pPr>
              <w:snapToGrid w:val="0"/>
              <w:spacing w:line="240" w:lineRule="auto"/>
              <w:jc w:val="center"/>
              <w:rPr>
                <w:rFonts w:cs="宋体" w:asciiTheme="minorEastAsia" w:hAnsiTheme="minorEastAsia" w:eastAsiaTheme="minorEastAsia"/>
                <w:color w:val="auto"/>
                <w:szCs w:val="21"/>
                <w:highlight w:val="none"/>
              </w:rPr>
            </w:pPr>
          </w:p>
        </w:tc>
        <w:tc>
          <w:tcPr>
            <w:tcW w:w="1984" w:type="dxa"/>
          </w:tcPr>
          <w:p w14:paraId="36BDE12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33522C8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652B460">
            <w:pPr>
              <w:spacing w:line="360" w:lineRule="auto"/>
              <w:jc w:val="center"/>
              <w:rPr>
                <w:rFonts w:asciiTheme="minorEastAsia" w:hAnsiTheme="minorEastAsia" w:eastAsiaTheme="minorEastAsia"/>
                <w:color w:val="auto"/>
                <w:szCs w:val="21"/>
                <w:highlight w:val="none"/>
              </w:rPr>
            </w:pPr>
          </w:p>
        </w:tc>
      </w:tr>
      <w:tr w14:paraId="7FCE0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5B82FD">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180A57EA">
            <w:pPr>
              <w:snapToGrid w:val="0"/>
              <w:spacing w:line="240" w:lineRule="auto"/>
              <w:jc w:val="center"/>
              <w:rPr>
                <w:rFonts w:cs="宋体" w:asciiTheme="minorEastAsia" w:hAnsiTheme="minorEastAsia" w:eastAsiaTheme="minorEastAsia"/>
                <w:color w:val="auto"/>
                <w:szCs w:val="21"/>
                <w:highlight w:val="none"/>
              </w:rPr>
            </w:pPr>
          </w:p>
        </w:tc>
        <w:tc>
          <w:tcPr>
            <w:tcW w:w="1984" w:type="dxa"/>
          </w:tcPr>
          <w:p w14:paraId="7FF4224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55BC97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B163C70">
            <w:pPr>
              <w:spacing w:line="360" w:lineRule="auto"/>
              <w:jc w:val="center"/>
              <w:rPr>
                <w:rFonts w:asciiTheme="minorEastAsia" w:hAnsiTheme="minorEastAsia" w:eastAsiaTheme="minorEastAsia"/>
                <w:color w:val="auto"/>
                <w:szCs w:val="21"/>
                <w:highlight w:val="none"/>
              </w:rPr>
            </w:pPr>
          </w:p>
        </w:tc>
      </w:tr>
      <w:tr w14:paraId="564D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AC06CB7">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3D5FD893">
            <w:pPr>
              <w:snapToGrid w:val="0"/>
              <w:spacing w:line="240" w:lineRule="auto"/>
              <w:jc w:val="center"/>
              <w:rPr>
                <w:rFonts w:cs="宋体" w:asciiTheme="minorEastAsia" w:hAnsiTheme="minorEastAsia" w:eastAsiaTheme="minorEastAsia"/>
                <w:color w:val="auto"/>
                <w:szCs w:val="21"/>
                <w:highlight w:val="none"/>
              </w:rPr>
            </w:pPr>
          </w:p>
        </w:tc>
        <w:tc>
          <w:tcPr>
            <w:tcW w:w="1984" w:type="dxa"/>
          </w:tcPr>
          <w:p w14:paraId="38F0A95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D2A2094">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388FF308">
            <w:pPr>
              <w:spacing w:line="360" w:lineRule="auto"/>
              <w:jc w:val="center"/>
              <w:rPr>
                <w:rFonts w:asciiTheme="minorEastAsia" w:hAnsiTheme="minorEastAsia" w:eastAsiaTheme="minorEastAsia"/>
                <w:color w:val="auto"/>
                <w:szCs w:val="21"/>
                <w:highlight w:val="none"/>
              </w:rPr>
            </w:pPr>
          </w:p>
        </w:tc>
      </w:tr>
      <w:tr w14:paraId="10372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4386B73">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11A86D27">
            <w:pPr>
              <w:snapToGrid w:val="0"/>
              <w:jc w:val="center"/>
              <w:rPr>
                <w:rFonts w:cs="宋体" w:asciiTheme="minorEastAsia" w:hAnsiTheme="minorEastAsia" w:eastAsiaTheme="minorEastAsia"/>
                <w:color w:val="auto"/>
                <w:szCs w:val="21"/>
                <w:highlight w:val="none"/>
              </w:rPr>
            </w:pPr>
          </w:p>
        </w:tc>
        <w:tc>
          <w:tcPr>
            <w:tcW w:w="1984" w:type="dxa"/>
          </w:tcPr>
          <w:p w14:paraId="0A44C81E">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45F4257C">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47E4DA44">
            <w:pPr>
              <w:spacing w:line="360" w:lineRule="auto"/>
              <w:jc w:val="center"/>
              <w:rPr>
                <w:rFonts w:asciiTheme="minorEastAsia" w:hAnsiTheme="minorEastAsia" w:eastAsiaTheme="minorEastAsia"/>
                <w:color w:val="auto"/>
                <w:szCs w:val="21"/>
                <w:highlight w:val="none"/>
              </w:rPr>
            </w:pPr>
          </w:p>
        </w:tc>
      </w:tr>
      <w:tr w14:paraId="6910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8C746A3">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3670C499">
            <w:pPr>
              <w:snapToGrid w:val="0"/>
              <w:jc w:val="center"/>
              <w:rPr>
                <w:rFonts w:cs="宋体" w:asciiTheme="minorEastAsia" w:hAnsiTheme="minorEastAsia" w:eastAsiaTheme="minorEastAsia"/>
                <w:color w:val="auto"/>
                <w:kern w:val="0"/>
                <w:szCs w:val="21"/>
                <w:highlight w:val="none"/>
              </w:rPr>
            </w:pPr>
          </w:p>
        </w:tc>
        <w:tc>
          <w:tcPr>
            <w:tcW w:w="1984" w:type="dxa"/>
          </w:tcPr>
          <w:p w14:paraId="17467FA3">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76E1B7F7">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0C3EBB1A">
            <w:pPr>
              <w:spacing w:line="360" w:lineRule="auto"/>
              <w:jc w:val="center"/>
              <w:rPr>
                <w:rFonts w:asciiTheme="minorEastAsia" w:hAnsiTheme="minorEastAsia" w:eastAsiaTheme="minorEastAsia"/>
                <w:color w:val="auto"/>
                <w:szCs w:val="21"/>
                <w:highlight w:val="none"/>
              </w:rPr>
            </w:pPr>
          </w:p>
        </w:tc>
      </w:tr>
      <w:tr w14:paraId="29EA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3FEFE14">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32F25A4C">
            <w:pPr>
              <w:snapToGrid w:val="0"/>
              <w:jc w:val="center"/>
              <w:rPr>
                <w:rFonts w:cs="宋体" w:asciiTheme="minorEastAsia" w:hAnsiTheme="minorEastAsia" w:eastAsiaTheme="minorEastAsia"/>
                <w:color w:val="auto"/>
                <w:szCs w:val="21"/>
                <w:highlight w:val="none"/>
              </w:rPr>
            </w:pPr>
          </w:p>
        </w:tc>
        <w:tc>
          <w:tcPr>
            <w:tcW w:w="1984" w:type="dxa"/>
          </w:tcPr>
          <w:p w14:paraId="64436A8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A503EE8">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18C3C1F">
            <w:pPr>
              <w:spacing w:line="360" w:lineRule="auto"/>
              <w:jc w:val="center"/>
              <w:rPr>
                <w:rFonts w:asciiTheme="minorEastAsia" w:hAnsiTheme="minorEastAsia" w:eastAsiaTheme="minorEastAsia"/>
                <w:color w:val="auto"/>
                <w:szCs w:val="21"/>
                <w:highlight w:val="none"/>
              </w:rPr>
            </w:pPr>
          </w:p>
        </w:tc>
      </w:tr>
      <w:tr w14:paraId="480E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AC1FC6A">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7F344C8B">
            <w:pPr>
              <w:snapToGrid w:val="0"/>
              <w:jc w:val="left"/>
              <w:rPr>
                <w:rFonts w:cs="宋体" w:asciiTheme="minorEastAsia" w:hAnsiTheme="minorEastAsia" w:eastAsiaTheme="minorEastAsia"/>
                <w:color w:val="auto"/>
                <w:szCs w:val="21"/>
                <w:highlight w:val="none"/>
              </w:rPr>
            </w:pPr>
          </w:p>
        </w:tc>
        <w:tc>
          <w:tcPr>
            <w:tcW w:w="1984" w:type="dxa"/>
          </w:tcPr>
          <w:p w14:paraId="665B92D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64D439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D68871E">
            <w:pPr>
              <w:spacing w:line="360" w:lineRule="auto"/>
              <w:jc w:val="center"/>
              <w:rPr>
                <w:rFonts w:asciiTheme="minorEastAsia" w:hAnsiTheme="minorEastAsia" w:eastAsiaTheme="minorEastAsia"/>
                <w:color w:val="auto"/>
                <w:szCs w:val="21"/>
                <w:highlight w:val="none"/>
              </w:rPr>
            </w:pPr>
          </w:p>
        </w:tc>
      </w:tr>
      <w:tr w14:paraId="78787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8FA0F6">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01C63574">
            <w:pPr>
              <w:snapToGrid w:val="0"/>
              <w:jc w:val="center"/>
              <w:rPr>
                <w:rFonts w:ascii="宋体" w:hAnsi="宋体" w:cs="宋体"/>
                <w:color w:val="auto"/>
                <w:szCs w:val="21"/>
                <w:highlight w:val="none"/>
              </w:rPr>
            </w:pPr>
          </w:p>
        </w:tc>
        <w:tc>
          <w:tcPr>
            <w:tcW w:w="1984" w:type="dxa"/>
          </w:tcPr>
          <w:p w14:paraId="21945F76">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359A801">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3EBBA2C">
            <w:pPr>
              <w:spacing w:line="360" w:lineRule="auto"/>
              <w:jc w:val="center"/>
              <w:rPr>
                <w:rFonts w:asciiTheme="minorEastAsia" w:hAnsiTheme="minorEastAsia" w:eastAsiaTheme="minorEastAsia"/>
                <w:color w:val="auto"/>
                <w:szCs w:val="21"/>
                <w:highlight w:val="none"/>
              </w:rPr>
            </w:pPr>
          </w:p>
        </w:tc>
      </w:tr>
      <w:tr w14:paraId="471D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8DBC1BE">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1F2E0FB8">
            <w:pPr>
              <w:snapToGrid w:val="0"/>
              <w:jc w:val="center"/>
              <w:rPr>
                <w:rFonts w:cs="宋体" w:asciiTheme="minorEastAsia" w:hAnsiTheme="minorEastAsia" w:eastAsiaTheme="minorEastAsia"/>
                <w:color w:val="auto"/>
                <w:szCs w:val="21"/>
                <w:highlight w:val="none"/>
              </w:rPr>
            </w:pPr>
          </w:p>
        </w:tc>
        <w:tc>
          <w:tcPr>
            <w:tcW w:w="1984" w:type="dxa"/>
          </w:tcPr>
          <w:p w14:paraId="1F17FBB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F470CF3">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2BDB0C8E">
            <w:pPr>
              <w:spacing w:line="360" w:lineRule="auto"/>
              <w:jc w:val="center"/>
              <w:rPr>
                <w:rFonts w:asciiTheme="minorEastAsia" w:hAnsiTheme="minorEastAsia" w:eastAsiaTheme="minorEastAsia"/>
                <w:color w:val="auto"/>
                <w:szCs w:val="21"/>
                <w:highlight w:val="none"/>
              </w:rPr>
            </w:pPr>
          </w:p>
        </w:tc>
      </w:tr>
      <w:tr w14:paraId="4553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EEE9AD7">
            <w:pPr>
              <w:tabs>
                <w:tab w:val="left" w:pos="720"/>
              </w:tabs>
              <w:spacing w:line="360" w:lineRule="auto"/>
              <w:jc w:val="center"/>
              <w:rPr>
                <w:rFonts w:asciiTheme="minorEastAsia" w:hAnsiTheme="minorEastAsia" w:eastAsiaTheme="minorEastAsia"/>
                <w:color w:val="auto"/>
                <w:szCs w:val="21"/>
                <w:highlight w:val="none"/>
              </w:rPr>
            </w:pPr>
          </w:p>
        </w:tc>
        <w:tc>
          <w:tcPr>
            <w:tcW w:w="2221" w:type="dxa"/>
            <w:vAlign w:val="center"/>
          </w:tcPr>
          <w:p w14:paraId="45EDC677">
            <w:pPr>
              <w:snapToGrid w:val="0"/>
              <w:jc w:val="center"/>
              <w:rPr>
                <w:rFonts w:cs="宋体" w:asciiTheme="minorEastAsia" w:hAnsiTheme="minorEastAsia" w:eastAsiaTheme="minorEastAsia"/>
                <w:color w:val="auto"/>
                <w:szCs w:val="21"/>
                <w:highlight w:val="none"/>
              </w:rPr>
            </w:pPr>
          </w:p>
        </w:tc>
        <w:tc>
          <w:tcPr>
            <w:tcW w:w="1984" w:type="dxa"/>
          </w:tcPr>
          <w:p w14:paraId="4357256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62CC79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C8BD605">
            <w:pPr>
              <w:spacing w:line="360" w:lineRule="auto"/>
              <w:jc w:val="center"/>
              <w:rPr>
                <w:rFonts w:asciiTheme="minorEastAsia" w:hAnsiTheme="minorEastAsia" w:eastAsiaTheme="minorEastAsia"/>
                <w:color w:val="auto"/>
                <w:szCs w:val="21"/>
                <w:highlight w:val="none"/>
              </w:rPr>
            </w:pPr>
          </w:p>
        </w:tc>
      </w:tr>
      <w:tr w14:paraId="42A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BD344C9">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221" w:type="dxa"/>
            <w:vAlign w:val="center"/>
          </w:tcPr>
          <w:p w14:paraId="66ACBF14">
            <w:pPr>
              <w:snapToGrid w:val="0"/>
              <w:spacing w:line="240" w:lineRule="auto"/>
              <w:jc w:val="center"/>
              <w:rPr>
                <w:rFonts w:ascii="宋体" w:hAnsi="宋体" w:cs="宋体"/>
                <w:color w:val="auto"/>
                <w:szCs w:val="21"/>
                <w:highlight w:val="none"/>
              </w:rPr>
            </w:pPr>
          </w:p>
        </w:tc>
        <w:tc>
          <w:tcPr>
            <w:tcW w:w="1984" w:type="dxa"/>
          </w:tcPr>
          <w:p w14:paraId="31C5BAB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1EDD9F4">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0AD548C">
            <w:pPr>
              <w:spacing w:line="360" w:lineRule="auto"/>
              <w:jc w:val="center"/>
              <w:rPr>
                <w:rFonts w:asciiTheme="minorEastAsia" w:hAnsiTheme="minorEastAsia" w:eastAsiaTheme="minorEastAsia"/>
                <w:color w:val="auto"/>
                <w:szCs w:val="21"/>
                <w:highlight w:val="none"/>
              </w:rPr>
            </w:pPr>
          </w:p>
        </w:tc>
      </w:tr>
      <w:tr w14:paraId="14D8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5D10EA0">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221" w:type="dxa"/>
            <w:vAlign w:val="center"/>
          </w:tcPr>
          <w:p w14:paraId="0A54BDE1">
            <w:pPr>
              <w:snapToGrid w:val="0"/>
              <w:spacing w:line="240" w:lineRule="auto"/>
              <w:jc w:val="center"/>
              <w:rPr>
                <w:rFonts w:ascii="宋体" w:hAnsi="宋体" w:cs="宋体"/>
                <w:color w:val="auto"/>
                <w:szCs w:val="21"/>
                <w:highlight w:val="none"/>
              </w:rPr>
            </w:pPr>
          </w:p>
        </w:tc>
        <w:tc>
          <w:tcPr>
            <w:tcW w:w="1984" w:type="dxa"/>
          </w:tcPr>
          <w:p w14:paraId="0CDF2A4B">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7DB61298">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F7E1D3E">
            <w:pPr>
              <w:spacing w:line="360" w:lineRule="auto"/>
              <w:jc w:val="center"/>
              <w:rPr>
                <w:rFonts w:asciiTheme="minorEastAsia" w:hAnsiTheme="minorEastAsia" w:eastAsiaTheme="minorEastAsia"/>
                <w:color w:val="auto"/>
                <w:szCs w:val="21"/>
                <w:highlight w:val="none"/>
              </w:rPr>
            </w:pPr>
          </w:p>
        </w:tc>
      </w:tr>
    </w:tbl>
    <w:p w14:paraId="0E0D3E3C">
      <w:pPr>
        <w:widowControl/>
        <w:jc w:val="left"/>
        <w:rPr>
          <w:rFonts w:asciiTheme="minorEastAsia" w:hAnsiTheme="minorEastAsia" w:eastAsiaTheme="minorEastAsia"/>
          <w:b/>
          <w:bCs/>
          <w:color w:val="auto"/>
          <w:sz w:val="24"/>
          <w:highlight w:val="none"/>
        </w:rPr>
      </w:pPr>
    </w:p>
    <w:p w14:paraId="08E54AD7">
      <w:pPr>
        <w:widowControl/>
        <w:jc w:val="left"/>
        <w:rPr>
          <w:rFonts w:asciiTheme="minorEastAsia" w:hAnsiTheme="minorEastAsia" w:eastAsiaTheme="minorEastAsia"/>
          <w:b/>
          <w:bCs/>
          <w:color w:val="auto"/>
          <w:sz w:val="24"/>
          <w:highlight w:val="none"/>
        </w:rPr>
      </w:pPr>
    </w:p>
    <w:p w14:paraId="03D1F666">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0E898635">
      <w:pPr>
        <w:widowControl/>
        <w:jc w:val="left"/>
        <w:rPr>
          <w:rFonts w:asciiTheme="minorEastAsia" w:hAnsiTheme="minorEastAsia" w:eastAsiaTheme="minorEastAsia"/>
          <w:b/>
          <w:bCs/>
          <w:color w:val="auto"/>
          <w:sz w:val="24"/>
          <w:highlight w:val="none"/>
        </w:rPr>
      </w:pPr>
    </w:p>
    <w:p w14:paraId="1813228E">
      <w:pPr>
        <w:widowControl/>
        <w:jc w:val="left"/>
        <w:rPr>
          <w:rFonts w:asciiTheme="minorEastAsia" w:hAnsiTheme="minorEastAsia" w:eastAsiaTheme="minorEastAsia"/>
          <w:b/>
          <w:bCs/>
          <w:color w:val="auto"/>
          <w:sz w:val="24"/>
          <w:highlight w:val="none"/>
        </w:rPr>
      </w:pPr>
      <w:r>
        <w:rPr>
          <w:rFonts w:asciiTheme="minorEastAsia" w:hAnsiTheme="minorEastAsia" w:eastAsiaTheme="minorEastAsia"/>
          <w:color w:val="auto"/>
          <w:sz w:val="24"/>
          <w:highlight w:val="none"/>
        </w:rPr>
        <w:br w:type="page"/>
      </w:r>
    </w:p>
    <w:p w14:paraId="5061E40D">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41" w:name="_Toc20888"/>
      <w:bookmarkStart w:id="542" w:name="_Toc19737"/>
      <w:r>
        <w:rPr>
          <w:rFonts w:hint="eastAsia" w:asciiTheme="minorEastAsia" w:hAnsiTheme="minorEastAsia" w:eastAsiaTheme="minorEastAsia"/>
          <w:color w:val="auto"/>
          <w:sz w:val="24"/>
          <w:szCs w:val="24"/>
          <w:highlight w:val="none"/>
        </w:rPr>
        <w:t>商务评审索引表</w:t>
      </w:r>
      <w:bookmarkEnd w:id="541"/>
      <w:bookmarkEnd w:id="542"/>
    </w:p>
    <w:p w14:paraId="4F90C861">
      <w:pPr>
        <w:rPr>
          <w:rFonts w:asciiTheme="minorEastAsia" w:hAnsiTheme="minorEastAsia" w:eastAsiaTheme="minorEastAsia"/>
          <w:color w:val="auto"/>
          <w:highlight w:val="none"/>
        </w:rPr>
      </w:pPr>
    </w:p>
    <w:p w14:paraId="6E293778">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商务评审索引表</w:t>
      </w:r>
    </w:p>
    <w:p w14:paraId="77BA3252">
      <w:pPr>
        <w:jc w:val="center"/>
        <w:rPr>
          <w:rFonts w:asciiTheme="minorEastAsia" w:hAnsiTheme="minorEastAsia" w:eastAsiaTheme="minorEastAsia"/>
          <w:b/>
          <w:color w:val="auto"/>
          <w:highlight w:val="none"/>
        </w:rPr>
      </w:pPr>
    </w:p>
    <w:p w14:paraId="563584B1">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46"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795"/>
        <w:gridCol w:w="1985"/>
        <w:gridCol w:w="1984"/>
        <w:gridCol w:w="1656"/>
      </w:tblGrid>
      <w:tr w14:paraId="3CD8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787037D">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1795" w:type="dxa"/>
            <w:vAlign w:val="center"/>
          </w:tcPr>
          <w:p w14:paraId="76891CA9">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985" w:type="dxa"/>
            <w:vAlign w:val="center"/>
          </w:tcPr>
          <w:p w14:paraId="39E8770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984" w:type="dxa"/>
            <w:vAlign w:val="center"/>
          </w:tcPr>
          <w:p w14:paraId="64AFA2B3">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656" w:type="dxa"/>
            <w:vAlign w:val="center"/>
          </w:tcPr>
          <w:p w14:paraId="584B5C0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7C24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31C0FDB">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1795" w:type="dxa"/>
            <w:vAlign w:val="center"/>
          </w:tcPr>
          <w:p w14:paraId="3BCCCF8D">
            <w:pPr>
              <w:tabs>
                <w:tab w:val="left" w:pos="720"/>
              </w:tabs>
              <w:spacing w:line="360" w:lineRule="auto"/>
              <w:jc w:val="center"/>
              <w:rPr>
                <w:rFonts w:hint="default" w:ascii="宋体" w:hAnsi="宋体" w:eastAsia="宋体" w:cs="宋体"/>
                <w:color w:val="auto"/>
                <w:kern w:val="0"/>
                <w:sz w:val="22"/>
                <w:szCs w:val="22"/>
                <w:highlight w:val="none"/>
                <w:lang w:val="en-US" w:eastAsia="zh-CN" w:bidi="ar"/>
              </w:rPr>
            </w:pPr>
            <w:r>
              <w:rPr>
                <w:rFonts w:hint="eastAsia" w:asciiTheme="minorEastAsia" w:hAnsiTheme="minorEastAsia" w:eastAsiaTheme="minorEastAsia"/>
                <w:color w:val="auto"/>
                <w:szCs w:val="21"/>
                <w:highlight w:val="none"/>
              </w:rPr>
              <w:t>……</w:t>
            </w:r>
          </w:p>
        </w:tc>
        <w:tc>
          <w:tcPr>
            <w:tcW w:w="1985" w:type="dxa"/>
          </w:tcPr>
          <w:p w14:paraId="6C508465">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285A5B1E">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D7681E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916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57BC32C">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795" w:type="dxa"/>
            <w:vAlign w:val="center"/>
          </w:tcPr>
          <w:p w14:paraId="13932F22">
            <w:pPr>
              <w:tabs>
                <w:tab w:val="left" w:pos="720"/>
              </w:tabs>
              <w:spacing w:line="360" w:lineRule="auto"/>
              <w:jc w:val="center"/>
              <w:rPr>
                <w:rFonts w:ascii="宋体" w:hAnsi="宋体" w:cs="宋体"/>
                <w:color w:val="auto"/>
                <w:kern w:val="0"/>
                <w:sz w:val="22"/>
                <w:szCs w:val="22"/>
                <w:highlight w:val="none"/>
                <w:lang w:bidi="ar"/>
              </w:rPr>
            </w:pPr>
            <w:r>
              <w:rPr>
                <w:rFonts w:hint="eastAsia" w:asciiTheme="minorEastAsia" w:hAnsiTheme="minorEastAsia" w:eastAsiaTheme="minorEastAsia"/>
                <w:color w:val="auto"/>
                <w:szCs w:val="21"/>
                <w:highlight w:val="none"/>
              </w:rPr>
              <w:t>……</w:t>
            </w:r>
          </w:p>
        </w:tc>
        <w:tc>
          <w:tcPr>
            <w:tcW w:w="1985" w:type="dxa"/>
          </w:tcPr>
          <w:p w14:paraId="7A7BCCD6">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5DCFBD52">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F632AC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B0E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D0EA704">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1795" w:type="dxa"/>
            <w:vAlign w:val="center"/>
          </w:tcPr>
          <w:p w14:paraId="48835461">
            <w:pPr>
              <w:jc w:val="center"/>
              <w:rPr>
                <w:rFonts w:ascii="宋体" w:hAnsi="宋体" w:cs="宋体"/>
                <w:color w:val="auto"/>
                <w:kern w:val="0"/>
                <w:sz w:val="22"/>
                <w:szCs w:val="22"/>
                <w:highlight w:val="none"/>
                <w:lang w:bidi="ar"/>
              </w:rPr>
            </w:pPr>
          </w:p>
        </w:tc>
        <w:tc>
          <w:tcPr>
            <w:tcW w:w="1985" w:type="dxa"/>
          </w:tcPr>
          <w:p w14:paraId="20FDBFB4">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40C1ADD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59759B4">
            <w:pPr>
              <w:tabs>
                <w:tab w:val="left" w:pos="720"/>
              </w:tabs>
              <w:spacing w:line="360" w:lineRule="auto"/>
              <w:jc w:val="center"/>
              <w:rPr>
                <w:rFonts w:asciiTheme="minorEastAsia" w:hAnsiTheme="minorEastAsia" w:eastAsiaTheme="minorEastAsia"/>
                <w:color w:val="auto"/>
                <w:szCs w:val="21"/>
                <w:highlight w:val="none"/>
              </w:rPr>
            </w:pPr>
          </w:p>
        </w:tc>
      </w:tr>
      <w:tr w14:paraId="164D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0945221">
            <w:pPr>
              <w:tabs>
                <w:tab w:val="left" w:pos="720"/>
              </w:tabs>
              <w:spacing w:line="360" w:lineRule="auto"/>
              <w:jc w:val="center"/>
              <w:rPr>
                <w:rFonts w:hint="eastAsia" w:asciiTheme="minorEastAsia" w:hAnsiTheme="minorEastAsia" w:eastAsiaTheme="minorEastAsia"/>
                <w:color w:val="auto"/>
                <w:szCs w:val="21"/>
                <w:highlight w:val="none"/>
                <w:lang w:val="en-US" w:eastAsia="zh-CN"/>
              </w:rPr>
            </w:pPr>
          </w:p>
        </w:tc>
        <w:tc>
          <w:tcPr>
            <w:tcW w:w="1795" w:type="dxa"/>
            <w:vAlign w:val="center"/>
          </w:tcPr>
          <w:p w14:paraId="0E45DA78">
            <w:pPr>
              <w:spacing w:line="360" w:lineRule="auto"/>
              <w:jc w:val="center"/>
              <w:rPr>
                <w:rFonts w:asciiTheme="minorEastAsia" w:hAnsiTheme="minorEastAsia" w:eastAsiaTheme="minorEastAsia"/>
                <w:color w:val="auto"/>
                <w:szCs w:val="21"/>
                <w:highlight w:val="none"/>
              </w:rPr>
            </w:pPr>
          </w:p>
        </w:tc>
        <w:tc>
          <w:tcPr>
            <w:tcW w:w="1985" w:type="dxa"/>
          </w:tcPr>
          <w:p w14:paraId="09044FEF">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904200F">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6032DC70">
            <w:pPr>
              <w:tabs>
                <w:tab w:val="left" w:pos="720"/>
              </w:tabs>
              <w:spacing w:line="360" w:lineRule="auto"/>
              <w:jc w:val="center"/>
              <w:rPr>
                <w:rFonts w:asciiTheme="minorEastAsia" w:hAnsiTheme="minorEastAsia" w:eastAsiaTheme="minorEastAsia"/>
                <w:color w:val="auto"/>
                <w:szCs w:val="21"/>
                <w:highlight w:val="none"/>
              </w:rPr>
            </w:pPr>
          </w:p>
        </w:tc>
      </w:tr>
      <w:tr w14:paraId="7EA9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4AA97A9">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1AF8B087">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1DC70EC5">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3AA28E0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21C3D0EB">
            <w:pPr>
              <w:tabs>
                <w:tab w:val="left" w:pos="720"/>
              </w:tabs>
              <w:spacing w:line="360" w:lineRule="auto"/>
              <w:jc w:val="center"/>
              <w:rPr>
                <w:rFonts w:asciiTheme="minorEastAsia" w:hAnsiTheme="minorEastAsia" w:eastAsiaTheme="minorEastAsia"/>
                <w:color w:val="auto"/>
                <w:szCs w:val="21"/>
                <w:highlight w:val="none"/>
              </w:rPr>
            </w:pPr>
          </w:p>
        </w:tc>
      </w:tr>
      <w:tr w14:paraId="7633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1FDAD9F">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1BCE8583">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592046B8">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E3EC51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187CB8C">
            <w:pPr>
              <w:tabs>
                <w:tab w:val="left" w:pos="720"/>
              </w:tabs>
              <w:spacing w:line="360" w:lineRule="auto"/>
              <w:jc w:val="center"/>
              <w:rPr>
                <w:rFonts w:asciiTheme="minorEastAsia" w:hAnsiTheme="minorEastAsia" w:eastAsiaTheme="minorEastAsia"/>
                <w:color w:val="auto"/>
                <w:szCs w:val="21"/>
                <w:highlight w:val="none"/>
              </w:rPr>
            </w:pPr>
          </w:p>
        </w:tc>
      </w:tr>
      <w:tr w14:paraId="24F0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B998424">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0DD47680">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222080D0">
            <w:pPr>
              <w:tabs>
                <w:tab w:val="left" w:pos="720"/>
              </w:tabs>
              <w:spacing w:line="360" w:lineRule="auto"/>
              <w:ind w:left="420"/>
              <w:jc w:val="center"/>
              <w:rPr>
                <w:rFonts w:asciiTheme="minorEastAsia" w:hAnsiTheme="minorEastAsia" w:eastAsiaTheme="minorEastAsia"/>
                <w:color w:val="auto"/>
                <w:szCs w:val="21"/>
                <w:highlight w:val="none"/>
              </w:rPr>
            </w:pPr>
          </w:p>
        </w:tc>
        <w:tc>
          <w:tcPr>
            <w:tcW w:w="1984" w:type="dxa"/>
            <w:vAlign w:val="center"/>
          </w:tcPr>
          <w:p w14:paraId="21CE56A9">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55D3E5D1">
            <w:pPr>
              <w:tabs>
                <w:tab w:val="left" w:pos="720"/>
              </w:tabs>
              <w:spacing w:line="360" w:lineRule="auto"/>
              <w:ind w:left="420"/>
              <w:jc w:val="center"/>
              <w:rPr>
                <w:rFonts w:asciiTheme="minorEastAsia" w:hAnsiTheme="minorEastAsia" w:eastAsiaTheme="minorEastAsia"/>
                <w:color w:val="auto"/>
                <w:szCs w:val="21"/>
                <w:highlight w:val="none"/>
              </w:rPr>
            </w:pPr>
          </w:p>
        </w:tc>
      </w:tr>
      <w:tr w14:paraId="6265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B78A32F">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6E5219D9">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7761B227">
            <w:pPr>
              <w:tabs>
                <w:tab w:val="left" w:pos="720"/>
              </w:tabs>
              <w:spacing w:line="360" w:lineRule="auto"/>
              <w:ind w:left="420"/>
              <w:jc w:val="center"/>
              <w:rPr>
                <w:rFonts w:asciiTheme="minorEastAsia" w:hAnsiTheme="minorEastAsia" w:eastAsiaTheme="minorEastAsia"/>
                <w:color w:val="auto"/>
                <w:szCs w:val="21"/>
                <w:highlight w:val="none"/>
              </w:rPr>
            </w:pPr>
          </w:p>
        </w:tc>
        <w:tc>
          <w:tcPr>
            <w:tcW w:w="1984" w:type="dxa"/>
            <w:vAlign w:val="center"/>
          </w:tcPr>
          <w:p w14:paraId="3CB55E5A">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5CCA67F9">
            <w:pPr>
              <w:tabs>
                <w:tab w:val="left" w:pos="720"/>
              </w:tabs>
              <w:spacing w:line="360" w:lineRule="auto"/>
              <w:jc w:val="center"/>
              <w:rPr>
                <w:rFonts w:asciiTheme="minorEastAsia" w:hAnsiTheme="minorEastAsia" w:eastAsiaTheme="minorEastAsia"/>
                <w:color w:val="auto"/>
                <w:szCs w:val="21"/>
                <w:highlight w:val="none"/>
              </w:rPr>
            </w:pPr>
          </w:p>
        </w:tc>
      </w:tr>
      <w:tr w14:paraId="0AB0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B864126">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7FB96146">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12DA82EE">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729C1257">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49222AC">
            <w:pPr>
              <w:tabs>
                <w:tab w:val="left" w:pos="720"/>
              </w:tabs>
              <w:spacing w:line="360" w:lineRule="auto"/>
              <w:jc w:val="center"/>
              <w:rPr>
                <w:rFonts w:asciiTheme="minorEastAsia" w:hAnsiTheme="minorEastAsia" w:eastAsiaTheme="minorEastAsia"/>
                <w:color w:val="auto"/>
                <w:szCs w:val="21"/>
                <w:highlight w:val="none"/>
              </w:rPr>
            </w:pPr>
          </w:p>
        </w:tc>
      </w:tr>
      <w:tr w14:paraId="3B5C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EB4FE07">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54FD302D">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3A8C261A">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32E0F2C0">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7E22716">
            <w:pPr>
              <w:tabs>
                <w:tab w:val="left" w:pos="720"/>
              </w:tabs>
              <w:spacing w:line="360" w:lineRule="auto"/>
              <w:jc w:val="center"/>
              <w:rPr>
                <w:rFonts w:asciiTheme="minorEastAsia" w:hAnsiTheme="minorEastAsia" w:eastAsiaTheme="minorEastAsia"/>
                <w:color w:val="auto"/>
                <w:szCs w:val="21"/>
                <w:highlight w:val="none"/>
              </w:rPr>
            </w:pPr>
          </w:p>
        </w:tc>
      </w:tr>
      <w:tr w14:paraId="032E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75616A9">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5C30CF78">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2C911D7C">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FA1D75E">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34876B98">
            <w:pPr>
              <w:tabs>
                <w:tab w:val="left" w:pos="720"/>
              </w:tabs>
              <w:spacing w:line="360" w:lineRule="auto"/>
              <w:jc w:val="center"/>
              <w:rPr>
                <w:rFonts w:asciiTheme="minorEastAsia" w:hAnsiTheme="minorEastAsia" w:eastAsiaTheme="minorEastAsia"/>
                <w:color w:val="auto"/>
                <w:szCs w:val="21"/>
                <w:highlight w:val="none"/>
              </w:rPr>
            </w:pPr>
          </w:p>
        </w:tc>
      </w:tr>
      <w:bookmarkEnd w:id="538"/>
      <w:bookmarkEnd w:id="539"/>
      <w:bookmarkEnd w:id="540"/>
    </w:tbl>
    <w:p w14:paraId="6501F725">
      <w:pPr>
        <w:rPr>
          <w:color w:val="auto"/>
          <w:highlight w:val="none"/>
        </w:rPr>
      </w:pPr>
    </w:p>
    <w:p w14:paraId="375BB850">
      <w:pPr>
        <w:rPr>
          <w:color w:val="auto"/>
          <w:highlight w:val="none"/>
        </w:rPr>
      </w:pPr>
    </w:p>
    <w:p w14:paraId="509E2518">
      <w:pPr>
        <w:rPr>
          <w:color w:val="auto"/>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2A5B80AD">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43" w:name="_Toc25384"/>
      <w:bookmarkStart w:id="544" w:name="_Toc14540"/>
      <w:bookmarkStart w:id="545" w:name="_Toc488002677"/>
      <w:bookmarkStart w:id="546" w:name="_Toc475891555"/>
      <w:bookmarkStart w:id="547" w:name="_Toc476245699"/>
      <w:bookmarkStart w:id="548" w:name="_Toc475472672"/>
      <w:bookmarkStart w:id="549" w:name="_Toc438052120"/>
      <w:r>
        <w:rPr>
          <w:rFonts w:hint="eastAsia" w:asciiTheme="minorEastAsia" w:hAnsiTheme="minorEastAsia" w:eastAsiaTheme="minorEastAsia"/>
          <w:color w:val="auto"/>
          <w:sz w:val="24"/>
          <w:szCs w:val="24"/>
          <w:highlight w:val="none"/>
        </w:rPr>
        <w:t>专用印章授权</w:t>
      </w:r>
      <w:r>
        <w:rPr>
          <w:rFonts w:hint="eastAsia" w:cs="Times New Roman" w:asciiTheme="minorEastAsia" w:hAnsiTheme="minorEastAsia" w:eastAsiaTheme="minorEastAsia"/>
          <w:color w:val="auto"/>
          <w:sz w:val="24"/>
          <w:szCs w:val="24"/>
          <w:highlight w:val="none"/>
        </w:rPr>
        <w:t>函（如有）</w:t>
      </w:r>
      <w:bookmarkEnd w:id="543"/>
      <w:bookmarkEnd w:id="544"/>
      <w:bookmarkEnd w:id="545"/>
    </w:p>
    <w:bookmarkEnd w:id="546"/>
    <w:bookmarkEnd w:id="547"/>
    <w:p w14:paraId="409C53A8">
      <w:pPr>
        <w:spacing w:line="400" w:lineRule="exact"/>
        <w:jc w:val="center"/>
        <w:rPr>
          <w:rFonts w:asciiTheme="minorEastAsia" w:hAnsiTheme="minorEastAsia" w:eastAsiaTheme="minorEastAsia"/>
          <w:b/>
          <w:color w:val="auto"/>
          <w:sz w:val="24"/>
          <w:highlight w:val="none"/>
        </w:rPr>
      </w:pPr>
    </w:p>
    <w:p w14:paraId="5214D269">
      <w:pPr>
        <w:spacing w:line="400" w:lineRule="exact"/>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专用印章授权函</w:t>
      </w:r>
    </w:p>
    <w:p w14:paraId="3073007F">
      <w:pPr>
        <w:spacing w:line="400" w:lineRule="exact"/>
        <w:jc w:val="center"/>
        <w:rPr>
          <w:rFonts w:asciiTheme="minorEastAsia" w:hAnsiTheme="minorEastAsia" w:eastAsiaTheme="minorEastAsia"/>
          <w:color w:val="auto"/>
          <w:szCs w:val="21"/>
          <w:highlight w:val="none"/>
          <w:u w:val="single"/>
        </w:rPr>
      </w:pPr>
    </w:p>
    <w:p w14:paraId="6E591511">
      <w:pPr>
        <w:spacing w:line="360" w:lineRule="auto"/>
        <w:rPr>
          <w:rFonts w:asciiTheme="minorEastAsia" w:hAnsiTheme="minorEastAsia" w:eastAsiaTheme="minorEastAsia"/>
          <w:color w:val="auto"/>
          <w:sz w:val="24"/>
          <w:highlight w:val="none"/>
        </w:rPr>
      </w:pPr>
    </w:p>
    <w:p w14:paraId="0B0A2F0E">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我单位特授权在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（询比项目名称）</w:t>
      </w:r>
      <w:r>
        <w:rPr>
          <w:rFonts w:hint="eastAsia" w:asciiTheme="minorEastAsia" w:hAnsiTheme="minorEastAsia" w:eastAsiaTheme="minorEastAsia"/>
          <w:color w:val="auto"/>
          <w:szCs w:val="21"/>
          <w:highlight w:val="none"/>
        </w:rPr>
        <w:t>的询比活动中使用“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与我公司公章具有同等法律效力。因使用“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”所引起的法律后果由我单位承担。</w:t>
      </w:r>
    </w:p>
    <w:p w14:paraId="3C4863CD">
      <w:pPr>
        <w:spacing w:line="360" w:lineRule="auto"/>
        <w:ind w:firstLine="420" w:firstLineChars="200"/>
        <w:jc w:val="left"/>
        <w:rPr>
          <w:rFonts w:asciiTheme="minorEastAsia" w:hAnsiTheme="minorEastAsia" w:eastAsiaTheme="minorEastAsia"/>
          <w:color w:val="auto"/>
          <w:szCs w:val="21"/>
          <w:highlight w:val="none"/>
        </w:rPr>
      </w:pPr>
    </w:p>
    <w:p w14:paraId="58A85C04">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特此证明。</w:t>
      </w:r>
    </w:p>
    <w:p w14:paraId="1DE53B42">
      <w:pPr>
        <w:ind w:firstLine="422" w:firstLineChars="200"/>
        <w:rPr>
          <w:rFonts w:asciiTheme="minorEastAsia" w:hAnsiTheme="minorEastAsia" w:eastAsiaTheme="minorEastAsia"/>
          <w:b/>
          <w:color w:val="auto"/>
          <w:szCs w:val="21"/>
          <w:highlight w:val="none"/>
        </w:rPr>
      </w:pPr>
    </w:p>
    <w:p w14:paraId="4F48BD62">
      <w:pPr>
        <w:ind w:firstLine="422" w:firstLineChars="200"/>
        <w:rPr>
          <w:rFonts w:asciiTheme="minorEastAsia" w:hAnsiTheme="minorEastAsia" w:eastAsiaTheme="minorEastAsia"/>
          <w:b/>
          <w:color w:val="auto"/>
          <w:szCs w:val="21"/>
          <w:highlight w:val="none"/>
        </w:rPr>
      </w:pPr>
    </w:p>
    <w:p w14:paraId="0399C09B">
      <w:pPr>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被授权印章：                            </w:t>
      </w:r>
    </w:p>
    <w:p w14:paraId="3885A5E7">
      <w:pPr>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209550</wp:posOffset>
                </wp:positionH>
                <wp:positionV relativeFrom="paragraph">
                  <wp:posOffset>89535</wp:posOffset>
                </wp:positionV>
                <wp:extent cx="2339975" cy="2339975"/>
                <wp:effectExtent l="0" t="0" r="22225" b="22225"/>
                <wp:wrapNone/>
                <wp:docPr id="17" name="矩形 2"/>
                <wp:cNvGraphicFramePr/>
                <a:graphic xmlns:a="http://schemas.openxmlformats.org/drawingml/2006/main">
                  <a:graphicData uri="http://schemas.microsoft.com/office/word/2010/wordprocessingShape">
                    <wps:wsp>
                      <wps:cNvSpPr>
                        <a:spLocks noChangeArrowheads="1"/>
                      </wps:cNvSpPr>
                      <wps:spPr bwMode="auto">
                        <a:xfrm>
                          <a:off x="0" y="0"/>
                          <a:ext cx="2339975" cy="2339975"/>
                        </a:xfrm>
                        <a:prstGeom prst="rect">
                          <a:avLst/>
                        </a:prstGeom>
                        <a:solidFill>
                          <a:srgbClr val="FFFFFF"/>
                        </a:solidFill>
                        <a:ln w="9525">
                          <a:solidFill>
                            <a:srgbClr val="000000"/>
                          </a:solidFill>
                          <a:miter lim="800000"/>
                        </a:ln>
                      </wps:spPr>
                      <wps:txbx>
                        <w:txbxContent>
                          <w:p w14:paraId="023482DA">
                            <w:r>
                              <w:rPr>
                                <w:rFonts w:hint="eastAsia"/>
                              </w:rPr>
                              <w:t>（在此盖章）</w:t>
                            </w:r>
                          </w:p>
                        </w:txbxContent>
                      </wps:txbx>
                      <wps:bodyPr rot="0" vert="horz" wrap="square" lIns="91440" tIns="45720" rIns="91440" bIns="45720" anchor="t" anchorCtr="0" upright="1">
                        <a:noAutofit/>
                      </wps:bodyPr>
                    </wps:wsp>
                  </a:graphicData>
                </a:graphic>
              </wp:anchor>
            </w:drawing>
          </mc:Choice>
          <mc:Fallback>
            <w:pict>
              <v:rect id="矩形 2" o:spid="_x0000_s1026" o:spt="1" style="position:absolute;left:0pt;margin-left:16.5pt;margin-top:7.05pt;height:184.25pt;width:184.25pt;z-index:251663360;mso-width-relative:page;mso-height-relative:page;" fillcolor="#FFFFFF" filled="t" stroked="t" coordsize="21600,21600" o:gfxdata="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oDBxnXAAAACQEAAA8AAAAAAAAAAQAgAAAAIgAAAGRycy9kb3ducmV2&#10;LnhtbFBLAQIUABQAAAAIAIdO4kBiQNsyNgIAAHwEAAAOAAAAAAAAAAEAIAAAACYBAABkcnMvZTJv&#10;RG9jLnhtbFBLBQYAAAAABgAGAFkBAADOBQAAAAA=&#10;">
                <v:fill on="t" focussize="0,0"/>
                <v:stroke color="#000000" miterlimit="8" joinstyle="miter"/>
                <v:imagedata o:title=""/>
                <o:lock v:ext="edit" aspectratio="f"/>
                <v:textbox>
                  <w:txbxContent>
                    <w:p w14:paraId="023482DA">
                      <w:r>
                        <w:rPr>
                          <w:rFonts w:hint="eastAsia"/>
                        </w:rPr>
                        <w:t>（在此盖章）</w:t>
                      </w:r>
                    </w:p>
                  </w:txbxContent>
                </v:textbox>
              </v:rect>
            </w:pict>
          </mc:Fallback>
        </mc:AlternateContent>
      </w:r>
    </w:p>
    <w:p w14:paraId="642A1E9F">
      <w:pPr>
        <w:rPr>
          <w:rFonts w:asciiTheme="minorEastAsia" w:hAnsiTheme="minorEastAsia" w:eastAsiaTheme="minorEastAsia"/>
          <w:color w:val="auto"/>
          <w:szCs w:val="21"/>
          <w:highlight w:val="none"/>
        </w:rPr>
      </w:pPr>
    </w:p>
    <w:p w14:paraId="4708C0DB">
      <w:pPr>
        <w:rPr>
          <w:rFonts w:asciiTheme="minorEastAsia" w:hAnsiTheme="minorEastAsia" w:eastAsiaTheme="minorEastAsia"/>
          <w:color w:val="auto"/>
          <w:szCs w:val="21"/>
          <w:highlight w:val="none"/>
        </w:rPr>
      </w:pPr>
    </w:p>
    <w:p w14:paraId="79D95150">
      <w:pPr>
        <w:rPr>
          <w:rFonts w:asciiTheme="minorEastAsia" w:hAnsiTheme="minorEastAsia" w:eastAsiaTheme="minorEastAsia"/>
          <w:color w:val="auto"/>
          <w:szCs w:val="21"/>
          <w:highlight w:val="none"/>
        </w:rPr>
      </w:pPr>
    </w:p>
    <w:p w14:paraId="71ED602C">
      <w:pPr>
        <w:rPr>
          <w:rFonts w:asciiTheme="minorEastAsia" w:hAnsiTheme="minorEastAsia" w:eastAsiaTheme="minorEastAsia"/>
          <w:color w:val="auto"/>
          <w:szCs w:val="21"/>
          <w:highlight w:val="none"/>
        </w:rPr>
      </w:pPr>
    </w:p>
    <w:p w14:paraId="1AFAC78C">
      <w:pPr>
        <w:ind w:firstLine="1259" w:firstLineChars="597"/>
        <w:rPr>
          <w:rFonts w:asciiTheme="minorEastAsia" w:hAnsiTheme="minorEastAsia" w:eastAsiaTheme="minorEastAsia"/>
          <w:b/>
          <w:color w:val="auto"/>
          <w:szCs w:val="21"/>
          <w:highlight w:val="none"/>
        </w:rPr>
      </w:pPr>
    </w:p>
    <w:p w14:paraId="7DABF95E">
      <w:pPr>
        <w:ind w:right="18" w:firstLine="4676" w:firstLineChars="2227"/>
        <w:rPr>
          <w:rFonts w:asciiTheme="minorEastAsia" w:hAnsiTheme="minorEastAsia" w:eastAsiaTheme="minorEastAsia"/>
          <w:color w:val="auto"/>
          <w:szCs w:val="21"/>
          <w:highlight w:val="none"/>
        </w:rPr>
      </w:pPr>
    </w:p>
    <w:p w14:paraId="5A47C70F">
      <w:pPr>
        <w:ind w:right="18" w:firstLine="4676" w:firstLineChars="2227"/>
        <w:rPr>
          <w:rFonts w:asciiTheme="minorEastAsia" w:hAnsiTheme="minorEastAsia" w:eastAsiaTheme="minorEastAsia"/>
          <w:color w:val="auto"/>
          <w:szCs w:val="21"/>
          <w:highlight w:val="none"/>
        </w:rPr>
      </w:pPr>
    </w:p>
    <w:p w14:paraId="45AACBFD">
      <w:pPr>
        <w:ind w:right="18" w:firstLine="4676" w:firstLineChars="2227"/>
        <w:rPr>
          <w:rFonts w:asciiTheme="minorEastAsia" w:hAnsiTheme="minorEastAsia" w:eastAsiaTheme="minorEastAsia"/>
          <w:color w:val="auto"/>
          <w:szCs w:val="21"/>
          <w:highlight w:val="none"/>
        </w:rPr>
      </w:pPr>
    </w:p>
    <w:p w14:paraId="005E99DA">
      <w:pPr>
        <w:ind w:right="18" w:firstLine="4676" w:firstLineChars="2227"/>
        <w:rPr>
          <w:rFonts w:asciiTheme="minorEastAsia" w:hAnsiTheme="minorEastAsia" w:eastAsiaTheme="minorEastAsia"/>
          <w:color w:val="auto"/>
          <w:szCs w:val="21"/>
          <w:highlight w:val="none"/>
        </w:rPr>
      </w:pPr>
    </w:p>
    <w:p w14:paraId="5870D8F9">
      <w:pPr>
        <w:ind w:right="18" w:firstLine="4676" w:firstLineChars="2227"/>
        <w:rPr>
          <w:rFonts w:asciiTheme="minorEastAsia" w:hAnsiTheme="minorEastAsia" w:eastAsiaTheme="minorEastAsia"/>
          <w:color w:val="auto"/>
          <w:szCs w:val="21"/>
          <w:highlight w:val="none"/>
        </w:rPr>
      </w:pPr>
    </w:p>
    <w:p w14:paraId="69ECDB63">
      <w:pPr>
        <w:ind w:right="18" w:firstLine="4676" w:firstLineChars="2227"/>
        <w:rPr>
          <w:rFonts w:asciiTheme="minorEastAsia" w:hAnsiTheme="minorEastAsia" w:eastAsiaTheme="minorEastAsia"/>
          <w:color w:val="auto"/>
          <w:szCs w:val="21"/>
          <w:highlight w:val="none"/>
        </w:rPr>
      </w:pPr>
    </w:p>
    <w:p w14:paraId="1C6C81C4">
      <w:pPr>
        <w:ind w:right="18" w:firstLine="4676" w:firstLineChars="2227"/>
        <w:rPr>
          <w:rFonts w:asciiTheme="minorEastAsia" w:hAnsiTheme="minorEastAsia" w:eastAsiaTheme="minorEastAsia"/>
          <w:color w:val="auto"/>
          <w:szCs w:val="21"/>
          <w:highlight w:val="none"/>
        </w:rPr>
      </w:pPr>
    </w:p>
    <w:p w14:paraId="7FCD66AD">
      <w:pPr>
        <w:ind w:right="18" w:firstLine="4676" w:firstLineChars="2227"/>
        <w:rPr>
          <w:rFonts w:asciiTheme="minorEastAsia" w:hAnsiTheme="minorEastAsia" w:eastAsiaTheme="minorEastAsia"/>
          <w:color w:val="auto"/>
          <w:szCs w:val="21"/>
          <w:highlight w:val="none"/>
        </w:rPr>
      </w:pPr>
    </w:p>
    <w:p w14:paraId="57FAC670">
      <w:pPr>
        <w:ind w:right="18" w:firstLine="4676" w:firstLineChars="2227"/>
        <w:rPr>
          <w:rFonts w:asciiTheme="minorEastAsia" w:hAnsiTheme="minorEastAsia" w:eastAsiaTheme="minorEastAsia"/>
          <w:color w:val="auto"/>
          <w:szCs w:val="21"/>
          <w:highlight w:val="none"/>
        </w:rPr>
      </w:pPr>
    </w:p>
    <w:p w14:paraId="293345A5">
      <w:pPr>
        <w:ind w:right="18"/>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供应商名称：</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（盖单位公章）</w:t>
      </w:r>
    </w:p>
    <w:p w14:paraId="7450BA2B">
      <w:pPr>
        <w:spacing w:line="440" w:lineRule="exact"/>
        <w:ind w:firstLine="2835" w:firstLineChars="1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年</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日</w:t>
      </w:r>
    </w:p>
    <w:p w14:paraId="70579D4A">
      <w:pPr>
        <w:spacing w:line="440" w:lineRule="exact"/>
        <w:ind w:firstLine="2835" w:firstLineChars="1350"/>
        <w:rPr>
          <w:rFonts w:asciiTheme="minorEastAsia" w:hAnsiTheme="minorEastAsia" w:eastAsiaTheme="minorEastAsia"/>
          <w:color w:val="auto"/>
          <w:szCs w:val="21"/>
          <w:highlight w:val="none"/>
        </w:rPr>
      </w:pPr>
    </w:p>
    <w:p w14:paraId="0BD2A7E8">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p>
    <w:p w14:paraId="4C9E4CD2">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 本文件仅适用于</w:t>
      </w:r>
      <w:r>
        <w:rPr>
          <w:rFonts w:hint="eastAsia" w:asciiTheme="minorEastAsia" w:hAnsiTheme="minorEastAsia" w:eastAsiaTheme="minorEastAsia"/>
          <w:color w:val="auto"/>
          <w:szCs w:val="21"/>
          <w:highlight w:val="none"/>
        </w:rPr>
        <w:t>要求提交加盖印章扫描件的情形</w:t>
      </w:r>
      <w:r>
        <w:rPr>
          <w:rFonts w:hint="eastAsia" w:asciiTheme="minorEastAsia" w:hAnsiTheme="minorEastAsia" w:eastAsiaTheme="minorEastAsia"/>
          <w:color w:val="auto"/>
          <w:highlight w:val="none"/>
        </w:rPr>
        <w:t>。</w:t>
      </w:r>
    </w:p>
    <w:p w14:paraId="2A632740">
      <w:pPr>
        <w:topLinePunct/>
        <w:spacing w:line="440" w:lineRule="exact"/>
        <w:jc w:val="left"/>
        <w:rPr>
          <w:rFonts w:asciiTheme="minorEastAsia" w:hAnsiTheme="minorEastAsia" w:eastAsiaTheme="minorEastAsia"/>
          <w:b/>
          <w:bCs/>
          <w:color w:val="auto"/>
          <w:sz w:val="32"/>
          <w:szCs w:val="21"/>
          <w:highlight w:val="none"/>
        </w:rPr>
      </w:pPr>
      <w:r>
        <w:rPr>
          <w:rFonts w:hint="eastAsia" w:asciiTheme="minorEastAsia" w:hAnsiTheme="minorEastAsia" w:eastAsiaTheme="minorEastAsia"/>
          <w:color w:val="auto"/>
          <w:szCs w:val="21"/>
          <w:highlight w:val="none"/>
        </w:rPr>
        <w:t>2.</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br w:type="page"/>
      </w:r>
    </w:p>
    <w:p w14:paraId="02718E83">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50" w:name="_Toc4954"/>
      <w:bookmarkStart w:id="551" w:name="_Toc13631"/>
      <w:r>
        <w:rPr>
          <w:rFonts w:hint="eastAsia" w:asciiTheme="minorEastAsia" w:hAnsiTheme="minorEastAsia" w:eastAsiaTheme="minorEastAsia"/>
          <w:color w:val="auto"/>
          <w:sz w:val="24"/>
          <w:szCs w:val="24"/>
          <w:highlight w:val="none"/>
        </w:rPr>
        <w:t>响应函</w:t>
      </w:r>
      <w:bookmarkEnd w:id="548"/>
      <w:bookmarkEnd w:id="549"/>
      <w:bookmarkEnd w:id="550"/>
      <w:bookmarkEnd w:id="551"/>
    </w:p>
    <w:p w14:paraId="123CBC3E">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响   应   函</w:t>
      </w:r>
    </w:p>
    <w:p w14:paraId="67AC2880">
      <w:pPr>
        <w:adjustRightInd w:val="0"/>
        <w:snapToGrid w:val="0"/>
        <w:spacing w:line="440" w:lineRule="exact"/>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highlight w:val="none"/>
          <w:u w:val="single"/>
          <w:lang w:eastAsia="zh-CN"/>
        </w:rPr>
        <w:t>湖北信通通信有限公司</w:t>
      </w:r>
      <w:r>
        <w:rPr>
          <w:rFonts w:hint="eastAsia"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w:t>
      </w:r>
    </w:p>
    <w:p w14:paraId="6E2A609B">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（供应商名称）</w:t>
      </w:r>
      <w:r>
        <w:rPr>
          <w:rFonts w:hint="eastAsia" w:asciiTheme="minorEastAsia" w:hAnsiTheme="minorEastAsia" w:eastAsiaTheme="minorEastAsia"/>
          <w:color w:val="auto"/>
          <w:szCs w:val="21"/>
          <w:highlight w:val="none"/>
        </w:rPr>
        <w:t>（以下称“我方”）</w:t>
      </w:r>
      <w:r>
        <w:rPr>
          <w:rFonts w:asciiTheme="minorEastAsia" w:hAnsiTheme="minorEastAsia" w:eastAsiaTheme="minorEastAsia"/>
          <w:color w:val="auto"/>
          <w:szCs w:val="21"/>
          <w:highlight w:val="none"/>
        </w:rPr>
        <w:t>已仔细研究了</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rPr>
        <w:t>询比项目名称）</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标包（项目编号：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）询比文件</w:t>
      </w:r>
      <w:r>
        <w:rPr>
          <w:rFonts w:asciiTheme="minorEastAsia" w:hAnsiTheme="minorEastAsia" w:eastAsiaTheme="minorEastAsia"/>
          <w:color w:val="auto"/>
          <w:szCs w:val="21"/>
          <w:highlight w:val="none"/>
        </w:rPr>
        <w:t>的全部内容</w:t>
      </w:r>
      <w:r>
        <w:rPr>
          <w:rFonts w:hint="eastAsia" w:asciiTheme="minorEastAsia" w:hAnsiTheme="minorEastAsia" w:eastAsiaTheme="minorEastAsia"/>
          <w:color w:val="auto"/>
          <w:szCs w:val="21"/>
          <w:highlight w:val="none"/>
        </w:rPr>
        <w:t>，</w:t>
      </w:r>
      <w:r>
        <w:rPr>
          <w:rFonts w:asciiTheme="minorEastAsia" w:hAnsiTheme="minorEastAsia" w:eastAsiaTheme="minorEastAsia"/>
          <w:bCs/>
          <w:color w:val="auto"/>
          <w:szCs w:val="21"/>
          <w:highlight w:val="none"/>
        </w:rPr>
        <w:t>包括</w:t>
      </w:r>
      <w:r>
        <w:rPr>
          <w:rFonts w:hint="eastAsia" w:asciiTheme="minorEastAsia" w:hAnsiTheme="minorEastAsia" w:eastAsiaTheme="minorEastAsia"/>
          <w:bCs/>
          <w:color w:val="auto"/>
          <w:szCs w:val="21"/>
          <w:highlight w:val="none"/>
        </w:rPr>
        <w:t>澄清或者</w:t>
      </w:r>
      <w:r>
        <w:rPr>
          <w:rFonts w:asciiTheme="minorEastAsia" w:hAnsiTheme="minorEastAsia" w:eastAsiaTheme="minorEastAsia"/>
          <w:bCs/>
          <w:color w:val="auto"/>
          <w:szCs w:val="21"/>
          <w:highlight w:val="none"/>
        </w:rPr>
        <w:t>修改文件</w:t>
      </w:r>
      <w:r>
        <w:rPr>
          <w:rFonts w:hint="eastAsia" w:asciiTheme="minorEastAsia" w:hAnsiTheme="minorEastAsia" w:eastAsiaTheme="minorEastAsia"/>
          <w:bCs/>
          <w:color w:val="auto"/>
          <w:szCs w:val="21"/>
          <w:highlight w:val="none"/>
        </w:rPr>
        <w:t>以及</w:t>
      </w:r>
      <w:r>
        <w:rPr>
          <w:rFonts w:asciiTheme="minorEastAsia" w:hAnsiTheme="minorEastAsia" w:eastAsiaTheme="minorEastAsia"/>
          <w:bCs/>
          <w:color w:val="auto"/>
          <w:szCs w:val="21"/>
          <w:highlight w:val="none"/>
        </w:rPr>
        <w:t>有关附件</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我方将严格按照询比文件要求提交符合要求的全部响应文件。</w:t>
      </w:r>
    </w:p>
    <w:p w14:paraId="5E5EE378">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我方承诺如下内容：</w:t>
      </w:r>
    </w:p>
    <w:p w14:paraId="0C816284">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我方的响应文件包含第二章“供应商须知”第3.1款规定的全部内容。</w:t>
      </w:r>
    </w:p>
    <w:p w14:paraId="6EFF4280">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我方承诺在</w:t>
      </w:r>
      <w:r>
        <w:rPr>
          <w:rFonts w:hint="eastAsia" w:asciiTheme="minorEastAsia" w:hAnsiTheme="minorEastAsia" w:eastAsiaTheme="minorEastAsia"/>
          <w:color w:val="auto"/>
          <w:szCs w:val="21"/>
          <w:highlight w:val="none"/>
        </w:rPr>
        <w:t>询比文件规定的响应有效期</w:t>
      </w:r>
      <w:r>
        <w:rPr>
          <w:rFonts w:asciiTheme="minorEastAsia" w:hAnsiTheme="minorEastAsia" w:eastAsiaTheme="minorEastAsia"/>
          <w:color w:val="auto"/>
          <w:szCs w:val="21"/>
          <w:highlight w:val="none"/>
        </w:rPr>
        <w:t>内不修改、撤销</w:t>
      </w:r>
      <w:r>
        <w:rPr>
          <w:rFonts w:hint="eastAsia" w:asciiTheme="minorEastAsia" w:hAnsiTheme="minorEastAsia" w:eastAsiaTheme="minorEastAsia"/>
          <w:color w:val="auto"/>
          <w:szCs w:val="21"/>
          <w:highlight w:val="none"/>
        </w:rPr>
        <w:t>响应文件</w:t>
      </w:r>
      <w:r>
        <w:rPr>
          <w:rFonts w:asciiTheme="minorEastAsia" w:hAnsiTheme="minorEastAsia" w:eastAsiaTheme="minorEastAsia"/>
          <w:color w:val="auto"/>
          <w:szCs w:val="21"/>
          <w:highlight w:val="none"/>
        </w:rPr>
        <w:t>。</w:t>
      </w:r>
    </w:p>
    <w:p w14:paraId="70B7547B">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随同本</w:t>
      </w:r>
      <w:r>
        <w:rPr>
          <w:rFonts w:hint="eastAsia" w:asciiTheme="minorEastAsia" w:hAnsiTheme="minorEastAsia" w:eastAsiaTheme="minorEastAsia"/>
          <w:color w:val="auto"/>
          <w:szCs w:val="21"/>
          <w:highlight w:val="none"/>
        </w:rPr>
        <w:t>响应</w:t>
      </w:r>
      <w:r>
        <w:rPr>
          <w:rFonts w:asciiTheme="minorEastAsia" w:hAnsiTheme="minorEastAsia" w:eastAsiaTheme="minorEastAsia"/>
          <w:color w:val="auto"/>
          <w:szCs w:val="21"/>
          <w:highlight w:val="none"/>
        </w:rPr>
        <w:t>函</w:t>
      </w:r>
      <w:r>
        <w:rPr>
          <w:rFonts w:hint="eastAsia" w:asciiTheme="minorEastAsia" w:hAnsiTheme="minorEastAsia" w:eastAsiaTheme="minorEastAsia"/>
          <w:color w:val="auto"/>
          <w:szCs w:val="21"/>
          <w:highlight w:val="none"/>
        </w:rPr>
        <w:t>递交响应保证金</w:t>
      </w:r>
      <w:r>
        <w:rPr>
          <w:rFonts w:asciiTheme="minorEastAsia" w:hAnsiTheme="minorEastAsia" w:eastAsiaTheme="minorEastAsia"/>
          <w:color w:val="auto"/>
          <w:szCs w:val="21"/>
          <w:highlight w:val="none"/>
        </w:rPr>
        <w:t>一份，金额为人民币（大写）</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0B885372">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我方承诺如果在规定的响应文件提交截止时间后，在响应有效期内撤销响应文件的，我方自愿接受采购人做出的不予退还我方响应保证金的决定。</w:t>
      </w:r>
    </w:p>
    <w:p w14:paraId="5912A01D">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我方在评审过程中根据评审委员会要求提供的符合相关规定的澄清文件，构成响应文件的组成部分。</w:t>
      </w:r>
    </w:p>
    <w:p w14:paraId="1D0E4D26">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我方同意提供贵方可能要求的与询比有关的一切数据或者资料，并完全理解贵方不一定接受最低价的响应。</w:t>
      </w:r>
    </w:p>
    <w:p w14:paraId="56516301">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我方承诺不向第三方透露与询比相关的所有信息。</w:t>
      </w:r>
    </w:p>
    <w:p w14:paraId="5B3B676C">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我方承诺接受最新的《供应商不良行为管理规则》。本项承诺自本函签署之日起生效，长期有效，不受响应有效期的约束，其效力独立存在，不可撤销。</w:t>
      </w:r>
    </w:p>
    <w:p w14:paraId="3DEE360F">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如</w:t>
      </w:r>
      <w:r>
        <w:rPr>
          <w:rFonts w:hint="eastAsia" w:asciiTheme="minorEastAsia" w:hAnsiTheme="minorEastAsia" w:eastAsiaTheme="minorEastAsia"/>
          <w:color w:val="auto"/>
          <w:szCs w:val="21"/>
          <w:highlight w:val="none"/>
        </w:rPr>
        <w:t>确定</w:t>
      </w:r>
      <w:r>
        <w:rPr>
          <w:rFonts w:asciiTheme="minorEastAsia" w:hAnsiTheme="minorEastAsia" w:eastAsiaTheme="minorEastAsia"/>
          <w:color w:val="auto"/>
          <w:szCs w:val="21"/>
          <w:highlight w:val="none"/>
        </w:rPr>
        <w:t>我方</w:t>
      </w:r>
      <w:r>
        <w:rPr>
          <w:rFonts w:hint="eastAsia" w:asciiTheme="minorEastAsia" w:hAnsiTheme="minorEastAsia" w:eastAsiaTheme="minorEastAsia"/>
          <w:color w:val="auto"/>
          <w:szCs w:val="21"/>
          <w:highlight w:val="none"/>
        </w:rPr>
        <w:t>成交</w:t>
      </w:r>
      <w:r>
        <w:rPr>
          <w:rFonts w:asciiTheme="minorEastAsia" w:hAnsiTheme="minorEastAsia" w:eastAsiaTheme="minorEastAsia"/>
          <w:color w:val="auto"/>
          <w:szCs w:val="21"/>
          <w:highlight w:val="none"/>
        </w:rPr>
        <w:t>：</w:t>
      </w:r>
    </w:p>
    <w:p w14:paraId="1A72F0EA">
      <w:pPr>
        <w:pStyle w:val="102"/>
        <w:numPr>
          <w:ilvl w:val="0"/>
          <w:numId w:val="41"/>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我方承诺在收到</w:t>
      </w:r>
      <w:r>
        <w:rPr>
          <w:rFonts w:hint="eastAsia" w:asciiTheme="minorEastAsia" w:hAnsiTheme="minorEastAsia" w:eastAsiaTheme="minorEastAsia"/>
          <w:color w:val="auto"/>
          <w:szCs w:val="21"/>
          <w:highlight w:val="none"/>
        </w:rPr>
        <w:t>成交通知书</w:t>
      </w:r>
      <w:r>
        <w:rPr>
          <w:rFonts w:asciiTheme="minorEastAsia" w:hAnsiTheme="minorEastAsia" w:eastAsiaTheme="minorEastAsia"/>
          <w:color w:val="auto"/>
          <w:szCs w:val="21"/>
          <w:highlight w:val="none"/>
        </w:rPr>
        <w:t>后，在</w:t>
      </w:r>
      <w:r>
        <w:rPr>
          <w:rFonts w:hint="eastAsia" w:asciiTheme="minorEastAsia" w:hAnsiTheme="minorEastAsia" w:eastAsiaTheme="minorEastAsia"/>
          <w:color w:val="auto"/>
          <w:szCs w:val="21"/>
          <w:highlight w:val="none"/>
        </w:rPr>
        <w:t>成交通知书</w:t>
      </w:r>
      <w:r>
        <w:rPr>
          <w:rFonts w:asciiTheme="minorEastAsia" w:hAnsiTheme="minorEastAsia" w:eastAsiaTheme="minorEastAsia"/>
          <w:color w:val="auto"/>
          <w:szCs w:val="21"/>
          <w:highlight w:val="none"/>
        </w:rPr>
        <w:t>规定的期限内与你方签订合同。</w:t>
      </w:r>
    </w:p>
    <w:p w14:paraId="3F0E66E8">
      <w:pPr>
        <w:pStyle w:val="102"/>
        <w:numPr>
          <w:ilvl w:val="0"/>
          <w:numId w:val="41"/>
        </w:numPr>
        <w:tabs>
          <w:tab w:val="left" w:pos="993"/>
        </w:tabs>
        <w:spacing w:line="440" w:lineRule="exact"/>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我方承诺不在签订合同时提出任何附加条件。</w:t>
      </w:r>
    </w:p>
    <w:p w14:paraId="6697A9D4">
      <w:pPr>
        <w:pStyle w:val="102"/>
        <w:numPr>
          <w:ilvl w:val="0"/>
          <w:numId w:val="41"/>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我方承诺按照</w:t>
      </w:r>
      <w:r>
        <w:rPr>
          <w:rFonts w:hint="eastAsia" w:asciiTheme="minorEastAsia" w:hAnsiTheme="minorEastAsia" w:eastAsiaTheme="minorEastAsia"/>
          <w:color w:val="auto"/>
          <w:szCs w:val="21"/>
          <w:highlight w:val="none"/>
        </w:rPr>
        <w:t>询比文件</w:t>
      </w:r>
      <w:r>
        <w:rPr>
          <w:rFonts w:asciiTheme="minorEastAsia" w:hAnsiTheme="minorEastAsia" w:eastAsiaTheme="minorEastAsia"/>
          <w:color w:val="auto"/>
          <w:szCs w:val="21"/>
          <w:highlight w:val="none"/>
        </w:rPr>
        <w:t>规定</w:t>
      </w:r>
      <w:r>
        <w:rPr>
          <w:rFonts w:hint="eastAsia" w:asciiTheme="minorEastAsia" w:hAnsiTheme="minorEastAsia" w:eastAsiaTheme="minorEastAsia"/>
          <w:color w:val="auto"/>
          <w:szCs w:val="21"/>
          <w:highlight w:val="none"/>
        </w:rPr>
        <w:t>递交</w:t>
      </w:r>
      <w:r>
        <w:rPr>
          <w:rFonts w:asciiTheme="minorEastAsia" w:hAnsiTheme="minorEastAsia" w:eastAsiaTheme="minorEastAsia"/>
          <w:color w:val="auto"/>
          <w:szCs w:val="21"/>
          <w:highlight w:val="none"/>
        </w:rPr>
        <w:t>履约</w:t>
      </w:r>
      <w:r>
        <w:rPr>
          <w:rFonts w:hint="eastAsia" w:asciiTheme="minorEastAsia" w:hAnsiTheme="minorEastAsia" w:eastAsiaTheme="minorEastAsia"/>
          <w:color w:val="auto"/>
          <w:szCs w:val="21"/>
          <w:highlight w:val="none"/>
        </w:rPr>
        <w:t>保证金或履约保函、支付采购代理服务费</w:t>
      </w:r>
      <w:r>
        <w:rPr>
          <w:rFonts w:asciiTheme="minorEastAsia" w:hAnsiTheme="minorEastAsia" w:eastAsiaTheme="minorEastAsia"/>
          <w:color w:val="auto"/>
          <w:szCs w:val="21"/>
          <w:highlight w:val="none"/>
        </w:rPr>
        <w:t>。</w:t>
      </w:r>
    </w:p>
    <w:p w14:paraId="5EE31E2F">
      <w:pPr>
        <w:pStyle w:val="102"/>
        <w:numPr>
          <w:ilvl w:val="0"/>
          <w:numId w:val="41"/>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w:t>
      </w:r>
      <w:r>
        <w:rPr>
          <w:rFonts w:hint="eastAsia" w:asciiTheme="minorEastAsia" w:hAnsiTheme="minorEastAsia" w:eastAsiaTheme="minorEastAsia"/>
          <w:color w:val="auto"/>
          <w:szCs w:val="21"/>
          <w:highlight w:val="none"/>
        </w:rPr>
        <w:t>按照询比文件的规定及合同约定履行相关责任和义务，不将成交项目转包、违法分包。</w:t>
      </w:r>
    </w:p>
    <w:p w14:paraId="37C15D1B">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我方承诺如有外国投资者直接或者间接对本单位投资的，投资者或本单位已经按照《中华人民共和国外商投资法》（中华人民共和国主席令 第26号）和《外商投资安全审查办法》（发展改革委 商务部令 第37号）等相关法律法规主动向国家外商投资安全审查工作机制办公室申报，并被允许实施投资。</w:t>
      </w:r>
    </w:p>
    <w:p w14:paraId="7369D765">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我方在此声明，所提交的响应文件及有关资料内容完整、真实和准确，且不存在第二章“供应商须知”第1.8款规定的任何一种情形。</w:t>
      </w:r>
      <w:r>
        <w:rPr>
          <w:rFonts w:asciiTheme="minorEastAsia" w:hAnsiTheme="minorEastAsia" w:eastAsiaTheme="minorEastAsia"/>
          <w:color w:val="auto"/>
          <w:szCs w:val="21"/>
          <w:highlight w:val="none"/>
        </w:rPr>
        <w:t>如有弄虚作假，将承担相应的法律责任，并赔偿由此造成的一切损失。</w:t>
      </w:r>
    </w:p>
    <w:p w14:paraId="63E2AB4D">
      <w:pPr>
        <w:pStyle w:val="102"/>
        <w:numPr>
          <w:ilvl w:val="3"/>
          <w:numId w:val="40"/>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w:t>
      </w:r>
      <w:r>
        <w:rPr>
          <w:rFonts w:asciiTheme="minorEastAsia" w:hAnsiTheme="minorEastAsia" w:eastAsiaTheme="minorEastAsia"/>
          <w:color w:val="auto"/>
          <w:szCs w:val="21"/>
          <w:highlight w:val="none"/>
        </w:rPr>
        <w:t>补充说明</w:t>
      </w:r>
      <w:r>
        <w:rPr>
          <w:rFonts w:hint="eastAsia" w:asciiTheme="minorEastAsia" w:hAnsiTheme="minorEastAsia" w:eastAsiaTheme="minorEastAsia"/>
          <w:color w:val="auto"/>
          <w:szCs w:val="21"/>
          <w:highlight w:val="none"/>
        </w:rPr>
        <w:t>：【我方承诺按照采购人的要求在</w:t>
      </w:r>
      <w:r>
        <w:rPr>
          <w:rFonts w:hint="eastAsia" w:asciiTheme="minorEastAsia" w:hAnsiTheme="minorEastAsia" w:eastAsiaTheme="minorEastAsia"/>
          <w:color w:val="auto"/>
          <w:highlight w:val="none"/>
        </w:rPr>
        <w:t>湖北信通通信有限公司电子招标平台</w:t>
      </w:r>
      <w:r>
        <w:rPr>
          <w:rFonts w:hint="eastAsia" w:asciiTheme="minorEastAsia" w:hAnsiTheme="minorEastAsia" w:eastAsiaTheme="minorEastAsia"/>
          <w:color w:val="auto"/>
          <w:szCs w:val="21"/>
          <w:highlight w:val="none"/>
        </w:rPr>
        <w:t>进行供应商注册。】</w:t>
      </w:r>
    </w:p>
    <w:p w14:paraId="4C4C1686">
      <w:pPr>
        <w:pStyle w:val="102"/>
        <w:tabs>
          <w:tab w:val="left" w:pos="709"/>
        </w:tabs>
        <w:spacing w:line="440" w:lineRule="exact"/>
        <w:ind w:left="424" w:firstLine="0" w:firstLineChars="0"/>
        <w:rPr>
          <w:rFonts w:asciiTheme="minorEastAsia" w:hAnsiTheme="minorEastAsia" w:eastAsiaTheme="minorEastAsia"/>
          <w:color w:val="auto"/>
          <w:szCs w:val="21"/>
          <w:highlight w:val="none"/>
        </w:rPr>
      </w:pPr>
    </w:p>
    <w:p w14:paraId="767E3EEB">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w:t>
      </w:r>
    </w:p>
    <w:p w14:paraId="0DED3C0B">
      <w:pPr>
        <w:spacing w:line="440" w:lineRule="exact"/>
        <w:ind w:firstLine="1134" w:firstLineChars="54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地址：</w:t>
      </w:r>
      <w:r>
        <w:rPr>
          <w:rFonts w:asciiTheme="minorEastAsia" w:hAnsiTheme="minorEastAsia" w:eastAsiaTheme="minorEastAsia"/>
          <w:color w:val="auto"/>
          <w:szCs w:val="21"/>
          <w:highlight w:val="none"/>
          <w:u w:val="single"/>
        </w:rPr>
        <w:t xml:space="preserve">                                     </w:t>
      </w:r>
    </w:p>
    <w:p w14:paraId="4FB60C2F">
      <w:pPr>
        <w:spacing w:line="440" w:lineRule="exact"/>
        <w:ind w:firstLine="1134" w:firstLineChars="54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电话：</w:t>
      </w:r>
      <w:r>
        <w:rPr>
          <w:rFonts w:asciiTheme="minorEastAsia" w:hAnsiTheme="minorEastAsia" w:eastAsiaTheme="minorEastAsia"/>
          <w:color w:val="auto"/>
          <w:szCs w:val="21"/>
          <w:highlight w:val="none"/>
          <w:u w:val="single"/>
        </w:rPr>
        <w:t xml:space="preserve">                                     </w:t>
      </w:r>
    </w:p>
    <w:p w14:paraId="34EEF296">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电子邮箱</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p>
    <w:p w14:paraId="2AC65A33">
      <w:pPr>
        <w:spacing w:line="400" w:lineRule="exact"/>
        <w:ind w:firstLine="1134" w:firstLineChars="54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2DF32BF8">
      <w:pPr>
        <w:ind w:firstLine="2835" w:firstLineChars="1350"/>
        <w:rPr>
          <w:rFonts w:asciiTheme="minorEastAsia" w:hAnsiTheme="minorEastAsia" w:eastAsiaTheme="minorEastAsia"/>
          <w:color w:val="auto"/>
          <w:highlight w:val="none"/>
        </w:rPr>
      </w:pPr>
    </w:p>
    <w:p w14:paraId="16E4555E">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2AD927F5">
      <w:pPr>
        <w:numPr>
          <w:ilvl w:val="0"/>
          <w:numId w:val="42"/>
        </w:numPr>
        <w:topLinePunct/>
        <w:spacing w:line="440" w:lineRule="exact"/>
        <w:ind w:left="422" w:hanging="422" w:hangingChars="201"/>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352690A4">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52" w:name="_Toc492552974"/>
      <w:bookmarkEnd w:id="552"/>
      <w:bookmarkStart w:id="553" w:name="_Toc492552982"/>
      <w:bookmarkEnd w:id="553"/>
      <w:bookmarkStart w:id="554" w:name="_Toc492552973"/>
      <w:bookmarkEnd w:id="554"/>
      <w:bookmarkStart w:id="555" w:name="_Toc492552981"/>
      <w:bookmarkEnd w:id="555"/>
      <w:bookmarkStart w:id="556" w:name="_Toc492552989"/>
      <w:bookmarkEnd w:id="556"/>
      <w:bookmarkStart w:id="557" w:name="_Toc492552993"/>
      <w:bookmarkEnd w:id="557"/>
      <w:bookmarkStart w:id="558" w:name="_Toc492552975"/>
      <w:bookmarkEnd w:id="558"/>
      <w:bookmarkStart w:id="559" w:name="_Toc492552978"/>
      <w:bookmarkEnd w:id="559"/>
      <w:bookmarkStart w:id="560" w:name="_Toc492552998"/>
      <w:bookmarkEnd w:id="560"/>
      <w:bookmarkStart w:id="561" w:name="_Toc492552996"/>
      <w:bookmarkEnd w:id="561"/>
      <w:bookmarkStart w:id="562" w:name="_Toc492552988"/>
      <w:bookmarkEnd w:id="562"/>
      <w:bookmarkStart w:id="563" w:name="_Toc492552990"/>
      <w:bookmarkEnd w:id="563"/>
      <w:bookmarkStart w:id="564" w:name="_Toc492552979"/>
      <w:bookmarkEnd w:id="564"/>
      <w:bookmarkStart w:id="565" w:name="_Toc492552976"/>
      <w:bookmarkEnd w:id="565"/>
      <w:bookmarkStart w:id="566" w:name="_Toc492552994"/>
      <w:bookmarkEnd w:id="566"/>
      <w:bookmarkStart w:id="567" w:name="_Toc492552987"/>
      <w:bookmarkEnd w:id="567"/>
      <w:bookmarkStart w:id="568" w:name="_Toc492552999"/>
      <w:bookmarkEnd w:id="568"/>
      <w:bookmarkStart w:id="569" w:name="_Toc492552995"/>
      <w:bookmarkEnd w:id="569"/>
      <w:bookmarkStart w:id="570" w:name="_Toc492552977"/>
      <w:bookmarkEnd w:id="570"/>
      <w:bookmarkStart w:id="571" w:name="_Toc492552997"/>
      <w:bookmarkEnd w:id="571"/>
      <w:bookmarkStart w:id="572" w:name="_Toc492552985"/>
      <w:bookmarkEnd w:id="572"/>
      <w:bookmarkStart w:id="573" w:name="_Toc492552983"/>
      <w:bookmarkEnd w:id="573"/>
      <w:bookmarkStart w:id="574" w:name="_Toc492552991"/>
      <w:bookmarkEnd w:id="574"/>
      <w:bookmarkStart w:id="575" w:name="_Toc492552984"/>
      <w:bookmarkEnd w:id="575"/>
      <w:bookmarkStart w:id="576" w:name="_Toc492552986"/>
      <w:bookmarkEnd w:id="576"/>
      <w:bookmarkStart w:id="577" w:name="_Toc492552980"/>
      <w:bookmarkEnd w:id="577"/>
      <w:bookmarkStart w:id="578" w:name="_Toc492552992"/>
      <w:bookmarkEnd w:id="578"/>
      <w:bookmarkStart w:id="579" w:name="_Toc26071"/>
      <w:bookmarkStart w:id="580" w:name="_Toc475472674"/>
      <w:bookmarkStart w:id="581" w:name="_Toc6383"/>
      <w:r>
        <w:rPr>
          <w:rFonts w:hint="eastAsia" w:asciiTheme="minorEastAsia" w:hAnsiTheme="minorEastAsia" w:eastAsiaTheme="minorEastAsia"/>
          <w:color w:val="auto"/>
          <w:sz w:val="24"/>
          <w:szCs w:val="24"/>
          <w:highlight w:val="none"/>
        </w:rPr>
        <w:t>法定代表人/负责人身份证明</w:t>
      </w:r>
      <w:bookmarkEnd w:id="579"/>
      <w:bookmarkEnd w:id="580"/>
      <w:bookmarkEnd w:id="581"/>
    </w:p>
    <w:p w14:paraId="09A73EE5">
      <w:pPr>
        <w:jc w:val="center"/>
        <w:rPr>
          <w:rFonts w:cs="宋体" w:asciiTheme="minorEastAsia" w:hAnsiTheme="minorEastAsia" w:eastAsiaTheme="minorEastAsia"/>
          <w:b/>
          <w:color w:val="auto"/>
          <w:sz w:val="24"/>
          <w:highlight w:val="none"/>
        </w:rPr>
      </w:pPr>
    </w:p>
    <w:p w14:paraId="59C53C57">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法定代表人/负责人身份证明</w:t>
      </w:r>
    </w:p>
    <w:p w14:paraId="0931835C">
      <w:pPr>
        <w:spacing w:line="440" w:lineRule="exact"/>
        <w:rPr>
          <w:rFonts w:asciiTheme="minorEastAsia" w:hAnsiTheme="minorEastAsia" w:eastAsiaTheme="minorEastAsia"/>
          <w:color w:val="auto"/>
          <w:szCs w:val="21"/>
          <w:highlight w:val="none"/>
        </w:rPr>
      </w:pPr>
    </w:p>
    <w:p w14:paraId="260FC18B">
      <w:pPr>
        <w:topLinePunct/>
        <w:snapToGrid w:val="0"/>
        <w:spacing w:line="440" w:lineRule="exact"/>
        <w:rPr>
          <w:rFonts w:asciiTheme="minorEastAsia" w:hAnsiTheme="minorEastAsia" w:eastAsiaTheme="minorEastAsia"/>
          <w:bCs/>
          <w:color w:val="auto"/>
          <w:szCs w:val="21"/>
          <w:highlight w:val="none"/>
          <w:u w:val="single"/>
        </w:rPr>
      </w:pPr>
      <w:r>
        <w:rPr>
          <w:rFonts w:hint="eastAsia" w:asciiTheme="minorEastAsia" w:hAnsiTheme="minorEastAsia" w:eastAsiaTheme="minorEastAsia"/>
          <w:bCs/>
          <w:color w:val="auto"/>
          <w:szCs w:val="21"/>
          <w:highlight w:val="none"/>
        </w:rPr>
        <w:t>供应商</w:t>
      </w:r>
      <w:r>
        <w:rPr>
          <w:rFonts w:asciiTheme="minorEastAsia" w:hAnsiTheme="minorEastAsia" w:eastAsiaTheme="minorEastAsia"/>
          <w:bCs/>
          <w:color w:val="auto"/>
          <w:szCs w:val="21"/>
          <w:highlight w:val="none"/>
        </w:rPr>
        <w:t>名称：</w:t>
      </w:r>
      <w:r>
        <w:rPr>
          <w:rFonts w:asciiTheme="minorEastAsia" w:hAnsiTheme="minorEastAsia" w:eastAsiaTheme="minorEastAsia"/>
          <w:bCs/>
          <w:color w:val="auto"/>
          <w:szCs w:val="21"/>
          <w:highlight w:val="none"/>
          <w:u w:val="single"/>
        </w:rPr>
        <w:t xml:space="preserve">                         </w:t>
      </w:r>
    </w:p>
    <w:p w14:paraId="63D8CD1A">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单位性质：</w:t>
      </w:r>
      <w:r>
        <w:rPr>
          <w:rFonts w:asciiTheme="minorEastAsia" w:hAnsiTheme="minorEastAsia" w:eastAsiaTheme="minorEastAsia"/>
          <w:bCs/>
          <w:color w:val="auto"/>
          <w:szCs w:val="21"/>
          <w:highlight w:val="none"/>
          <w:u w:val="single"/>
        </w:rPr>
        <w:t xml:space="preserve">                           </w:t>
      </w:r>
    </w:p>
    <w:p w14:paraId="7B742F51">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成立时间：</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年</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月</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日</w:t>
      </w:r>
    </w:p>
    <w:p w14:paraId="02528145">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经营期限：</w:t>
      </w:r>
      <w:r>
        <w:rPr>
          <w:rFonts w:asciiTheme="minorEastAsia" w:hAnsiTheme="minorEastAsia" w:eastAsiaTheme="minorEastAsia"/>
          <w:bCs/>
          <w:color w:val="auto"/>
          <w:szCs w:val="21"/>
          <w:highlight w:val="none"/>
          <w:u w:val="single"/>
        </w:rPr>
        <w:t xml:space="preserve">            </w:t>
      </w:r>
    </w:p>
    <w:p w14:paraId="66CB3B7F">
      <w:pPr>
        <w:topLinePunct/>
        <w:snapToGrid w:val="0"/>
        <w:spacing w:line="440" w:lineRule="exact"/>
        <w:rPr>
          <w:rFonts w:asciiTheme="minorEastAsia" w:hAnsiTheme="minorEastAsia" w:eastAsiaTheme="minorEastAsia"/>
          <w:bCs/>
          <w:color w:val="auto"/>
          <w:szCs w:val="21"/>
          <w:highlight w:val="none"/>
          <w:u w:val="single"/>
        </w:rPr>
      </w:pPr>
      <w:r>
        <w:rPr>
          <w:rFonts w:asciiTheme="minorEastAsia" w:hAnsiTheme="minorEastAsia" w:eastAsiaTheme="minorEastAsia"/>
          <w:bCs/>
          <w:color w:val="auto"/>
          <w:szCs w:val="21"/>
          <w:highlight w:val="none"/>
        </w:rPr>
        <w:t>姓名：</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性别：</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年龄：</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职务：</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rPr>
        <w:t xml:space="preserve"> </w:t>
      </w:r>
    </w:p>
    <w:p w14:paraId="2E09FF50">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系</w:t>
      </w:r>
      <w:r>
        <w:rPr>
          <w:rFonts w:hint="eastAsia" w:asciiTheme="minorEastAsia" w:hAnsiTheme="minorEastAsia" w:eastAsiaTheme="minorEastAsia"/>
          <w:color w:val="auto"/>
          <w:highlight w:val="none"/>
          <w:u w:val="single"/>
        </w:rPr>
        <w:t>【XX公司</w:t>
      </w:r>
      <w:r>
        <w:rPr>
          <w:rFonts w:hint="eastAsia" w:asciiTheme="minorEastAsia" w:hAnsiTheme="minorEastAsia" w:eastAsiaTheme="minorEastAsia"/>
          <w:color w:val="auto"/>
          <w:szCs w:val="21"/>
          <w:highlight w:val="none"/>
          <w:u w:val="single"/>
        </w:rPr>
        <w:t>[供应商单位</w:t>
      </w:r>
      <w:r>
        <w:rPr>
          <w:rFonts w:asciiTheme="minorEastAsia" w:hAnsiTheme="minorEastAsia" w:eastAsiaTheme="minorEastAsia"/>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的法定代表人</w:t>
      </w:r>
      <w:r>
        <w:rPr>
          <w:rFonts w:hint="eastAsia" w:asciiTheme="minorEastAsia" w:hAnsiTheme="minorEastAsia" w:eastAsiaTheme="minorEastAsia"/>
          <w:bCs/>
          <w:color w:val="auto"/>
          <w:szCs w:val="21"/>
          <w:highlight w:val="none"/>
        </w:rPr>
        <w:t>/负责人</w:t>
      </w:r>
      <w:r>
        <w:rPr>
          <w:rFonts w:asciiTheme="minorEastAsia" w:hAnsiTheme="minorEastAsia" w:eastAsiaTheme="minorEastAsia"/>
          <w:bCs/>
          <w:color w:val="auto"/>
          <w:szCs w:val="21"/>
          <w:highlight w:val="none"/>
        </w:rPr>
        <w:t>。</w:t>
      </w:r>
    </w:p>
    <w:p w14:paraId="6CC4E6D3">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特此证明。</w:t>
      </w:r>
    </w:p>
    <w:p w14:paraId="1F03B2CA">
      <w:pPr>
        <w:topLinePunct/>
        <w:snapToGrid w:val="0"/>
        <w:spacing w:line="440" w:lineRule="exact"/>
        <w:ind w:firstLine="420" w:firstLineChars="200"/>
        <w:rPr>
          <w:rFonts w:asciiTheme="minorEastAsia" w:hAnsiTheme="minorEastAsia" w:eastAsiaTheme="minorEastAsia"/>
          <w:bCs/>
          <w:color w:val="auto"/>
          <w:szCs w:val="21"/>
          <w:highlight w:val="none"/>
        </w:rPr>
      </w:pPr>
    </w:p>
    <w:p w14:paraId="20AF2F75">
      <w:pPr>
        <w:topLinePunct/>
        <w:snapToGrid w:val="0"/>
        <w:spacing w:line="44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t>附：法定代表人</w:t>
      </w:r>
      <w:r>
        <w:rPr>
          <w:rFonts w:hint="eastAsia" w:asciiTheme="minorEastAsia" w:hAnsiTheme="minorEastAsia" w:eastAsiaTheme="minorEastAsia"/>
          <w:color w:val="auto"/>
          <w:highlight w:val="none"/>
        </w:rPr>
        <w:t>/负责人的合法有效</w:t>
      </w:r>
      <w:r>
        <w:rPr>
          <w:rFonts w:asciiTheme="minorEastAsia" w:hAnsiTheme="minorEastAsia" w:eastAsiaTheme="minorEastAsia"/>
          <w:color w:val="auto"/>
          <w:highlight w:val="none"/>
        </w:rPr>
        <w:t>身份证</w:t>
      </w:r>
      <w:r>
        <w:rPr>
          <w:rFonts w:hint="eastAsia" w:asciiTheme="minorEastAsia" w:hAnsiTheme="minorEastAsia" w:eastAsiaTheme="minorEastAsia"/>
          <w:color w:val="auto"/>
          <w:highlight w:val="none"/>
        </w:rPr>
        <w:t>明</w:t>
      </w:r>
      <w:r>
        <w:rPr>
          <w:rFonts w:asciiTheme="minorEastAsia" w:hAnsiTheme="minorEastAsia" w:eastAsiaTheme="minorEastAsia"/>
          <w:color w:val="auto"/>
          <w:highlight w:val="none"/>
        </w:rPr>
        <w:t>复印件</w:t>
      </w:r>
      <w:r>
        <w:rPr>
          <w:rFonts w:hint="eastAsia" w:asciiTheme="minorEastAsia" w:hAnsiTheme="minorEastAsia" w:eastAsiaTheme="minorEastAsia"/>
          <w:color w:val="auto"/>
          <w:highlight w:val="none"/>
        </w:rPr>
        <w:t>或扫描件</w:t>
      </w:r>
      <w:r>
        <w:rPr>
          <w:rFonts w:hint="eastAsia" w:asciiTheme="minorEastAsia" w:hAnsiTheme="minorEastAsia" w:eastAsiaTheme="minorEastAsia"/>
          <w:bCs/>
          <w:color w:val="auto"/>
          <w:szCs w:val="21"/>
          <w:highlight w:val="none"/>
        </w:rPr>
        <w:t>(如提供中华人民共和国居民身份证的，需同时提供国徽面及人像面)</w:t>
      </w:r>
    </w:p>
    <w:p w14:paraId="391654D0">
      <w:pPr>
        <w:spacing w:line="5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10" name="流程图: 可选过程 10"/>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079EA423">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114EEF">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AIl+NgAAAAKAQAADwAAAAAAAAABACAAAAAiAAAAZHJzL2Rvd25yZXYueG1sUEsBAhQAFAAA&#10;AAgAh07iQCyKqIthAgAAowQAAA4AAAAAAAAAAQAgAAAAJwEAAGRycy9lMm9Eb2MueG1sUEsFBgAA&#10;AAAGAAYAWQEAAPoFAAAAAA==&#10;">
                <v:fill on="t" focussize="0,0"/>
                <v:stroke color="#000000" miterlimit="8" joinstyle="miter"/>
                <v:imagedata o:title=""/>
                <o:lock v:ext="edit" aspectratio="f"/>
                <v:textbox>
                  <w:txbxContent>
                    <w:p w14:paraId="079EA423">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114EEF">
                      <w:pPr>
                        <w:jc w:val="center"/>
                        <w:rPr>
                          <w:szCs w:val="21"/>
                        </w:rPr>
                      </w:pPr>
                      <w:r>
                        <w:rPr>
                          <w:rFonts w:hint="eastAsia"/>
                          <w:szCs w:val="21"/>
                        </w:rPr>
                        <w:t>粘贴处</w:t>
                      </w:r>
                    </w:p>
                  </w:txbxContent>
                </v:textbox>
              </v:shape>
            </w:pict>
          </mc:Fallback>
        </mc:AlternateContent>
      </w:r>
      <w:r>
        <w:rPr>
          <w:rFonts w:asciiTheme="minorEastAsia" w:hAnsiTheme="minorEastAsia" w:eastAsiaTheme="minorEastAsia"/>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9" name="流程图: 可选过程 9"/>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546B2F4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814075">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E/ScbZgAgAAoQQAAA4AAAAAAAAAAQAgAAAAKAEAAGRycy9lMm9Eb2MueG1sUEsFBgAA&#10;AAAGAAYAWQEAAPoFAAAAAA==&#10;">
                <v:fill on="t" focussize="0,0"/>
                <v:stroke color="#000000" miterlimit="8" joinstyle="miter"/>
                <v:imagedata o:title=""/>
                <o:lock v:ext="edit" aspectratio="f"/>
                <v:textbox>
                  <w:txbxContent>
                    <w:p w14:paraId="546B2F4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814075">
                      <w:pPr>
                        <w:jc w:val="center"/>
                        <w:rPr>
                          <w:szCs w:val="21"/>
                        </w:rPr>
                      </w:pPr>
                      <w:r>
                        <w:rPr>
                          <w:rFonts w:hint="eastAsia"/>
                          <w:szCs w:val="21"/>
                        </w:rPr>
                        <w:t>粘贴处</w:t>
                      </w:r>
                    </w:p>
                  </w:txbxContent>
                </v:textbox>
              </v:shape>
            </w:pict>
          </mc:Fallback>
        </mc:AlternateContent>
      </w:r>
    </w:p>
    <w:p w14:paraId="3D35FCCD">
      <w:pPr>
        <w:spacing w:line="500" w:lineRule="exact"/>
        <w:rPr>
          <w:rFonts w:asciiTheme="minorEastAsia" w:hAnsiTheme="minorEastAsia" w:eastAsiaTheme="minorEastAsia"/>
          <w:color w:val="auto"/>
          <w:szCs w:val="21"/>
          <w:highlight w:val="none"/>
        </w:rPr>
      </w:pPr>
    </w:p>
    <w:p w14:paraId="041EDC9C">
      <w:pPr>
        <w:spacing w:line="440" w:lineRule="exact"/>
        <w:rPr>
          <w:rFonts w:asciiTheme="minorEastAsia" w:hAnsiTheme="minorEastAsia" w:eastAsiaTheme="minorEastAsia"/>
          <w:color w:val="auto"/>
          <w:szCs w:val="21"/>
          <w:highlight w:val="none"/>
        </w:rPr>
      </w:pPr>
    </w:p>
    <w:p w14:paraId="6405D676">
      <w:pPr>
        <w:spacing w:line="44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p>
    <w:p w14:paraId="3E70AD7B">
      <w:pPr>
        <w:spacing w:line="500" w:lineRule="exact"/>
        <w:rPr>
          <w:rFonts w:asciiTheme="minorEastAsia" w:hAnsiTheme="minorEastAsia" w:eastAsiaTheme="minorEastAsia"/>
          <w:color w:val="auto"/>
          <w:szCs w:val="21"/>
          <w:highlight w:val="none"/>
        </w:rPr>
      </w:pPr>
    </w:p>
    <w:p w14:paraId="0D47FAE5">
      <w:pPr>
        <w:spacing w:line="440" w:lineRule="exact"/>
        <w:rPr>
          <w:rFonts w:asciiTheme="minorEastAsia" w:hAnsiTheme="minorEastAsia" w:eastAsiaTheme="minorEastAsia"/>
          <w:color w:val="auto"/>
          <w:szCs w:val="21"/>
          <w:highlight w:val="none"/>
        </w:rPr>
      </w:pPr>
    </w:p>
    <w:p w14:paraId="4CBE222E">
      <w:pPr>
        <w:spacing w:line="500" w:lineRule="exact"/>
        <w:rPr>
          <w:rFonts w:asciiTheme="minorEastAsia" w:hAnsiTheme="minorEastAsia" w:eastAsiaTheme="minorEastAsia"/>
          <w:color w:val="auto"/>
          <w:szCs w:val="21"/>
          <w:highlight w:val="none"/>
        </w:rPr>
      </w:pPr>
    </w:p>
    <w:p w14:paraId="5EFB5B9B">
      <w:pPr>
        <w:spacing w:line="440" w:lineRule="exact"/>
        <w:rPr>
          <w:rFonts w:asciiTheme="minorEastAsia" w:hAnsiTheme="minorEastAsia" w:eastAsiaTheme="minorEastAsia"/>
          <w:color w:val="auto"/>
          <w:szCs w:val="21"/>
          <w:highlight w:val="none"/>
        </w:rPr>
      </w:pPr>
    </w:p>
    <w:p w14:paraId="2C7B8A3E">
      <w:pPr>
        <w:spacing w:line="44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p>
    <w:p w14:paraId="74D89D60">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768247FA">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3FDF19AB">
      <w:pPr>
        <w:rPr>
          <w:rFonts w:hint="eastAsia" w:eastAsia="宋体"/>
          <w:color w:val="auto"/>
          <w:highlight w:val="none"/>
          <w:lang w:val="en-US" w:eastAsia="zh-CN"/>
        </w:rPr>
      </w:pPr>
      <w:r>
        <w:rPr>
          <w:rFonts w:hint="eastAsia"/>
          <w:color w:val="auto"/>
          <w:highlight w:val="none"/>
          <w:lang w:val="en-US" w:eastAsia="zh-CN"/>
        </w:rPr>
        <w:t xml:space="preserve"> </w:t>
      </w:r>
    </w:p>
    <w:p w14:paraId="62C8FD11">
      <w:pPr>
        <w:rPr>
          <w:color w:val="auto"/>
          <w:highlight w:val="none"/>
        </w:rPr>
      </w:pPr>
    </w:p>
    <w:p w14:paraId="060B2338">
      <w:pPr>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p>
    <w:p w14:paraId="3DE15081">
      <w:pPr>
        <w:pStyle w:val="74"/>
        <w:numPr>
          <w:ilvl w:val="0"/>
          <w:numId w:val="39"/>
        </w:numPr>
        <w:tabs>
          <w:tab w:val="left" w:pos="588"/>
        </w:tabs>
        <w:snapToGrid w:val="0"/>
        <w:spacing w:before="120" w:after="120" w:line="440" w:lineRule="exact"/>
        <w:ind w:left="635" w:leftChars="0" w:firstLineChars="0"/>
        <w:jc w:val="both"/>
        <w:outlineLvl w:val="1"/>
        <w:rPr>
          <w:rFonts w:asciiTheme="minorEastAsia" w:hAnsiTheme="minorEastAsia" w:eastAsiaTheme="minorEastAsia"/>
          <w:color w:val="auto"/>
          <w:sz w:val="24"/>
          <w:szCs w:val="24"/>
          <w:highlight w:val="none"/>
        </w:rPr>
      </w:pPr>
      <w:r>
        <w:rPr>
          <w:rFonts w:asciiTheme="minorEastAsia" w:hAnsiTheme="minorEastAsia" w:eastAsiaTheme="minorEastAsia"/>
          <w:color w:val="auto"/>
          <w:szCs w:val="21"/>
          <w:highlight w:val="none"/>
        </w:rPr>
        <w:br w:type="page"/>
      </w:r>
      <w:bookmarkStart w:id="582" w:name="_Toc11041"/>
      <w:bookmarkStart w:id="583" w:name="_Toc438052122"/>
      <w:bookmarkStart w:id="584" w:name="_Toc15843"/>
      <w:bookmarkStart w:id="585" w:name="_Toc475472675"/>
      <w:r>
        <w:rPr>
          <w:rFonts w:hint="eastAsia" w:asciiTheme="minorEastAsia" w:hAnsiTheme="minorEastAsia" w:eastAsiaTheme="minorEastAsia"/>
          <w:color w:val="auto"/>
          <w:sz w:val="24"/>
          <w:szCs w:val="24"/>
          <w:highlight w:val="none"/>
        </w:rPr>
        <w:t>法定代表人/负责人授权委托书</w:t>
      </w:r>
      <w:bookmarkEnd w:id="582"/>
      <w:bookmarkEnd w:id="583"/>
      <w:bookmarkEnd w:id="584"/>
      <w:bookmarkEnd w:id="585"/>
    </w:p>
    <w:p w14:paraId="1FEDF65D">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法定代表人/负责人授权委托书</w:t>
      </w:r>
    </w:p>
    <w:p w14:paraId="3F39ED06">
      <w:pPr>
        <w:jc w:val="center"/>
        <w:rPr>
          <w:rFonts w:cs="宋体" w:asciiTheme="minorEastAsia" w:hAnsiTheme="minorEastAsia" w:eastAsiaTheme="minorEastAsia"/>
          <w:b/>
          <w:color w:val="auto"/>
          <w:sz w:val="24"/>
          <w:highlight w:val="none"/>
        </w:rPr>
      </w:pPr>
    </w:p>
    <w:p w14:paraId="31292976">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本人</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 xml:space="preserve">系 </w:t>
      </w:r>
      <w:r>
        <w:rPr>
          <w:rFonts w:hint="eastAsia" w:asciiTheme="minorEastAsia" w:hAnsiTheme="minorEastAsia" w:eastAsiaTheme="minorEastAsia"/>
          <w:color w:val="auto"/>
          <w:highlight w:val="none"/>
          <w:u w:val="single"/>
        </w:rPr>
        <w:t>【XX公司</w:t>
      </w:r>
      <w:r>
        <w:rPr>
          <w:rFonts w:hint="eastAsia" w:asciiTheme="minorEastAsia" w:hAnsiTheme="minorEastAsia" w:eastAsiaTheme="minorEastAsia"/>
          <w:color w:val="auto"/>
          <w:szCs w:val="21"/>
          <w:highlight w:val="none"/>
          <w:u w:val="single"/>
        </w:rPr>
        <w:t>[供应商</w:t>
      </w:r>
      <w:r>
        <w:rPr>
          <w:rFonts w:asciiTheme="minorEastAsia" w:hAnsiTheme="minorEastAsia" w:eastAsiaTheme="minorEastAsia"/>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的法定代表人，现委托</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[委托代理人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为我方代理人。代理人根据授权，以我方名义</w:t>
      </w:r>
      <w:r>
        <w:rPr>
          <w:rFonts w:hint="eastAsia" w:asciiTheme="minorEastAsia" w:hAnsiTheme="minorEastAsia" w:eastAsiaTheme="minorEastAsia"/>
          <w:bCs/>
          <w:color w:val="auto"/>
          <w:szCs w:val="21"/>
          <w:highlight w:val="none"/>
        </w:rPr>
        <w:t>全权处理</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湖北信通通信有限公司2026-2028年荆州零星搬运服务项目</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bCs/>
          <w:color w:val="auto"/>
          <w:szCs w:val="21"/>
          <w:highlight w:val="none"/>
          <w:u w:val="single"/>
        </w:rPr>
        <w:t>询比项目</w:t>
      </w:r>
      <w:r>
        <w:rPr>
          <w:rFonts w:asciiTheme="minorEastAsia" w:hAnsiTheme="minorEastAsia" w:eastAsiaTheme="minorEastAsia"/>
          <w:bCs/>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u w:val="single"/>
        </w:rPr>
        <w:t>签署、澄清</w:t>
      </w:r>
      <w:r>
        <w:rPr>
          <w:rFonts w:hint="eastAsia" w:asciiTheme="minorEastAsia" w:hAnsiTheme="minorEastAsia" w:eastAsiaTheme="minorEastAsia"/>
          <w:bCs/>
          <w:color w:val="auto"/>
          <w:szCs w:val="21"/>
          <w:highlight w:val="none"/>
          <w:u w:val="single"/>
        </w:rPr>
        <w:t>、说明、补正</w:t>
      </w:r>
      <w:r>
        <w:rPr>
          <w:rFonts w:asciiTheme="minorEastAsia" w:hAnsiTheme="minorEastAsia" w:eastAsiaTheme="minorEastAsia"/>
          <w:bCs/>
          <w:color w:val="auto"/>
          <w:szCs w:val="21"/>
          <w:highlight w:val="none"/>
          <w:u w:val="single"/>
        </w:rPr>
        <w:t>、</w:t>
      </w:r>
      <w:r>
        <w:rPr>
          <w:rFonts w:hint="eastAsia" w:asciiTheme="minorEastAsia" w:hAnsiTheme="minorEastAsia" w:eastAsiaTheme="minorEastAsia"/>
          <w:bCs/>
          <w:color w:val="auto"/>
          <w:szCs w:val="21"/>
          <w:highlight w:val="none"/>
          <w:u w:val="single"/>
        </w:rPr>
        <w:t>提交</w:t>
      </w:r>
      <w:r>
        <w:rPr>
          <w:rFonts w:asciiTheme="minorEastAsia" w:hAnsiTheme="minorEastAsia" w:eastAsiaTheme="minorEastAsia"/>
          <w:bCs/>
          <w:color w:val="auto"/>
          <w:szCs w:val="21"/>
          <w:highlight w:val="none"/>
          <w:u w:val="single"/>
        </w:rPr>
        <w:t>、撤回、修改</w:t>
      </w:r>
      <w:r>
        <w:rPr>
          <w:rFonts w:hint="eastAsia" w:asciiTheme="minorEastAsia" w:hAnsiTheme="minorEastAsia" w:eastAsiaTheme="minorEastAsia"/>
          <w:bCs/>
          <w:color w:val="auto"/>
          <w:szCs w:val="21"/>
          <w:highlight w:val="none"/>
          <w:u w:val="single"/>
        </w:rPr>
        <w:t>响应文件，</w:t>
      </w:r>
      <w:r>
        <w:rPr>
          <w:rFonts w:asciiTheme="minorEastAsia" w:hAnsiTheme="minorEastAsia" w:eastAsiaTheme="minorEastAsia"/>
          <w:bCs/>
          <w:color w:val="auto"/>
          <w:szCs w:val="21"/>
          <w:highlight w:val="none"/>
          <w:u w:val="single"/>
        </w:rPr>
        <w:t>签订合同和处理</w:t>
      </w:r>
      <w:r>
        <w:rPr>
          <w:rFonts w:hint="eastAsia" w:asciiTheme="minorEastAsia" w:hAnsiTheme="minorEastAsia" w:eastAsiaTheme="minorEastAsia"/>
          <w:bCs/>
          <w:color w:val="auto"/>
          <w:szCs w:val="21"/>
          <w:highlight w:val="none"/>
          <w:u w:val="single"/>
        </w:rPr>
        <w:t>一切</w:t>
      </w:r>
      <w:r>
        <w:rPr>
          <w:rFonts w:asciiTheme="minorEastAsia" w:hAnsiTheme="minorEastAsia" w:eastAsiaTheme="minorEastAsia"/>
          <w:bCs/>
          <w:color w:val="auto"/>
          <w:szCs w:val="21"/>
          <w:highlight w:val="none"/>
          <w:u w:val="single"/>
        </w:rPr>
        <w:t>有关事宜</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 xml:space="preserve">，其法律后果由我方承担。 </w:t>
      </w:r>
    </w:p>
    <w:p w14:paraId="2428403C">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委托期限：</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w:t>
      </w:r>
    </w:p>
    <w:p w14:paraId="0D16A5A1">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w:t>
      </w:r>
      <w:r>
        <w:rPr>
          <w:rFonts w:asciiTheme="minorEastAsia" w:hAnsiTheme="minorEastAsia" w:eastAsiaTheme="minorEastAsia"/>
          <w:bCs/>
          <w:color w:val="auto"/>
          <w:szCs w:val="21"/>
          <w:highlight w:val="none"/>
        </w:rPr>
        <w:t>代理人无转委托权。</w:t>
      </w:r>
    </w:p>
    <w:p w14:paraId="2930F983">
      <w:pPr>
        <w:spacing w:line="44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附：</w:t>
      </w:r>
    </w:p>
    <w:p w14:paraId="2F37B18D">
      <w:pPr>
        <w:pStyle w:val="102"/>
        <w:numPr>
          <w:ilvl w:val="0"/>
          <w:numId w:val="43"/>
        </w:numPr>
        <w:spacing w:line="440" w:lineRule="exact"/>
        <w:ind w:firstLineChars="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委托代理人</w:t>
      </w:r>
      <w:r>
        <w:rPr>
          <w:rFonts w:hint="eastAsia" w:asciiTheme="minorEastAsia" w:hAnsiTheme="minorEastAsia" w:eastAsiaTheme="minorEastAsia"/>
          <w:color w:val="auto"/>
          <w:highlight w:val="none"/>
        </w:rPr>
        <w:t>的合法有效</w:t>
      </w:r>
      <w:r>
        <w:rPr>
          <w:rFonts w:asciiTheme="minorEastAsia" w:hAnsiTheme="minorEastAsia" w:eastAsiaTheme="minorEastAsia"/>
          <w:color w:val="auto"/>
          <w:highlight w:val="none"/>
        </w:rPr>
        <w:t>身份证</w:t>
      </w:r>
      <w:r>
        <w:rPr>
          <w:rFonts w:hint="eastAsia" w:asciiTheme="minorEastAsia" w:hAnsiTheme="minorEastAsia" w:eastAsiaTheme="minorEastAsia"/>
          <w:color w:val="auto"/>
          <w:highlight w:val="none"/>
        </w:rPr>
        <w:t>明</w:t>
      </w:r>
      <w:r>
        <w:rPr>
          <w:rFonts w:hint="eastAsia" w:asciiTheme="minorEastAsia" w:hAnsiTheme="minorEastAsia" w:eastAsiaTheme="minorEastAsia"/>
          <w:bCs/>
          <w:color w:val="auto"/>
          <w:szCs w:val="21"/>
          <w:highlight w:val="none"/>
        </w:rPr>
        <w:t>复印件或扫描件(如提供中华人民共和国居民身份证的，需同时提供国徽面及人像面)</w:t>
      </w:r>
    </w:p>
    <w:p w14:paraId="69850B82">
      <w:pPr>
        <w:topLinePunct/>
        <w:snapToGrid w:val="0"/>
        <w:spacing w:line="440" w:lineRule="exact"/>
        <w:ind w:firstLine="420" w:firstLineChars="200"/>
        <w:jc w:val="right"/>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 xml:space="preserve"> </w:t>
      </w:r>
    </w:p>
    <w:p w14:paraId="1C4DF2C6">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59DCC268">
      <w:pPr>
        <w:topLinePunct/>
        <w:snapToGrid w:val="0"/>
        <w:spacing w:line="440" w:lineRule="exact"/>
        <w:ind w:firstLine="1134" w:firstLineChars="54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委托代理人上级领导：</w:t>
      </w:r>
      <w:r>
        <w:rPr>
          <w:rFonts w:hint="eastAsia"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（姓名）</w:t>
      </w:r>
    </w:p>
    <w:p w14:paraId="6D385DF9">
      <w:pPr>
        <w:topLinePunct/>
        <w:snapToGrid w:val="0"/>
        <w:spacing w:line="440" w:lineRule="exact"/>
        <w:ind w:firstLine="1134" w:firstLineChars="54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联系方式（手机）：</w:t>
      </w:r>
      <w:r>
        <w:rPr>
          <w:rFonts w:hint="eastAsia" w:asciiTheme="minorEastAsia" w:hAnsiTheme="minorEastAsia" w:eastAsiaTheme="minorEastAsia"/>
          <w:bCs/>
          <w:color w:val="auto"/>
          <w:szCs w:val="21"/>
          <w:highlight w:val="none"/>
          <w:u w:val="single"/>
        </w:rPr>
        <w:t xml:space="preserve">                     </w:t>
      </w:r>
    </w:p>
    <w:p w14:paraId="05E8BC07">
      <w:pPr>
        <w:topLinePunct/>
        <w:snapToGrid w:val="0"/>
        <w:spacing w:line="440" w:lineRule="exact"/>
        <w:ind w:firstLine="1134" w:firstLineChars="54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4EEE1497">
      <w:pPr>
        <w:spacing w:line="5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8" name="流程图: 可选过程 8"/>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1F551432">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AAiX42AAAAAoBAAAPAAAAAAAAAAEAIAAAACIAAABkcnMvZG93bnJldi54bWxQSwECFAAUAAAA&#10;CACHTuJAVgdiWGACAAChBAAADgAAAAAAAAABACAAAAAnAQAAZHJzL2Uyb0RvYy54bWxQSwUGAAAA&#10;AAYABgBZAQAA+QUAAAAA&#10;">
                <v:fill on="t" focussize="0,0"/>
                <v:stroke color="#000000" miterlimit="8" joinstyle="miter"/>
                <v:imagedata o:title=""/>
                <o:lock v:ext="edit" aspectratio="f"/>
                <v:textbox>
                  <w:txbxContent>
                    <w:p w14:paraId="1F551432">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r>
        <w:rPr>
          <w:rFonts w:asciiTheme="minorEastAsia" w:hAnsiTheme="minorEastAsia" w:eastAsiaTheme="minorEastAsia"/>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0AC47C9C">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BaX0KJgAgAAoQQAAA4AAAAAAAAAAQAgAAAAKAEAAGRycy9lMm9Eb2MueG1sUEsFBgAA&#10;AAAGAAYAWQEAAPoFAAAAAA==&#10;">
                <v:fill on="t" focussize="0,0"/>
                <v:stroke color="#000000" miterlimit="8" joinstyle="miter"/>
                <v:imagedata o:title=""/>
                <o:lock v:ext="edit" aspectratio="f"/>
                <v:textbox>
                  <w:txbxContent>
                    <w:p w14:paraId="0AC47C9C">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p>
    <w:p w14:paraId="46198098">
      <w:pPr>
        <w:spacing w:line="440" w:lineRule="exact"/>
        <w:rPr>
          <w:rFonts w:asciiTheme="minorEastAsia" w:hAnsiTheme="minorEastAsia" w:eastAsiaTheme="minorEastAsia"/>
          <w:color w:val="auto"/>
          <w:szCs w:val="21"/>
          <w:highlight w:val="none"/>
        </w:rPr>
      </w:pPr>
    </w:p>
    <w:p w14:paraId="1B9442E6">
      <w:pPr>
        <w:spacing w:line="500" w:lineRule="exact"/>
        <w:rPr>
          <w:rFonts w:asciiTheme="minorEastAsia" w:hAnsiTheme="minorEastAsia" w:eastAsiaTheme="minorEastAsia"/>
          <w:color w:val="auto"/>
          <w:szCs w:val="21"/>
          <w:highlight w:val="none"/>
        </w:rPr>
      </w:pPr>
    </w:p>
    <w:p w14:paraId="56720CB5">
      <w:pPr>
        <w:spacing w:line="440" w:lineRule="exact"/>
        <w:rPr>
          <w:rFonts w:asciiTheme="minorEastAsia" w:hAnsiTheme="minorEastAsia" w:eastAsiaTheme="minorEastAsia"/>
          <w:color w:val="auto"/>
          <w:szCs w:val="21"/>
          <w:highlight w:val="none"/>
        </w:rPr>
      </w:pPr>
    </w:p>
    <w:p w14:paraId="480E3F65">
      <w:pPr>
        <w:topLinePunct/>
        <w:snapToGrid w:val="0"/>
        <w:spacing w:line="440" w:lineRule="exact"/>
        <w:rPr>
          <w:rFonts w:asciiTheme="minorEastAsia" w:hAnsiTheme="minorEastAsia" w:eastAsiaTheme="minorEastAsia"/>
          <w:color w:val="auto"/>
          <w:highlight w:val="none"/>
        </w:rPr>
      </w:pPr>
    </w:p>
    <w:p w14:paraId="53AC84D5">
      <w:pPr>
        <w:topLinePunct/>
        <w:spacing w:line="440" w:lineRule="exact"/>
        <w:jc w:val="left"/>
        <w:rPr>
          <w:rFonts w:asciiTheme="minorEastAsia" w:hAnsiTheme="minorEastAsia" w:eastAsiaTheme="minorEastAsia"/>
          <w:color w:val="auto"/>
          <w:highlight w:val="none"/>
        </w:rPr>
      </w:pPr>
    </w:p>
    <w:p w14:paraId="7BD26414">
      <w:pPr>
        <w:topLinePunct/>
        <w:spacing w:line="440" w:lineRule="exact"/>
        <w:jc w:val="left"/>
        <w:rPr>
          <w:rFonts w:asciiTheme="minorEastAsia" w:hAnsiTheme="minorEastAsia" w:eastAsiaTheme="minorEastAsia"/>
          <w:color w:val="auto"/>
          <w:highlight w:val="none"/>
        </w:rPr>
      </w:pPr>
    </w:p>
    <w:p w14:paraId="2F014108">
      <w:pPr>
        <w:topLinePunct/>
        <w:spacing w:line="440" w:lineRule="exact"/>
        <w:jc w:val="left"/>
        <w:rPr>
          <w:rFonts w:asciiTheme="minorEastAsia" w:hAnsiTheme="minorEastAsia" w:eastAsiaTheme="minorEastAsia"/>
          <w:color w:val="auto"/>
          <w:highlight w:val="none"/>
        </w:rPr>
      </w:pPr>
    </w:p>
    <w:p w14:paraId="34194510">
      <w:pPr>
        <w:topLinePunct/>
        <w:spacing w:line="440" w:lineRule="exact"/>
        <w:jc w:val="left"/>
        <w:rPr>
          <w:rFonts w:asciiTheme="minorEastAsia" w:hAnsiTheme="minorEastAsia" w:eastAsiaTheme="minorEastAsia"/>
          <w:color w:val="auto"/>
          <w:highlight w:val="none"/>
        </w:rPr>
      </w:pPr>
    </w:p>
    <w:p w14:paraId="63A0D92A">
      <w:pPr>
        <w:topLinePunct/>
        <w:spacing w:line="440" w:lineRule="exact"/>
        <w:jc w:val="left"/>
        <w:rPr>
          <w:rFonts w:asciiTheme="minorEastAsia" w:hAnsiTheme="minorEastAsia" w:eastAsiaTheme="minorEastAsia"/>
          <w:color w:val="auto"/>
          <w:highlight w:val="none"/>
        </w:rPr>
      </w:pPr>
    </w:p>
    <w:p w14:paraId="4F00527C">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58AA6554">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0F20E92D">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86" w:name="_Toc475472676"/>
      <w:bookmarkStart w:id="587" w:name="_Toc23410"/>
      <w:bookmarkStart w:id="588" w:name="_Toc3484"/>
      <w:r>
        <w:rPr>
          <w:rFonts w:hint="eastAsia" w:asciiTheme="minorEastAsia" w:hAnsiTheme="minorEastAsia" w:eastAsiaTheme="minorEastAsia"/>
          <w:color w:val="auto"/>
          <w:sz w:val="24"/>
          <w:szCs w:val="24"/>
          <w:highlight w:val="none"/>
        </w:rPr>
        <w:t>制造商授权函</w:t>
      </w:r>
      <w:bookmarkEnd w:id="586"/>
      <w:r>
        <w:rPr>
          <w:rFonts w:hint="eastAsia"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lang w:val="en-US" w:eastAsia="zh-CN"/>
        </w:rPr>
        <w:t>如有</w:t>
      </w:r>
      <w:r>
        <w:rPr>
          <w:rFonts w:hint="eastAsia" w:asciiTheme="minorEastAsia" w:hAnsiTheme="minorEastAsia" w:eastAsiaTheme="minorEastAsia"/>
          <w:color w:val="auto"/>
          <w:sz w:val="24"/>
          <w:szCs w:val="24"/>
          <w:highlight w:val="none"/>
        </w:rPr>
        <w:t>）</w:t>
      </w:r>
      <w:bookmarkEnd w:id="587"/>
      <w:bookmarkEnd w:id="588"/>
    </w:p>
    <w:p w14:paraId="57D5E803">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制造商授权函</w:t>
      </w:r>
    </w:p>
    <w:p w14:paraId="7BE3B2D3">
      <w:pPr>
        <w:topLinePunct/>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lang w:eastAsia="zh-CN"/>
        </w:rPr>
        <w:t>湖北信通通信有限公司</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p>
    <w:p w14:paraId="7D563008">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（制造商名称）</w:t>
      </w:r>
      <w:r>
        <w:rPr>
          <w:rFonts w:hint="eastAsia" w:asciiTheme="minorEastAsia" w:hAnsiTheme="minorEastAsia" w:eastAsiaTheme="minorEastAsia"/>
          <w:color w:val="auto"/>
          <w:szCs w:val="21"/>
          <w:highlight w:val="none"/>
        </w:rPr>
        <w:t>是按</w:t>
      </w:r>
      <w:r>
        <w:rPr>
          <w:rFonts w:hint="eastAsia" w:asciiTheme="minorEastAsia" w:hAnsiTheme="minorEastAsia" w:eastAsiaTheme="minorEastAsia"/>
          <w:color w:val="auto"/>
          <w:szCs w:val="21"/>
          <w:highlight w:val="none"/>
          <w:u w:val="single"/>
        </w:rPr>
        <w:t xml:space="preserve">       （国家名称）</w:t>
      </w:r>
      <w:r>
        <w:rPr>
          <w:rFonts w:hint="eastAsia" w:asciiTheme="minorEastAsia" w:hAnsiTheme="minorEastAsia" w:eastAsiaTheme="minorEastAsia"/>
          <w:color w:val="auto"/>
          <w:szCs w:val="21"/>
          <w:highlight w:val="none"/>
        </w:rPr>
        <w:t>法律成立的制造商，主要制造地点设在</w:t>
      </w:r>
      <w:r>
        <w:rPr>
          <w:rFonts w:hint="eastAsia" w:asciiTheme="minorEastAsia" w:hAnsiTheme="minorEastAsia" w:eastAsiaTheme="minorEastAsia"/>
          <w:color w:val="auto"/>
          <w:szCs w:val="21"/>
          <w:highlight w:val="none"/>
          <w:u w:val="single"/>
        </w:rPr>
        <w:t xml:space="preserve">           （制造商地址）</w:t>
      </w:r>
      <w:r>
        <w:rPr>
          <w:rFonts w:hint="eastAsia" w:asciiTheme="minorEastAsia" w:hAnsiTheme="minorEastAsia" w:eastAsiaTheme="minorEastAsia"/>
          <w:color w:val="auto"/>
          <w:szCs w:val="21"/>
          <w:highlight w:val="none"/>
        </w:rPr>
        <w:t xml:space="preserve">。兹指派按 </w:t>
      </w:r>
      <w:r>
        <w:rPr>
          <w:rFonts w:hint="eastAsia" w:asciiTheme="minorEastAsia" w:hAnsiTheme="minorEastAsia" w:eastAsiaTheme="minorEastAsia"/>
          <w:color w:val="auto"/>
          <w:szCs w:val="21"/>
          <w:highlight w:val="none"/>
          <w:u w:val="single"/>
        </w:rPr>
        <w:t xml:space="preserve">      （国家名称）</w:t>
      </w:r>
      <w:r>
        <w:rPr>
          <w:rFonts w:hint="eastAsia" w:asciiTheme="minorEastAsia" w:hAnsiTheme="minorEastAsia" w:eastAsiaTheme="minorEastAsia"/>
          <w:color w:val="auto"/>
          <w:szCs w:val="21"/>
          <w:highlight w:val="none"/>
        </w:rPr>
        <w:t>的法律正式成立的，主要营业地点设在</w:t>
      </w:r>
      <w:r>
        <w:rPr>
          <w:rFonts w:hint="eastAsia" w:asciiTheme="minorEastAsia" w:hAnsiTheme="minorEastAsia" w:eastAsiaTheme="minorEastAsia"/>
          <w:color w:val="auto"/>
          <w:szCs w:val="21"/>
          <w:highlight w:val="none"/>
          <w:u w:val="single"/>
        </w:rPr>
        <w:t xml:space="preserve">        （代理商地址）</w:t>
      </w:r>
      <w:r>
        <w:rPr>
          <w:rFonts w:hint="eastAsia" w:asciiTheme="minorEastAsia" w:hAnsiTheme="minorEastAsia" w:eastAsiaTheme="minorEastAsia"/>
          <w:color w:val="auto"/>
          <w:szCs w:val="21"/>
          <w:highlight w:val="none"/>
        </w:rPr>
        <w:t>的</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作为我方合法的唯一代理人进行下列有效的询比活动：</w:t>
      </w:r>
    </w:p>
    <w:p w14:paraId="4DD7E9CB">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（1）代表我方在【中国】办理贵方</w:t>
      </w:r>
      <w:r>
        <w:rPr>
          <w:rFonts w:hint="eastAsia" w:asciiTheme="minorEastAsia" w:hAnsiTheme="minorEastAsia" w:eastAsiaTheme="minorEastAsia"/>
          <w:color w:val="auto"/>
          <w:szCs w:val="21"/>
          <w:highlight w:val="none"/>
          <w:u w:val="single"/>
        </w:rPr>
        <w:t xml:space="preserve">              （项目名称）</w:t>
      </w:r>
      <w:r>
        <w:rPr>
          <w:rFonts w:hint="eastAsia" w:asciiTheme="minorEastAsia" w:hAnsiTheme="minorEastAsia" w:eastAsiaTheme="minorEastAsia"/>
          <w:color w:val="auto"/>
          <w:szCs w:val="21"/>
          <w:highlight w:val="none"/>
        </w:rPr>
        <w:t>货物询比邀请要求提供的由我方制造的货物的有关事宜，并对我方具有约束力。</w:t>
      </w:r>
    </w:p>
    <w:p w14:paraId="5EDB1447">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）作为制造商，我方保证提供符合询比文件中所规定的货物，按照成交合同供货，</w:t>
      </w:r>
      <w:r>
        <w:rPr>
          <w:rFonts w:hint="eastAsia" w:cs="宋体" w:asciiTheme="minorEastAsia" w:hAnsiTheme="minorEastAsia" w:eastAsiaTheme="minorEastAsia"/>
          <w:color w:val="auto"/>
          <w:szCs w:val="21"/>
          <w:highlight w:val="none"/>
        </w:rPr>
        <w:t>并对产品质量承担责任</w:t>
      </w:r>
      <w:r>
        <w:rPr>
          <w:rFonts w:hint="eastAsia" w:asciiTheme="minorEastAsia" w:hAnsiTheme="minorEastAsia" w:eastAsiaTheme="minorEastAsia"/>
          <w:color w:val="auto"/>
          <w:szCs w:val="21"/>
          <w:highlight w:val="none"/>
        </w:rPr>
        <w:t>。</w:t>
      </w:r>
    </w:p>
    <w:p w14:paraId="6FC8AC97">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）我方兹授予</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全权办理和履行上述我方为完成上述各点所必须的事宜，具有替换或撤消的全权。兹确认</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或其正式委托代理人依此合法地办理一切事宜。</w:t>
      </w:r>
    </w:p>
    <w:p w14:paraId="56CB551F">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我方于</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日签署本文件，</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于</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日接受此件，以此为证。</w:t>
      </w:r>
    </w:p>
    <w:p w14:paraId="6B4182EE">
      <w:pPr>
        <w:tabs>
          <w:tab w:val="left" w:pos="0"/>
        </w:tabs>
        <w:spacing w:line="440" w:lineRule="exact"/>
        <w:ind w:left="420"/>
        <w:rPr>
          <w:rFonts w:asciiTheme="minorEastAsia" w:hAnsiTheme="minorEastAsia" w:eastAsiaTheme="minorEastAsia"/>
          <w:color w:val="auto"/>
          <w:sz w:val="24"/>
          <w:highlight w:val="none"/>
        </w:rPr>
      </w:pPr>
    </w:p>
    <w:p w14:paraId="53FCC8BD">
      <w:pPr>
        <w:tabs>
          <w:tab w:val="left" w:pos="0"/>
        </w:tabs>
        <w:spacing w:line="360" w:lineRule="auto"/>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代理商名称：</w:t>
      </w:r>
      <w:r>
        <w:rPr>
          <w:rFonts w:hint="eastAsia"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szCs w:val="21"/>
          <w:highlight w:val="none"/>
        </w:rPr>
        <w:t xml:space="preserve">（盖单位公章） </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b/>
          <w:color w:val="auto"/>
          <w:szCs w:val="21"/>
          <w:highlight w:val="none"/>
        </w:rPr>
        <w:t>制造商名称：</w:t>
      </w:r>
      <w:r>
        <w:rPr>
          <w:rFonts w:hint="eastAsia"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szCs w:val="21"/>
          <w:highlight w:val="none"/>
        </w:rPr>
        <w:t xml:space="preserve">（盖单位公章）       </w:t>
      </w:r>
    </w:p>
    <w:p w14:paraId="2AF3EB00">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签字人职务和部门：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签字人职务和部门：</w:t>
      </w:r>
      <w:r>
        <w:rPr>
          <w:rFonts w:hint="eastAsia" w:asciiTheme="minorEastAsia" w:hAnsiTheme="minorEastAsia" w:eastAsiaTheme="minorEastAsia"/>
          <w:color w:val="auto"/>
          <w:szCs w:val="21"/>
          <w:highlight w:val="none"/>
          <w:u w:val="single"/>
        </w:rPr>
        <w:t xml:space="preserve">            </w:t>
      </w:r>
    </w:p>
    <w:p w14:paraId="3AA08322">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签字人姓名：</w:t>
      </w:r>
      <w:r>
        <w:rPr>
          <w:rFonts w:hint="eastAsia" w:asciiTheme="minorEastAsia" w:hAnsiTheme="minorEastAsia" w:eastAsiaTheme="minorEastAsia"/>
          <w:color w:val="auto"/>
          <w:szCs w:val="21"/>
          <w:highlight w:val="none"/>
          <w:u w:val="single"/>
        </w:rPr>
        <w:t xml:space="preserve">                  </w:t>
      </w:r>
    </w:p>
    <w:p w14:paraId="0813C499">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签字人签名：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签字人签名：</w:t>
      </w:r>
      <w:r>
        <w:rPr>
          <w:rFonts w:hint="eastAsia" w:asciiTheme="minorEastAsia" w:hAnsiTheme="minorEastAsia" w:eastAsiaTheme="minorEastAsia"/>
          <w:color w:val="auto"/>
          <w:szCs w:val="21"/>
          <w:highlight w:val="none"/>
          <w:u w:val="single"/>
        </w:rPr>
        <w:t xml:space="preserve">                  </w:t>
      </w:r>
    </w:p>
    <w:p w14:paraId="5D7CD606">
      <w:pPr>
        <w:tabs>
          <w:tab w:val="left" w:pos="0"/>
        </w:tabs>
        <w:spacing w:line="360" w:lineRule="auto"/>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本项目联系人职务和部门：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本项目联系人职务和部门：</w:t>
      </w:r>
      <w:r>
        <w:rPr>
          <w:rFonts w:hint="eastAsia" w:asciiTheme="minorEastAsia" w:hAnsiTheme="minorEastAsia" w:eastAsiaTheme="minorEastAsia"/>
          <w:color w:val="auto"/>
          <w:szCs w:val="21"/>
          <w:highlight w:val="none"/>
          <w:u w:val="single"/>
        </w:rPr>
        <w:t xml:space="preserve">      </w:t>
      </w:r>
    </w:p>
    <w:p w14:paraId="63C43C01">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联系人姓名：</w:t>
      </w:r>
      <w:r>
        <w:rPr>
          <w:rFonts w:hint="eastAsia" w:asciiTheme="minorEastAsia" w:hAnsiTheme="minorEastAsia" w:eastAsiaTheme="minorEastAsia"/>
          <w:color w:val="auto"/>
          <w:szCs w:val="21"/>
          <w:highlight w:val="none"/>
          <w:u w:val="single"/>
        </w:rPr>
        <w:t xml:space="preserve">                  </w:t>
      </w:r>
    </w:p>
    <w:p w14:paraId="547B504C">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联系人电话：</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联系人电话：</w:t>
      </w:r>
      <w:r>
        <w:rPr>
          <w:rFonts w:hint="eastAsia" w:asciiTheme="minorEastAsia" w:hAnsiTheme="minorEastAsia" w:eastAsiaTheme="minorEastAsia"/>
          <w:color w:val="auto"/>
          <w:szCs w:val="21"/>
          <w:highlight w:val="none"/>
          <w:u w:val="single"/>
        </w:rPr>
        <w:t xml:space="preserve">                  </w:t>
      </w:r>
    </w:p>
    <w:p w14:paraId="0D7513C0">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联系人邮箱：</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联系人邮箱：</w:t>
      </w:r>
      <w:r>
        <w:rPr>
          <w:rFonts w:hint="eastAsia" w:asciiTheme="minorEastAsia" w:hAnsiTheme="minorEastAsia" w:eastAsiaTheme="minorEastAsia"/>
          <w:color w:val="auto"/>
          <w:szCs w:val="21"/>
          <w:highlight w:val="none"/>
          <w:u w:val="single"/>
        </w:rPr>
        <w:t xml:space="preserve">                  </w:t>
      </w:r>
    </w:p>
    <w:p w14:paraId="6D50A158">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p>
    <w:p w14:paraId="03A9EC62">
      <w:pPr>
        <w:pStyle w:val="102"/>
        <w:numPr>
          <w:ilvl w:val="0"/>
          <w:numId w:val="44"/>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代理商和制造商均应按要求签字并加盖单位公章，并上传签章后的扫描件。</w:t>
      </w:r>
    </w:p>
    <w:p w14:paraId="332A749F">
      <w:pPr>
        <w:pStyle w:val="102"/>
        <w:numPr>
          <w:ilvl w:val="0"/>
          <w:numId w:val="44"/>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针对特殊情况下接受代理商响应（①产品制造商注册地在中华人民共和国境外（与中华人民共和国有正常贸易与往来的国家或地区）及香港、澳门、台湾地区且必须使用代理商响应和签订销售合同；②产品</w:t>
      </w:r>
      <w:r>
        <w:rPr>
          <w:rFonts w:asciiTheme="minorEastAsia" w:hAnsiTheme="minorEastAsia" w:eastAsiaTheme="minorEastAsia"/>
          <w:color w:val="auto"/>
          <w:szCs w:val="21"/>
          <w:highlight w:val="none"/>
        </w:rPr>
        <w:t>制造商</w:t>
      </w:r>
      <w:r>
        <w:rPr>
          <w:rFonts w:hint="eastAsia" w:asciiTheme="minorEastAsia" w:hAnsiTheme="minorEastAsia" w:eastAsiaTheme="minorEastAsia"/>
          <w:color w:val="auto"/>
          <w:szCs w:val="21"/>
          <w:highlight w:val="none"/>
        </w:rPr>
        <w:t>为</w:t>
      </w:r>
      <w:r>
        <w:rPr>
          <w:rFonts w:asciiTheme="minorEastAsia" w:hAnsiTheme="minorEastAsia" w:eastAsiaTheme="minorEastAsia"/>
          <w:color w:val="auto"/>
          <w:szCs w:val="21"/>
          <w:highlight w:val="none"/>
        </w:rPr>
        <w:t>注册地在中华人民共和国境内的外资企业</w:t>
      </w:r>
      <w:r>
        <w:rPr>
          <w:rFonts w:hint="eastAsia" w:asciiTheme="minorEastAsia" w:hAnsiTheme="minorEastAsia" w:eastAsiaTheme="minorEastAsia"/>
          <w:color w:val="auto"/>
          <w:szCs w:val="21"/>
          <w:highlight w:val="none"/>
        </w:rPr>
        <w:t>(包括香港、澳门、台湾地区资本)或者由外国投资者（包括香港、澳门、台湾地区）享有绝对控制权（最大或最多表决权）的企业且必须使用代理商响应和签订销售合同）的项目，应同时提供产品制造商出具使用代理商响应理由的说明文件。</w:t>
      </w:r>
    </w:p>
    <w:p w14:paraId="5E949749">
      <w:pPr>
        <w:pStyle w:val="102"/>
        <w:numPr>
          <w:ilvl w:val="0"/>
          <w:numId w:val="44"/>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04233262">
      <w:pPr>
        <w:pStyle w:val="102"/>
        <w:numPr>
          <w:ilvl w:val="0"/>
          <w:numId w:val="44"/>
        </w:numPr>
        <w:topLinePunct/>
        <w:spacing w:line="440" w:lineRule="exact"/>
        <w:ind w:firstLineChars="0"/>
        <w:jc w:val="left"/>
        <w:rPr>
          <w:rFonts w:asciiTheme="minorEastAsia" w:hAnsiTheme="minorEastAsia" w:eastAsiaTheme="minorEastAsia"/>
          <w:color w:val="auto"/>
          <w:highlight w:val="none"/>
        </w:rPr>
      </w:pPr>
      <w:r>
        <w:rPr>
          <w:rFonts w:hint="eastAsia"/>
          <w:color w:val="auto"/>
          <w:highlight w:val="none"/>
        </w:rPr>
        <w:t>供应商可以根据实际情况对本文件进行调整和修改，但应满足询比文件对本文件的要求。</w:t>
      </w:r>
    </w:p>
    <w:p w14:paraId="6FC30025">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12685998">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89" w:name="_Toc25894"/>
      <w:bookmarkStart w:id="590" w:name="_Toc475294115"/>
      <w:bookmarkStart w:id="591" w:name="_Toc933"/>
      <w:bookmarkStart w:id="592" w:name="_Toc475472677"/>
      <w:r>
        <w:rPr>
          <w:rFonts w:hint="eastAsia" w:asciiTheme="minorEastAsia" w:hAnsiTheme="minorEastAsia" w:eastAsiaTheme="minorEastAsia"/>
          <w:color w:val="auto"/>
          <w:sz w:val="24"/>
          <w:szCs w:val="24"/>
          <w:highlight w:val="none"/>
        </w:rPr>
        <w:t>廉洁响应承诺书</w:t>
      </w:r>
      <w:bookmarkEnd w:id="589"/>
      <w:bookmarkEnd w:id="590"/>
      <w:bookmarkEnd w:id="591"/>
      <w:bookmarkEnd w:id="592"/>
    </w:p>
    <w:p w14:paraId="0AA4A1CB">
      <w:pPr>
        <w:topLinePunct/>
        <w:spacing w:line="440" w:lineRule="exact"/>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sz w:val="24"/>
          <w:highlight w:val="none"/>
        </w:rPr>
        <w:t>廉洁响应承诺书</w:t>
      </w:r>
    </w:p>
    <w:p w14:paraId="186ADA7E">
      <w:pPr>
        <w:topLinePunct/>
        <w:snapToGrid w:val="0"/>
        <w:spacing w:line="400" w:lineRule="exac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highlight w:val="none"/>
          <w:lang w:eastAsia="zh-CN"/>
        </w:rPr>
        <w:t>湖北信通通信有限公司</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highlight w:val="none"/>
        </w:rPr>
        <w:t>：</w:t>
      </w:r>
    </w:p>
    <w:p w14:paraId="3AA0D52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我公司自愿参加</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湖北信通通信有限公司2026-2028年荆州零星搬运服务项目</w:t>
      </w:r>
      <w:r>
        <w:rPr>
          <w:rFonts w:hint="eastAsia" w:asciiTheme="minorEastAsia" w:hAnsiTheme="minorEastAsia" w:eastAsiaTheme="minorEastAsia"/>
          <w:color w:val="auto"/>
          <w:szCs w:val="21"/>
          <w:highlight w:val="none"/>
          <w:u w:val="single"/>
        </w:rPr>
        <w:t>[项目名称]</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szCs w:val="21"/>
          <w:highlight w:val="none"/>
        </w:rPr>
        <w:t>询比项目，为保证询比采购活动公开、公平、公正，依据国家法律法规和廉洁从业相关规定，现承诺如下：</w:t>
      </w:r>
    </w:p>
    <w:p w14:paraId="7DFD41E7">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宋体" w:hAnsi="宋体"/>
          <w:color w:val="auto"/>
          <w:szCs w:val="21"/>
          <w:highlight w:val="none"/>
        </w:rPr>
        <w:t>不通过受让、租借或者挂靠资质参加询比响应，或者以其他方式以他人名义响应；不伪造、变造资质、资格证书或者其他许可证件，提供虚假业绩、奖项、项目负责人等材料参加询比响应，</w:t>
      </w:r>
      <w:r>
        <w:rPr>
          <w:rFonts w:hint="eastAsia" w:asciiTheme="minorEastAsia" w:hAnsiTheme="minorEastAsia" w:eastAsiaTheme="minorEastAsia"/>
          <w:color w:val="auto"/>
          <w:szCs w:val="21"/>
          <w:highlight w:val="none"/>
        </w:rPr>
        <w:t>或者以其他方式弄虚作假，骗取成交；</w:t>
      </w:r>
    </w:p>
    <w:p w14:paraId="6315F8C7">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不与其他供应商相互串通响应或订立攻守同盟；</w:t>
      </w:r>
    </w:p>
    <w:p w14:paraId="783A0344">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不与采购人或采购代理机构串通响应；</w:t>
      </w:r>
    </w:p>
    <w:p w14:paraId="26A35ACB">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不向采购人、采购代理机构、</w:t>
      </w:r>
      <w:r>
        <w:rPr>
          <w:rFonts w:hint="eastAsia" w:ascii="宋体" w:hAnsi="宋体"/>
          <w:color w:val="auto"/>
          <w:szCs w:val="21"/>
          <w:highlight w:val="none"/>
        </w:rPr>
        <w:t>交易平台运行服务机构、</w:t>
      </w:r>
      <w:r>
        <w:rPr>
          <w:rFonts w:hint="eastAsia" w:asciiTheme="minorEastAsia" w:hAnsiTheme="minorEastAsia" w:eastAsiaTheme="minorEastAsia"/>
          <w:color w:val="auto"/>
          <w:szCs w:val="21"/>
          <w:highlight w:val="none"/>
        </w:rPr>
        <w:t>评审委员会成员</w:t>
      </w:r>
      <w:r>
        <w:rPr>
          <w:rFonts w:hint="eastAsia" w:ascii="宋体" w:hAnsi="宋体"/>
          <w:color w:val="auto"/>
          <w:szCs w:val="21"/>
          <w:highlight w:val="none"/>
        </w:rPr>
        <w:t>或行政监督部门人员等</w:t>
      </w:r>
      <w:r>
        <w:rPr>
          <w:rFonts w:hint="eastAsia" w:asciiTheme="minorEastAsia" w:hAnsiTheme="minorEastAsia" w:eastAsiaTheme="minorEastAsia"/>
          <w:color w:val="auto"/>
          <w:szCs w:val="21"/>
          <w:highlight w:val="none"/>
        </w:rPr>
        <w:t>行贿</w:t>
      </w:r>
      <w:r>
        <w:rPr>
          <w:rFonts w:hint="eastAsia" w:ascii="宋体" w:hAnsi="宋体"/>
          <w:color w:val="auto"/>
          <w:szCs w:val="21"/>
          <w:highlight w:val="none"/>
        </w:rPr>
        <w:t>谋取</w:t>
      </w:r>
      <w:r>
        <w:rPr>
          <w:rFonts w:hint="eastAsia" w:asciiTheme="minorEastAsia" w:hAnsiTheme="minorEastAsia" w:eastAsiaTheme="minorEastAsia"/>
          <w:color w:val="auto"/>
          <w:szCs w:val="21"/>
          <w:highlight w:val="none"/>
        </w:rPr>
        <w:t>成交，包括提供现金(礼金)、礼券、礼品、购物卡、有价证券等财物，或娱乐、宴请、旅游等活动，或支付应由其个人承担的学费、餐费、医药费等各种费用等；</w:t>
      </w:r>
    </w:p>
    <w:p w14:paraId="09D48CCF">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不通过非正常渠道探听采购过程中应当保密的信息，包括(潜在)供应商的数量与名称、评审委员会成员名单和联系方式、其他供应商的响应文件、评审情况及成交推荐意见等；</w:t>
      </w:r>
    </w:p>
    <w:p w14:paraId="51EA2F8F">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不私下接触采购人、采购代理机构或评审委员会成员，利用人际关系干扰询比询比活动；</w:t>
      </w:r>
    </w:p>
    <w:p w14:paraId="1CEE4367">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不在办公场所、响应文件开启和评审现场寻衅滋事、无理取闹或以其他手段非法干预、影响询比的过程和结果；</w:t>
      </w:r>
    </w:p>
    <w:p w14:paraId="14741BD2">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不捏造事实、伪造材料，或以非法取得的材料进行恶意</w:t>
      </w:r>
      <w:r>
        <w:rPr>
          <w:rFonts w:hint="eastAsia" w:ascii="宋体" w:hAnsi="宋体"/>
          <w:color w:val="auto"/>
          <w:szCs w:val="21"/>
          <w:highlight w:val="none"/>
        </w:rPr>
        <w:t>提出异议、</w:t>
      </w:r>
      <w:r>
        <w:rPr>
          <w:rFonts w:hint="eastAsia" w:asciiTheme="minorEastAsia" w:hAnsiTheme="minorEastAsia" w:eastAsiaTheme="minorEastAsia"/>
          <w:color w:val="auto"/>
          <w:szCs w:val="21"/>
          <w:highlight w:val="none"/>
        </w:rPr>
        <w:t>投诉</w:t>
      </w:r>
      <w:r>
        <w:rPr>
          <w:rFonts w:hint="eastAsia" w:ascii="宋体" w:hAnsi="宋体"/>
          <w:color w:val="auto"/>
          <w:szCs w:val="21"/>
          <w:highlight w:val="none"/>
        </w:rPr>
        <w:t>或举报，干扰正常询比采购活动</w:t>
      </w:r>
      <w:r>
        <w:rPr>
          <w:rFonts w:hint="eastAsia" w:asciiTheme="minorEastAsia" w:hAnsiTheme="minorEastAsia" w:eastAsiaTheme="minorEastAsia"/>
          <w:color w:val="auto"/>
          <w:szCs w:val="21"/>
          <w:highlight w:val="none"/>
        </w:rPr>
        <w:t>；不毫无根据地散播不实消息，诋毁他人名誉，主观臆断反映问题与诉求；</w:t>
      </w:r>
    </w:p>
    <w:p w14:paraId="3FF85C32">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不以低于成本的报价响应；</w:t>
      </w:r>
    </w:p>
    <w:p w14:paraId="322EF946">
      <w:pPr>
        <w:numPr>
          <w:ilvl w:val="0"/>
          <w:numId w:val="45"/>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不以其他方式排挤其他供应商的公平竞争；</w:t>
      </w:r>
    </w:p>
    <w:p w14:paraId="33F38D08">
      <w:pPr>
        <w:numPr>
          <w:ilvl w:val="0"/>
          <w:numId w:val="45"/>
        </w:numPr>
        <w:tabs>
          <w:tab w:val="left" w:pos="709"/>
        </w:tabs>
        <w:topLinePunct/>
        <w:spacing w:line="44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在最近五年内，不存在与采购活动相关的行贿犯罪记录；</w:t>
      </w:r>
    </w:p>
    <w:p w14:paraId="2D2CEDAC">
      <w:pPr>
        <w:numPr>
          <w:ilvl w:val="0"/>
          <w:numId w:val="45"/>
        </w:numPr>
        <w:tabs>
          <w:tab w:val="left" w:pos="709"/>
        </w:tabs>
        <w:topLinePunct/>
        <w:spacing w:line="440" w:lineRule="exact"/>
        <w:rPr>
          <w:rFonts w:asciiTheme="minorEastAsia" w:hAnsiTheme="minorEastAsia" w:eastAsiaTheme="minorEastAsia"/>
          <w:color w:val="auto"/>
          <w:szCs w:val="21"/>
          <w:highlight w:val="none"/>
        </w:rPr>
      </w:pPr>
      <w:r>
        <w:rPr>
          <w:rFonts w:hint="eastAsia" w:ascii="宋体" w:hAnsi="宋体"/>
          <w:color w:val="auto"/>
          <w:szCs w:val="21"/>
          <w:highlight w:val="none"/>
        </w:rPr>
        <w:t>发现评审专家有违法行为的，及时向行政监督部门报告。</w:t>
      </w:r>
    </w:p>
    <w:p w14:paraId="307719B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如发生任何违反本承诺的行为，除按法律法规接受处罚外，采购人有权否决我方本次响应、宣布成交无效、暂停甚至取消我方参加采购人后续询比项目的响应资格等。</w:t>
      </w:r>
    </w:p>
    <w:p w14:paraId="7A5B34B5">
      <w:pPr>
        <w:topLinePunct/>
        <w:spacing w:line="440" w:lineRule="exact"/>
        <w:ind w:left="420"/>
        <w:rPr>
          <w:rFonts w:asciiTheme="minorEastAsia" w:hAnsiTheme="minorEastAsia" w:eastAsiaTheme="minorEastAsia"/>
          <w:color w:val="auto"/>
          <w:szCs w:val="21"/>
          <w:highlight w:val="none"/>
        </w:rPr>
      </w:pPr>
    </w:p>
    <w:p w14:paraId="7EDDF84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5FFEC184">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2F572D56">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br w:type="page"/>
      </w:r>
    </w:p>
    <w:p w14:paraId="5DF3ECD6">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93" w:name="_Toc475294116"/>
      <w:bookmarkStart w:id="594" w:name="_Toc26239"/>
      <w:bookmarkStart w:id="595" w:name="_Toc487101441"/>
      <w:bookmarkStart w:id="596" w:name="_Toc441224725"/>
      <w:bookmarkStart w:id="597" w:name="_Toc20252"/>
      <w:bookmarkStart w:id="598" w:name="_Toc438052129"/>
      <w:bookmarkStart w:id="599" w:name="_Toc475472682"/>
      <w:bookmarkStart w:id="600" w:name="_Toc486866108"/>
      <w:r>
        <w:rPr>
          <w:rFonts w:hint="eastAsia" w:asciiTheme="minorEastAsia" w:hAnsiTheme="minorEastAsia" w:eastAsiaTheme="minorEastAsia"/>
          <w:color w:val="auto"/>
          <w:sz w:val="24"/>
          <w:szCs w:val="24"/>
          <w:highlight w:val="none"/>
        </w:rPr>
        <w:t>近【五】年发生的诉讼及仲裁情况</w:t>
      </w:r>
      <w:bookmarkEnd w:id="593"/>
      <w:bookmarkEnd w:id="594"/>
      <w:bookmarkEnd w:id="595"/>
      <w:bookmarkEnd w:id="596"/>
      <w:bookmarkEnd w:id="597"/>
    </w:p>
    <w:p w14:paraId="644A4CCF">
      <w:pPr>
        <w:topLinePunct/>
        <w:spacing w:line="440" w:lineRule="exact"/>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近【五】年发生的诉讼及仲裁情况</w:t>
      </w:r>
    </w:p>
    <w:p w14:paraId="0C4C40D6">
      <w:pPr>
        <w:rPr>
          <w:rFonts w:asciiTheme="minorEastAsia" w:hAnsiTheme="minorEastAsia" w:eastAsiaTheme="minorEastAsia"/>
          <w:color w:val="auto"/>
          <w:highlight w:val="none"/>
        </w:rPr>
      </w:pPr>
    </w:p>
    <w:p w14:paraId="5DA63264">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供应商有诉讼和/或仲裁（包括已结案和尚在进行的诉讼和/或仲裁阶段的案件）且可能影响履约能力的，则须向采购人或采购代理机构提供诉讼和/或仲裁案件的有关资料及证明，包括原告（诉讼和/或仲裁申请人）、被告（诉讼和/或仲裁被申请人）、诉讼和/或仲裁原因、诉讼和/或仲裁事件、诉讼和/或仲裁金额、诉讼和/或仲裁结果等，并填入下表。</w:t>
      </w:r>
    </w:p>
    <w:p w14:paraId="0CE76EA4">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如供应商无上述情况，则应在第一行“</w:t>
      </w:r>
      <w:r>
        <w:rPr>
          <w:rFonts w:hint="eastAsia" w:cs="Arial" w:asciiTheme="minorEastAsia" w:hAnsiTheme="minorEastAsia" w:eastAsiaTheme="minorEastAsia"/>
          <w:color w:val="auto"/>
          <w:szCs w:val="21"/>
          <w:highlight w:val="none"/>
        </w:rPr>
        <w:t>起诉（仲裁）人</w:t>
      </w:r>
      <w:r>
        <w:rPr>
          <w:rFonts w:hint="eastAsia" w:asciiTheme="minorEastAsia" w:hAnsiTheme="minorEastAsia" w:eastAsiaTheme="minorEastAsia"/>
          <w:color w:val="auto"/>
          <w:szCs w:val="21"/>
          <w:highlight w:val="none"/>
        </w:rPr>
        <w:t>”列填写“不涉及”。</w:t>
      </w:r>
    </w:p>
    <w:tbl>
      <w:tblPr>
        <w:tblStyle w:val="78"/>
        <w:tblW w:w="5000" w:type="pct"/>
        <w:tblInd w:w="0" w:type="dxa"/>
        <w:tblLayout w:type="autofit"/>
        <w:tblCellMar>
          <w:top w:w="0" w:type="dxa"/>
          <w:left w:w="0" w:type="dxa"/>
          <w:bottom w:w="0" w:type="dxa"/>
          <w:right w:w="0" w:type="dxa"/>
        </w:tblCellMar>
      </w:tblPr>
      <w:tblGrid>
        <w:gridCol w:w="650"/>
        <w:gridCol w:w="800"/>
        <w:gridCol w:w="1207"/>
        <w:gridCol w:w="1450"/>
        <w:gridCol w:w="1490"/>
        <w:gridCol w:w="1044"/>
        <w:gridCol w:w="1044"/>
        <w:gridCol w:w="651"/>
      </w:tblGrid>
      <w:tr w14:paraId="1AB587DE">
        <w:tblPrEx>
          <w:tblCellMar>
            <w:top w:w="0" w:type="dxa"/>
            <w:left w:w="0" w:type="dxa"/>
            <w:bottom w:w="0" w:type="dxa"/>
            <w:right w:w="0" w:type="dxa"/>
          </w:tblCellMar>
        </w:tblPrEx>
        <w:trPr>
          <w:trHeight w:val="899" w:hRule="atLeast"/>
        </w:trPr>
        <w:tc>
          <w:tcPr>
            <w:tcW w:w="39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82A59F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序号</w:t>
            </w:r>
          </w:p>
        </w:tc>
        <w:tc>
          <w:tcPr>
            <w:tcW w:w="48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828C48F">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日期</w:t>
            </w:r>
          </w:p>
        </w:tc>
        <w:tc>
          <w:tcPr>
            <w:tcW w:w="72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2EB0253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起诉（仲裁）人</w:t>
            </w:r>
          </w:p>
        </w:tc>
        <w:tc>
          <w:tcPr>
            <w:tcW w:w="87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5D0EBE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被诉（被仲裁）人</w:t>
            </w:r>
          </w:p>
        </w:tc>
        <w:tc>
          <w:tcPr>
            <w:tcW w:w="89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64F4E7E0">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诉讼（仲裁）事件</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B1C21F6">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诉讼（仲裁）金额</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393D695E">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诉讼（仲裁）结果</w:t>
            </w:r>
          </w:p>
        </w:tc>
        <w:tc>
          <w:tcPr>
            <w:tcW w:w="39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77B22FF">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备注</w:t>
            </w:r>
          </w:p>
        </w:tc>
      </w:tr>
      <w:tr w14:paraId="1A11637D">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429D0D9">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1</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7AE746">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488EC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1D12E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ABAAF8">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C629F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DD24BD">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6B75D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3F83CD44">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570E5C0">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EC805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7E7B9B">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16024B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B09C60">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9ADF760">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C7E188">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52C29C">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21FD6052">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ECA07D6">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3</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04255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CCF62EE">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E02B61">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DD1D7C">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5C1FD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DC1D1A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18EE3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286A941C">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05B15339">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A6758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AF15E1">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9B053A">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20426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D1B82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890066">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4640FF">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bl>
    <w:p w14:paraId="03623E91">
      <w:pPr>
        <w:spacing w:line="440" w:lineRule="exact"/>
        <w:ind w:right="480" w:firstLine="4800" w:firstLineChars="2000"/>
        <w:rPr>
          <w:rFonts w:asciiTheme="minorEastAsia" w:hAnsiTheme="minorEastAsia" w:eastAsiaTheme="minorEastAsia"/>
          <w:color w:val="auto"/>
          <w:sz w:val="24"/>
          <w:highlight w:val="none"/>
        </w:rPr>
      </w:pPr>
    </w:p>
    <w:p w14:paraId="062EE208">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BB6A9A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6000CC3C">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szCs w:val="21"/>
          <w:highlight w:val="none"/>
        </w:rPr>
        <w:t>。</w:t>
      </w:r>
    </w:p>
    <w:p w14:paraId="39BBE0BA">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1" w:name="_Toc20977"/>
      <w:bookmarkStart w:id="602" w:name="_Toc3192"/>
      <w:r>
        <w:rPr>
          <w:rFonts w:hint="eastAsia" w:asciiTheme="minorEastAsia" w:hAnsiTheme="minorEastAsia" w:eastAsiaTheme="minorEastAsia"/>
          <w:color w:val="auto"/>
          <w:sz w:val="24"/>
          <w:szCs w:val="24"/>
          <w:highlight w:val="none"/>
        </w:rPr>
        <w:t>资格审查资料</w:t>
      </w:r>
      <w:bookmarkEnd w:id="601"/>
    </w:p>
    <w:p w14:paraId="402F2CBD">
      <w:pPr>
        <w:spacing w:line="420" w:lineRule="exact"/>
        <w:rPr>
          <w:rFonts w:hint="eastAsia" w:ascii="宋体" w:hAnsi="宋体" w:eastAsia="宋体" w:cs="宋体"/>
          <w:color w:val="auto"/>
          <w:szCs w:val="21"/>
          <w:highlight w:val="none"/>
          <w:lang w:eastAsia="zh-CN"/>
        </w:rPr>
      </w:pPr>
      <w:r>
        <w:rPr>
          <w:rFonts w:hint="eastAsia" w:ascii="宋体" w:hAnsi="宋体"/>
          <w:color w:val="auto"/>
          <w:szCs w:val="21"/>
          <w:highlight w:val="none"/>
        </w:rPr>
        <w:t>（1）</w:t>
      </w:r>
      <w:r>
        <w:rPr>
          <w:rFonts w:hint="eastAsia" w:ascii="宋体" w:hAnsi="宋体" w:cs="宋体"/>
          <w:b/>
          <w:bCs/>
          <w:color w:val="auto"/>
          <w:highlight w:val="none"/>
        </w:rPr>
        <w:t>基</w:t>
      </w:r>
      <w:r>
        <w:rPr>
          <w:rFonts w:hint="eastAsia" w:ascii="宋体" w:hAnsi="宋体" w:cs="宋体"/>
          <w:b/>
          <w:color w:val="auto"/>
          <w:highlight w:val="none"/>
        </w:rPr>
        <w:t>本要求：</w:t>
      </w:r>
      <w:r>
        <w:rPr>
          <w:rFonts w:hint="eastAsia" w:ascii="宋体" w:hAnsi="宋体" w:eastAsia="宋体" w:cs="宋体"/>
          <w:color w:val="auto"/>
          <w:szCs w:val="21"/>
          <w:highlight w:val="none"/>
          <w:lang w:eastAsia="zh-CN"/>
        </w:rPr>
        <w:t>供应商应为中华人民共和国境内法律上和财务上独立的法人或其他组织，合法运作并独立于采购人和采购代理机构。法人下属不具备法人资格的分支机构参与响应的，应具备法人针对本项目或覆盖本项目的经营事项的有效授权。</w:t>
      </w:r>
    </w:p>
    <w:p w14:paraId="7818E6BB">
      <w:pPr>
        <w:spacing w:line="420" w:lineRule="exact"/>
        <w:ind w:firstLine="422" w:firstLineChars="200"/>
        <w:rPr>
          <w:rFonts w:ascii="宋体" w:hAnsi="宋体"/>
          <w:b/>
          <w:bCs/>
          <w:color w:val="auto"/>
          <w:szCs w:val="21"/>
          <w:highlight w:val="none"/>
        </w:rPr>
      </w:pPr>
      <w:r>
        <w:rPr>
          <w:rFonts w:hint="eastAsia" w:ascii="宋体" w:hAnsi="宋体"/>
          <w:b/>
          <w:bCs/>
          <w:color w:val="auto"/>
          <w:szCs w:val="21"/>
          <w:highlight w:val="none"/>
        </w:rPr>
        <w:t>提供</w:t>
      </w:r>
      <w:r>
        <w:rPr>
          <w:rFonts w:hint="eastAsia" w:ascii="宋体" w:hAnsi="宋体"/>
          <w:b/>
          <w:bCs/>
          <w:color w:val="auto"/>
          <w:szCs w:val="21"/>
          <w:highlight w:val="none"/>
          <w:lang w:val="en-US" w:eastAsia="zh-CN"/>
        </w:rPr>
        <w:t>供应</w:t>
      </w:r>
      <w:r>
        <w:rPr>
          <w:rFonts w:hint="eastAsia" w:ascii="宋体" w:hAnsi="宋体"/>
          <w:b/>
          <w:bCs/>
          <w:color w:val="auto"/>
          <w:szCs w:val="21"/>
          <w:highlight w:val="none"/>
        </w:rPr>
        <w:t>清晰有效的营业执照；</w:t>
      </w:r>
    </w:p>
    <w:p w14:paraId="546BA933">
      <w:pPr>
        <w:spacing w:line="420" w:lineRule="exact"/>
        <w:rPr>
          <w:rFonts w:ascii="宋体" w:hAnsi="宋体"/>
          <w:b/>
          <w:bCs/>
          <w:color w:val="auto"/>
          <w:szCs w:val="21"/>
          <w:highlight w:val="none"/>
        </w:rPr>
      </w:pPr>
    </w:p>
    <w:p w14:paraId="1336FB49">
      <w:pPr>
        <w:spacing w:line="420" w:lineRule="exact"/>
        <w:rPr>
          <w:rFonts w:hint="eastAsia" w:ascii="宋体" w:hAnsi="宋体" w:eastAsia="宋体" w:cs="宋体"/>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cs="宋体"/>
          <w:b/>
          <w:bCs/>
          <w:color w:val="auto"/>
          <w:szCs w:val="21"/>
          <w:highlight w:val="none"/>
        </w:rPr>
        <w:t>业绩要求：</w:t>
      </w:r>
      <w:r>
        <w:rPr>
          <w:rFonts w:hint="eastAsia" w:ascii="宋体" w:hAnsi="宋体" w:cs="宋体"/>
          <w:b w:val="0"/>
          <w:bCs w:val="0"/>
          <w:color w:val="auto"/>
          <w:szCs w:val="21"/>
          <w:highlight w:val="none"/>
        </w:rPr>
        <w:t>供应商须具备近年（202</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08ACF9DF">
      <w:pPr>
        <w:spacing w:line="420" w:lineRule="exact"/>
        <w:ind w:firstLine="422" w:firstLineChars="200"/>
        <w:rPr>
          <w:rFonts w:hint="eastAsia" w:ascii="宋体" w:hAnsi="宋体" w:eastAsia="宋体"/>
          <w:b/>
          <w:bCs/>
          <w:color w:val="auto"/>
          <w:szCs w:val="21"/>
          <w:highlight w:val="none"/>
          <w:lang w:eastAsia="zh-CN"/>
        </w:rPr>
      </w:pPr>
      <w:r>
        <w:rPr>
          <w:rFonts w:hint="eastAsia" w:ascii="宋体" w:hAnsi="宋体"/>
          <w:b/>
          <w:bCs/>
          <w:color w:val="auto"/>
          <w:szCs w:val="21"/>
          <w:highlight w:val="none"/>
        </w:rPr>
        <w:t>提供证明材料</w:t>
      </w:r>
      <w:r>
        <w:rPr>
          <w:rFonts w:hint="eastAsia" w:ascii="宋体" w:hAnsi="宋体"/>
          <w:b/>
          <w:bCs/>
          <w:color w:val="auto"/>
          <w:szCs w:val="21"/>
          <w:highlight w:val="none"/>
          <w:lang w:eastAsia="zh-CN"/>
        </w:rPr>
        <w:t>；</w:t>
      </w:r>
    </w:p>
    <w:p w14:paraId="4C823EE1">
      <w:pPr>
        <w:pStyle w:val="102"/>
        <w:spacing w:line="420" w:lineRule="exact"/>
        <w:ind w:left="0" w:leftChars="0" w:firstLine="0" w:firstLineChars="0"/>
        <w:rPr>
          <w:rFonts w:hint="eastAsia" w:ascii="宋体" w:hAnsi="宋体" w:cs="宋体"/>
          <w:color w:val="auto"/>
          <w:kern w:val="2"/>
          <w:sz w:val="21"/>
          <w:szCs w:val="21"/>
          <w:highlight w:val="none"/>
          <w:lang w:val="en-US" w:eastAsia="zh-CN" w:bidi="ar-SA"/>
        </w:rPr>
      </w:pPr>
    </w:p>
    <w:p w14:paraId="6D926E59">
      <w:pPr>
        <w:rPr>
          <w:rFonts w:hint="eastAsia" w:ascii="宋体" w:hAnsi="宋体"/>
          <w:b w:val="0"/>
          <w:color w:val="auto"/>
          <w:sz w:val="21"/>
          <w:szCs w:val="24"/>
          <w:highlight w:val="none"/>
        </w:rPr>
      </w:pPr>
      <w:bookmarkStart w:id="603" w:name="_Toc5164"/>
      <w:r>
        <w:rPr>
          <w:rFonts w:hint="eastAsia" w:ascii="宋体" w:hAnsi="宋体"/>
          <w:b w:val="0"/>
          <w:color w:val="auto"/>
          <w:sz w:val="21"/>
          <w:szCs w:val="24"/>
          <w:highlight w:val="none"/>
        </w:rPr>
        <w:br w:type="page"/>
      </w:r>
    </w:p>
    <w:p w14:paraId="792F5281">
      <w:pPr>
        <w:pStyle w:val="74"/>
        <w:tabs>
          <w:tab w:val="left" w:pos="588"/>
        </w:tabs>
        <w:snapToGrid w:val="0"/>
        <w:spacing w:before="120" w:after="120" w:line="440" w:lineRule="exact"/>
        <w:jc w:val="left"/>
        <w:outlineLvl w:val="9"/>
        <w:rPr>
          <w:rFonts w:ascii="宋体" w:hAnsi="宋体"/>
          <w:b w:val="0"/>
          <w:color w:val="auto"/>
          <w:sz w:val="21"/>
          <w:szCs w:val="24"/>
          <w:highlight w:val="none"/>
        </w:rPr>
      </w:pPr>
      <w:r>
        <w:rPr>
          <w:rFonts w:hint="eastAsia" w:ascii="宋体" w:hAnsi="宋体"/>
          <w:b w:val="0"/>
          <w:color w:val="auto"/>
          <w:sz w:val="21"/>
          <w:szCs w:val="24"/>
          <w:highlight w:val="none"/>
        </w:rPr>
        <w:t>（</w:t>
      </w:r>
      <w:r>
        <w:rPr>
          <w:rFonts w:hint="eastAsia" w:ascii="宋体" w:hAnsi="宋体"/>
          <w:b w:val="0"/>
          <w:color w:val="auto"/>
          <w:sz w:val="21"/>
          <w:szCs w:val="24"/>
          <w:highlight w:val="none"/>
          <w:lang w:val="en-US" w:eastAsia="zh-CN"/>
        </w:rPr>
        <w:t>3</w:t>
      </w:r>
      <w:r>
        <w:rPr>
          <w:rFonts w:hint="eastAsia" w:ascii="宋体" w:hAnsi="宋体"/>
          <w:b w:val="0"/>
          <w:color w:val="auto"/>
          <w:sz w:val="21"/>
          <w:szCs w:val="24"/>
          <w:highlight w:val="none"/>
        </w:rPr>
        <w:t>）</w:t>
      </w:r>
      <w:r>
        <w:rPr>
          <w:rFonts w:hint="eastAsia" w:ascii="宋体" w:hAnsi="宋体"/>
          <w:bCs w:val="0"/>
          <w:color w:val="auto"/>
          <w:sz w:val="21"/>
          <w:szCs w:val="24"/>
          <w:highlight w:val="none"/>
        </w:rPr>
        <w:t>“供应商资格要求”承诺书</w:t>
      </w:r>
      <w:bookmarkEnd w:id="603"/>
    </w:p>
    <w:p w14:paraId="405D0026">
      <w:pPr>
        <w:jc w:val="center"/>
        <w:rPr>
          <w:rFonts w:ascii="宋体" w:hAnsi="宋体"/>
          <w:b/>
          <w:bCs/>
          <w:color w:val="auto"/>
          <w:sz w:val="24"/>
          <w:highlight w:val="none"/>
        </w:rPr>
      </w:pPr>
      <w:r>
        <w:rPr>
          <w:rFonts w:hint="eastAsia" w:ascii="宋体" w:hAnsi="宋体"/>
          <w:b/>
          <w:bCs/>
          <w:color w:val="auto"/>
          <w:sz w:val="24"/>
          <w:highlight w:val="none"/>
        </w:rPr>
        <w:t>“供应商资格要求”承诺书</w:t>
      </w:r>
    </w:p>
    <w:p w14:paraId="7689D254">
      <w:pPr>
        <w:spacing w:line="360" w:lineRule="auto"/>
        <w:rPr>
          <w:rFonts w:ascii="宋体" w:hAnsi="宋体"/>
          <w:color w:val="auto"/>
          <w:highlight w:val="none"/>
        </w:rPr>
      </w:pPr>
      <w:bookmarkStart w:id="604" w:name="_Hlk505246980"/>
      <w:r>
        <w:rPr>
          <w:rFonts w:hint="eastAsia" w:ascii="宋体" w:hAnsi="宋体"/>
          <w:color w:val="auto"/>
          <w:highlight w:val="none"/>
          <w:u w:val="single"/>
        </w:rPr>
        <w:t>致：【</w:t>
      </w:r>
      <w:r>
        <w:rPr>
          <w:rFonts w:hint="eastAsia" w:ascii="宋体" w:hAnsi="宋体"/>
          <w:color w:val="auto"/>
          <w:highlight w:val="none"/>
          <w:u w:val="single"/>
          <w:lang w:eastAsia="zh-CN"/>
        </w:rPr>
        <w:t>湖北信通通信有限公司</w:t>
      </w:r>
      <w:r>
        <w:rPr>
          <w:rFonts w:hint="eastAsia" w:ascii="宋体" w:hAnsi="宋体"/>
          <w:color w:val="auto"/>
          <w:highlight w:val="none"/>
          <w:u w:val="single"/>
        </w:rPr>
        <w:t>】</w:t>
      </w:r>
      <w:r>
        <w:rPr>
          <w:rFonts w:ascii="宋体" w:hAnsi="宋体"/>
          <w:color w:val="auto"/>
          <w:highlight w:val="none"/>
        </w:rPr>
        <w:t>：</w:t>
      </w:r>
    </w:p>
    <w:bookmarkEnd w:id="604"/>
    <w:p w14:paraId="03C5BE87">
      <w:pPr>
        <w:spacing w:line="360" w:lineRule="auto"/>
        <w:ind w:firstLine="420" w:firstLineChars="200"/>
        <w:rPr>
          <w:rFonts w:ascii="宋体" w:hAnsi="宋体"/>
          <w:b/>
          <w:color w:val="auto"/>
          <w:highlight w:val="none"/>
        </w:rPr>
      </w:pPr>
      <w:r>
        <w:rPr>
          <w:rFonts w:ascii="宋体" w:hAnsi="宋体"/>
          <w:color w:val="auto"/>
          <w:highlight w:val="none"/>
        </w:rPr>
        <w:t>我方递交的</w:t>
      </w:r>
      <w:r>
        <w:rPr>
          <w:rFonts w:hint="eastAsia" w:ascii="宋体" w:hAnsi="宋体"/>
          <w:color w:val="auto"/>
          <w:highlight w:val="none"/>
        </w:rPr>
        <w:t>应答文件</w:t>
      </w:r>
      <w:r>
        <w:rPr>
          <w:rFonts w:ascii="宋体" w:hAnsi="宋体"/>
          <w:color w:val="auto"/>
          <w:highlight w:val="none"/>
        </w:rPr>
        <w:t>及有关资料，用于你方（</w:t>
      </w:r>
      <w:r>
        <w:rPr>
          <w:rFonts w:hint="eastAsia" w:ascii="宋体" w:hAnsi="宋体"/>
          <w:color w:val="auto"/>
          <w:highlight w:val="none"/>
        </w:rPr>
        <w:t>采购人</w:t>
      </w:r>
      <w:r>
        <w:rPr>
          <w:rFonts w:ascii="宋体" w:hAnsi="宋体"/>
          <w:color w:val="auto"/>
          <w:highlight w:val="none"/>
        </w:rPr>
        <w:t>）审查我方参加</w:t>
      </w:r>
      <w:r>
        <w:rPr>
          <w:rFonts w:hint="eastAsia" w:ascii="宋体" w:hAnsi="宋体"/>
          <w:color w:val="auto"/>
          <w:highlight w:val="none"/>
          <w:u w:val="single"/>
        </w:rPr>
        <w:t>【</w:t>
      </w:r>
      <w:r>
        <w:rPr>
          <w:rFonts w:ascii="宋体" w:hAnsi="宋体"/>
          <w:color w:val="auto"/>
          <w:highlight w:val="none"/>
          <w:u w:val="single"/>
        </w:rPr>
        <w:t>项目名称</w:t>
      </w:r>
      <w:r>
        <w:rPr>
          <w:rFonts w:hint="eastAsia" w:ascii="宋体" w:hAnsi="宋体"/>
          <w:color w:val="auto"/>
          <w:highlight w:val="none"/>
          <w:u w:val="single"/>
        </w:rPr>
        <w:t>】</w:t>
      </w:r>
      <w:r>
        <w:rPr>
          <w:rFonts w:ascii="宋体" w:hAnsi="宋体"/>
          <w:color w:val="auto"/>
          <w:highlight w:val="none"/>
        </w:rPr>
        <w:t>的</w:t>
      </w:r>
      <w:r>
        <w:rPr>
          <w:rFonts w:hint="eastAsia" w:ascii="宋体" w:hAnsi="宋体"/>
          <w:color w:val="auto"/>
          <w:highlight w:val="none"/>
        </w:rPr>
        <w:t>应答资格</w:t>
      </w:r>
      <w:r>
        <w:rPr>
          <w:rFonts w:ascii="宋体" w:hAnsi="宋体"/>
          <w:color w:val="auto"/>
          <w:highlight w:val="none"/>
        </w:rPr>
        <w:t>，</w:t>
      </w:r>
      <w:r>
        <w:rPr>
          <w:rFonts w:ascii="宋体" w:hAnsi="宋体"/>
          <w:b/>
          <w:color w:val="auto"/>
          <w:highlight w:val="none"/>
        </w:rPr>
        <w:t>我方承诺</w:t>
      </w:r>
      <w:r>
        <w:rPr>
          <w:rFonts w:hint="eastAsia" w:ascii="宋体" w:hAnsi="宋体"/>
          <w:b/>
          <w:color w:val="auto"/>
          <w:highlight w:val="none"/>
        </w:rPr>
        <w:t>满足</w:t>
      </w:r>
      <w:r>
        <w:rPr>
          <w:rFonts w:ascii="宋体" w:hAnsi="宋体"/>
          <w:b/>
          <w:color w:val="auto"/>
          <w:highlight w:val="none"/>
        </w:rPr>
        <w:t>下列</w:t>
      </w:r>
      <w:r>
        <w:rPr>
          <w:rFonts w:hint="eastAsia" w:ascii="宋体" w:hAnsi="宋体"/>
          <w:b/>
          <w:color w:val="auto"/>
          <w:highlight w:val="none"/>
        </w:rPr>
        <w:t>事项</w:t>
      </w:r>
      <w:r>
        <w:rPr>
          <w:rFonts w:ascii="宋体" w:hAnsi="宋体"/>
          <w:b/>
          <w:color w:val="auto"/>
          <w:highlight w:val="none"/>
        </w:rPr>
        <w:t>：</w:t>
      </w:r>
    </w:p>
    <w:p w14:paraId="7C033C69">
      <w:pPr>
        <w:numPr>
          <w:ilvl w:val="0"/>
          <w:numId w:val="46"/>
        </w:numPr>
        <w:adjustRightInd w:val="0"/>
        <w:spacing w:line="360" w:lineRule="auto"/>
        <w:ind w:left="900" w:hanging="420"/>
        <w:jc w:val="left"/>
        <w:textAlignment w:val="baseline"/>
        <w:rPr>
          <w:rFonts w:ascii="宋体" w:hAnsi="宋体" w:eastAsia="宋体" w:cs="Times New Roman"/>
          <w:color w:val="auto"/>
          <w:highlight w:val="none"/>
        </w:rPr>
      </w:pPr>
      <w:r>
        <w:rPr>
          <w:rFonts w:ascii="宋体" w:hAnsi="宋体" w:eastAsia="宋体" w:cs="Times New Roman"/>
          <w:color w:val="auto"/>
          <w:highlight w:val="none"/>
        </w:rPr>
        <w:t>我方</w:t>
      </w:r>
      <w:r>
        <w:rPr>
          <w:rFonts w:hint="eastAsia" w:ascii="宋体" w:hAnsi="宋体" w:eastAsia="宋体" w:cs="Times New Roman"/>
          <w:bCs/>
          <w:color w:val="auto"/>
          <w:highlight w:val="none"/>
        </w:rPr>
        <w:t>承诺在本项目中为非联合体响应单位</w:t>
      </w:r>
      <w:r>
        <w:rPr>
          <w:rFonts w:ascii="宋体" w:hAnsi="宋体" w:eastAsia="宋体" w:cs="Times New Roman"/>
          <w:bCs/>
          <w:color w:val="auto"/>
          <w:highlight w:val="none"/>
        </w:rPr>
        <w:t>，不</w:t>
      </w:r>
      <w:r>
        <w:rPr>
          <w:rFonts w:hint="eastAsia" w:ascii="宋体" w:hAnsi="宋体" w:eastAsia="宋体" w:cs="Times New Roman"/>
          <w:bCs/>
          <w:color w:val="auto"/>
          <w:highlight w:val="none"/>
        </w:rPr>
        <w:t>出现转包和违法分包</w:t>
      </w:r>
      <w:r>
        <w:rPr>
          <w:rFonts w:ascii="宋体" w:hAnsi="宋体" w:eastAsia="宋体" w:cs="Times New Roman"/>
          <w:color w:val="auto"/>
          <w:highlight w:val="none"/>
        </w:rPr>
        <w:t>。</w:t>
      </w:r>
    </w:p>
    <w:p w14:paraId="594B3DC2">
      <w:pPr>
        <w:numPr>
          <w:ilvl w:val="0"/>
          <w:numId w:val="46"/>
        </w:numPr>
        <w:adjustRightInd w:val="0"/>
        <w:spacing w:line="360" w:lineRule="auto"/>
        <w:ind w:left="900" w:hanging="420"/>
        <w:jc w:val="left"/>
        <w:textAlignment w:val="baseline"/>
        <w:rPr>
          <w:rFonts w:ascii="宋体" w:hAnsi="宋体" w:eastAsia="宋体" w:cs="Times New Roman"/>
          <w:color w:val="auto"/>
          <w:highlight w:val="none"/>
        </w:rPr>
      </w:pPr>
      <w:r>
        <w:rPr>
          <w:rFonts w:hint="eastAsia" w:ascii="宋体" w:hAnsi="宋体" w:eastAsia="宋体" w:cs="Times New Roman"/>
          <w:color w:val="auto"/>
          <w:highlight w:val="none"/>
        </w:rPr>
        <w:t>我方承诺不存在下列情形：</w:t>
      </w:r>
    </w:p>
    <w:p w14:paraId="6054A0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（1）为采购人不具有独立法人资格的附属机构（单位）；</w:t>
      </w:r>
    </w:p>
    <w:p w14:paraId="0B3AFC3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（2）被依法暂停或取消投标/响应资格的；</w:t>
      </w:r>
    </w:p>
    <w:p w14:paraId="159BB1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（3）被责令停产停业、暂扣或者吊销许可证、暂扣或者吊销执照； </w:t>
      </w:r>
    </w:p>
    <w:p w14:paraId="4196F1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（4）进入清算程序，或被宣告破产，或其他丧失履约能力的情形； </w:t>
      </w:r>
    </w:p>
    <w:p w14:paraId="3318922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（5）在最近三年内（自2023年4月1日起）被相关行业主管部门或司法机关认定骗取中标/成交、严重违约、重大工程质量或者安全问题的；</w:t>
      </w:r>
    </w:p>
    <w:p w14:paraId="334B886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（6）在最近五年内（自2021年4月1日起）被判处单位行贿罪，且行贿行为与采购活动相关的（以“中国裁判文书网”的生效判决为准）；</w:t>
      </w:r>
    </w:p>
    <w:p w14:paraId="64EEE7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（7）在最近五年内（自2021年4月1日起）被判处合同诈骗罪的（以“中国裁判文书网”的生效判决为准）；</w:t>
      </w:r>
    </w:p>
    <w:p w14:paraId="17E2D47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0ABA492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（9）为本询比项目提供过设计、编制技术规范和其他文件的咨询服务；</w:t>
      </w:r>
    </w:p>
    <w:p w14:paraId="7F4DE00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（10）为本工程项目的相关监理人，或者与本工程项目的相关监理人存在隶属关系或者其他利害关系；</w:t>
      </w:r>
    </w:p>
    <w:p w14:paraId="0C19354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（11）为本询比项目的代建人；</w:t>
      </w:r>
    </w:p>
    <w:p w14:paraId="5028C9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（12）为本询比项目的采购代理机构；</w:t>
      </w:r>
    </w:p>
    <w:p w14:paraId="4721315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（13）与本询比项目的监理人或代建人或采购代理机构同为一个法定代表人；</w:t>
      </w:r>
    </w:p>
    <w:p w14:paraId="17CEE43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（14）与本询比项目的监理人或代建人或采购代理机构存在控股或参股关系；</w:t>
      </w:r>
    </w:p>
    <w:p w14:paraId="5F0C1E8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（15）被工商行政管理机关在国家企业信用信息公示系统中列入严重违法失信企业名单的；</w:t>
      </w:r>
    </w:p>
    <w:p w14:paraId="0432BC95">
      <w:pPr>
        <w:spacing w:line="440" w:lineRule="exact"/>
        <w:ind w:left="426"/>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（16）法律法规、询比文件限定的其他情形。</w:t>
      </w:r>
    </w:p>
    <w:p w14:paraId="5B28B199">
      <w:pPr>
        <w:numPr>
          <w:ilvl w:val="0"/>
          <w:numId w:val="46"/>
        </w:numPr>
        <w:adjustRightInd w:val="0"/>
        <w:spacing w:line="360" w:lineRule="auto"/>
        <w:ind w:left="900" w:hanging="420"/>
        <w:jc w:val="left"/>
        <w:textAlignment w:val="baseline"/>
        <w:rPr>
          <w:rFonts w:ascii="宋体" w:hAnsi="宋体" w:eastAsia="宋体" w:cs="Times New Roman"/>
          <w:color w:val="auto"/>
          <w:highlight w:val="none"/>
        </w:rPr>
      </w:pPr>
      <w:r>
        <w:rPr>
          <w:rFonts w:hint="eastAsia" w:ascii="宋体" w:hAnsi="宋体" w:eastAsia="宋体" w:cs="Times New Roman"/>
          <w:color w:val="auto"/>
          <w:highlight w:val="none"/>
        </w:rPr>
        <w:t>我方承诺符合“供应商的法定代表人或负责人为同一人或者存在控股、管理关系的不同供应商，不得参加同一标包响应或者未划分标包的同一招标项目响应。”的供应商资格条件。</w:t>
      </w:r>
    </w:p>
    <w:p w14:paraId="13A8FC71">
      <w:pPr>
        <w:numPr>
          <w:ilvl w:val="0"/>
          <w:numId w:val="46"/>
        </w:numPr>
        <w:adjustRightInd w:val="0"/>
        <w:spacing w:line="360" w:lineRule="auto"/>
        <w:ind w:left="900" w:hanging="420"/>
        <w:jc w:val="left"/>
        <w:textAlignment w:val="baseline"/>
        <w:rPr>
          <w:rFonts w:ascii="宋体" w:hAnsi="宋体" w:eastAsia="宋体" w:cs="Times New Roman"/>
          <w:color w:val="auto"/>
          <w:highlight w:val="none"/>
        </w:rPr>
      </w:pPr>
      <w:r>
        <w:rPr>
          <w:rFonts w:ascii="宋体" w:hAnsi="宋体" w:eastAsia="宋体" w:cs="Times New Roman"/>
          <w:color w:val="auto"/>
          <w:highlight w:val="none"/>
        </w:rPr>
        <w:t>我方</w:t>
      </w:r>
      <w:r>
        <w:rPr>
          <w:rFonts w:hint="eastAsia" w:ascii="宋体" w:hAnsi="宋体" w:eastAsia="宋体" w:cs="Times New Roman"/>
          <w:color w:val="auto"/>
          <w:highlight w:val="none"/>
        </w:rPr>
        <w:t>承诺</w:t>
      </w:r>
      <w:r>
        <w:rPr>
          <w:rFonts w:ascii="宋体" w:hAnsi="宋体" w:eastAsia="宋体" w:cs="Times New Roman"/>
          <w:color w:val="auto"/>
          <w:highlight w:val="none"/>
        </w:rPr>
        <w:t>满足</w:t>
      </w:r>
      <w:r>
        <w:rPr>
          <w:rFonts w:ascii="宋体" w:hAnsi="宋体" w:eastAsia="宋体" w:cs="Times New Roman"/>
          <w:bCs/>
          <w:color w:val="auto"/>
          <w:highlight w:val="none"/>
        </w:rPr>
        <w:t>法律法规规定的其他必须符合的要求</w:t>
      </w:r>
      <w:r>
        <w:rPr>
          <w:rFonts w:ascii="宋体" w:hAnsi="宋体" w:eastAsia="宋体" w:cs="Times New Roman"/>
          <w:color w:val="auto"/>
          <w:highlight w:val="none"/>
        </w:rPr>
        <w:t>。</w:t>
      </w:r>
    </w:p>
    <w:p w14:paraId="74B92D7C">
      <w:pPr>
        <w:spacing w:line="360" w:lineRule="auto"/>
        <w:ind w:firstLine="420" w:firstLineChars="200"/>
        <w:jc w:val="left"/>
        <w:rPr>
          <w:rFonts w:ascii="宋体" w:hAnsi="宋体"/>
          <w:color w:val="auto"/>
          <w:highlight w:val="none"/>
        </w:rPr>
      </w:pPr>
      <w:r>
        <w:rPr>
          <w:rFonts w:ascii="宋体" w:hAnsi="宋体"/>
          <w:color w:val="auto"/>
          <w:highlight w:val="none"/>
        </w:rPr>
        <w:t>若我方存在</w:t>
      </w:r>
      <w:r>
        <w:rPr>
          <w:rFonts w:hint="eastAsia" w:ascii="宋体" w:hAnsi="宋体"/>
          <w:color w:val="auto"/>
          <w:highlight w:val="none"/>
        </w:rPr>
        <w:t>不满足</w:t>
      </w:r>
      <w:r>
        <w:rPr>
          <w:rFonts w:ascii="宋体" w:hAnsi="宋体"/>
          <w:color w:val="auto"/>
          <w:highlight w:val="none"/>
        </w:rPr>
        <w:t>上述情形之一，</w:t>
      </w:r>
      <w:r>
        <w:rPr>
          <w:rFonts w:hint="eastAsia" w:ascii="宋体" w:hAnsi="宋体"/>
          <w:color w:val="auto"/>
          <w:highlight w:val="none"/>
        </w:rPr>
        <w:t>采购人</w:t>
      </w:r>
      <w:r>
        <w:rPr>
          <w:rFonts w:ascii="宋体" w:hAnsi="宋体"/>
          <w:color w:val="auto"/>
          <w:highlight w:val="none"/>
        </w:rPr>
        <w:t>有权取消我方</w:t>
      </w:r>
      <w:r>
        <w:rPr>
          <w:rFonts w:hint="eastAsia" w:ascii="宋体" w:hAnsi="宋体"/>
          <w:color w:val="auto"/>
          <w:highlight w:val="none"/>
        </w:rPr>
        <w:t>成交资格</w:t>
      </w:r>
      <w:r>
        <w:rPr>
          <w:rFonts w:ascii="宋体" w:hAnsi="宋体"/>
          <w:color w:val="auto"/>
          <w:highlight w:val="none"/>
        </w:rPr>
        <w:t>，由此造成的损失由我方自行承担！</w:t>
      </w:r>
    </w:p>
    <w:p w14:paraId="2C69DB35">
      <w:pPr>
        <w:tabs>
          <w:tab w:val="left" w:pos="4320"/>
        </w:tabs>
        <w:adjustRightInd w:val="0"/>
        <w:snapToGrid w:val="0"/>
        <w:spacing w:line="360" w:lineRule="auto"/>
        <w:ind w:left="420" w:firstLine="420" w:firstLineChars="200"/>
        <w:rPr>
          <w:rFonts w:ascii="宋体" w:hAnsi="宋体"/>
          <w:color w:val="auto"/>
          <w:highlight w:val="none"/>
        </w:rPr>
      </w:pPr>
      <w:r>
        <w:rPr>
          <w:rFonts w:ascii="宋体" w:hAnsi="宋体"/>
          <w:color w:val="auto"/>
          <w:highlight w:val="none"/>
        </w:rPr>
        <w:t>特此承诺！</w:t>
      </w:r>
    </w:p>
    <w:p w14:paraId="2CDBAC14">
      <w:pPr>
        <w:pStyle w:val="15"/>
        <w:rPr>
          <w:color w:val="auto"/>
          <w:highlight w:val="none"/>
        </w:rPr>
      </w:pPr>
    </w:p>
    <w:p w14:paraId="0B200E3C">
      <w:pPr>
        <w:wordWrap w:val="0"/>
        <w:spacing w:line="360" w:lineRule="exact"/>
        <w:jc w:val="right"/>
        <w:rPr>
          <w:rFonts w:ascii="宋体" w:hAnsi="宋体"/>
          <w:color w:val="auto"/>
          <w:highlight w:val="none"/>
        </w:rPr>
      </w:pPr>
      <w:r>
        <w:rPr>
          <w:rFonts w:hint="eastAsia" w:ascii="宋体" w:hAnsi="宋体"/>
          <w:color w:val="auto"/>
          <w:highlight w:val="none"/>
        </w:rPr>
        <w:t>承诺单位：</w:t>
      </w:r>
      <w:r>
        <w:rPr>
          <w:rFonts w:hint="eastAsia" w:ascii="宋体" w:hAnsi="宋体"/>
          <w:color w:val="auto"/>
          <w:highlight w:val="none"/>
          <w:u w:val="single"/>
        </w:rPr>
        <w:t xml:space="preserve">                   </w:t>
      </w:r>
      <w:r>
        <w:rPr>
          <w:rFonts w:ascii="宋体" w:hAnsi="宋体"/>
          <w:color w:val="auto"/>
          <w:highlight w:val="none"/>
        </w:rPr>
        <w:t xml:space="preserve"> </w:t>
      </w:r>
    </w:p>
    <w:p w14:paraId="61685126">
      <w:pPr>
        <w:pStyle w:val="15"/>
        <w:jc w:val="right"/>
        <w:rPr>
          <w:rFonts w:ascii="宋体" w:hAnsi="宋体"/>
          <w:color w:val="auto"/>
          <w:sz w:val="21"/>
          <w:szCs w:val="21"/>
          <w:highlight w:val="none"/>
        </w:rPr>
      </w:pPr>
      <w:r>
        <w:rPr>
          <w:rFonts w:hint="eastAsia" w:ascii="宋体" w:hAnsi="宋体"/>
          <w:color w:val="auto"/>
          <w:sz w:val="21"/>
          <w:szCs w:val="21"/>
          <w:highlight w:val="none"/>
        </w:rPr>
        <w:t>日期：      年     月     日</w:t>
      </w:r>
    </w:p>
    <w:p w14:paraId="096CB4E7">
      <w:pPr>
        <w:rPr>
          <w:color w:val="auto"/>
          <w:highlight w:val="none"/>
        </w:rPr>
      </w:pPr>
    </w:p>
    <w:p w14:paraId="05053F37">
      <w:pP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p w14:paraId="30D15579">
      <w:pPr>
        <w:widowControl/>
        <w:numPr>
          <w:ilvl w:val="0"/>
          <w:numId w:val="0"/>
        </w:numPr>
        <w:topLinePunct/>
        <w:jc w:val="left"/>
        <w:rPr>
          <w:rFonts w:hint="eastAsia" w:ascii="Times New Roman" w:hAnsi="Times New Roman" w:eastAsia="宋体" w:cs="Times New Roman"/>
          <w:color w:val="auto"/>
          <w:kern w:val="2"/>
          <w:sz w:val="24"/>
          <w:szCs w:val="24"/>
          <w:highlight w:val="none"/>
          <w:lang w:val="en-US" w:eastAsia="zh-CN" w:bidi="ar-SA"/>
        </w:rPr>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B207F5D">
      <w:pPr>
        <w:widowControl/>
        <w:numPr>
          <w:ilvl w:val="0"/>
          <w:numId w:val="0"/>
        </w:numPr>
        <w:topLinePunct/>
        <w:jc w:val="center"/>
        <w:rPr>
          <w:rFonts w:hint="eastAsia" w:ascii="宋体" w:hAnsi="宋体" w:eastAsia="宋体" w:cs="宋体"/>
          <w:b/>
          <w:bCs/>
          <w:color w:val="auto"/>
          <w:kern w:val="0"/>
          <w:sz w:val="24"/>
          <w:highlight w:val="none"/>
        </w:rPr>
      </w:pPr>
    </w:p>
    <w:p w14:paraId="41E596D3">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5" w:name="_Toc10140"/>
      <w:r>
        <w:rPr>
          <w:rFonts w:hint="eastAsia" w:asciiTheme="minorEastAsia" w:hAnsiTheme="minorEastAsia" w:eastAsiaTheme="minorEastAsia"/>
          <w:color w:val="auto"/>
          <w:sz w:val="24"/>
          <w:szCs w:val="24"/>
          <w:highlight w:val="none"/>
        </w:rPr>
        <w:t>供应商控股及管理关系情况申报表</w:t>
      </w:r>
      <w:bookmarkEnd w:id="598"/>
      <w:bookmarkEnd w:id="599"/>
      <w:bookmarkEnd w:id="600"/>
      <w:bookmarkEnd w:id="602"/>
      <w:bookmarkEnd w:id="605"/>
    </w:p>
    <w:p w14:paraId="58275D84">
      <w:pPr>
        <w:pStyle w:val="102"/>
        <w:ind w:firstLine="0" w:firstLineChars="0"/>
        <w:jc w:val="center"/>
        <w:rPr>
          <w:rFonts w:cs="宋体"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供应商控股及管理关系情况申报表</w:t>
      </w:r>
    </w:p>
    <w:p w14:paraId="1F0697DF">
      <w:pPr>
        <w:adjustRightInd w:val="0"/>
        <w:snapToGrid w:val="0"/>
        <w:spacing w:line="440" w:lineRule="exact"/>
        <w:rPr>
          <w:rFonts w:asciiTheme="minorEastAsia" w:hAnsiTheme="minorEastAsia" w:eastAsiaTheme="minorEastAsia"/>
          <w:color w:val="auto"/>
          <w:highlight w:val="none"/>
        </w:rPr>
      </w:pPr>
    </w:p>
    <w:p w14:paraId="6AD9C24D">
      <w:pPr>
        <w:adjustRightInd w:val="0"/>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我方参加</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湖北信通通信有限公司2026-2028年荆州零星搬运服务项目</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bCs/>
          <w:color w:val="auto"/>
          <w:szCs w:val="21"/>
          <w:highlight w:val="none"/>
          <w:u w:val="single"/>
        </w:rPr>
        <w:t>询比项目</w:t>
      </w:r>
      <w:r>
        <w:rPr>
          <w:rFonts w:asciiTheme="minorEastAsia" w:hAnsiTheme="minorEastAsia" w:eastAsiaTheme="minorEastAsia"/>
          <w:bCs/>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rPr>
        <w:t>的询比响应，根据法律法规维护询比公正性的相关规定，特就本单位控股及管理关系情况申报如下，并承担申报不实的责任。</w:t>
      </w:r>
    </w:p>
    <w:tbl>
      <w:tblPr>
        <w:tblStyle w:val="78"/>
        <w:tblW w:w="49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1265"/>
        <w:gridCol w:w="4645"/>
      </w:tblGrid>
      <w:tr w14:paraId="7DE4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3" w:type="pct"/>
            <w:vAlign w:val="center"/>
          </w:tcPr>
          <w:p w14:paraId="7214BDA9">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申报人名称</w:t>
            </w:r>
          </w:p>
        </w:tc>
        <w:tc>
          <w:tcPr>
            <w:tcW w:w="3536" w:type="pct"/>
            <w:gridSpan w:val="2"/>
            <w:vAlign w:val="center"/>
          </w:tcPr>
          <w:p w14:paraId="07B6714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【XX公司[供应商名称]】</w:t>
            </w:r>
          </w:p>
        </w:tc>
      </w:tr>
      <w:tr w14:paraId="5703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463" w:type="pct"/>
            <w:vMerge w:val="restart"/>
            <w:vAlign w:val="center"/>
          </w:tcPr>
          <w:p w14:paraId="0FF3D185">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法定代表人</w:t>
            </w:r>
            <w:r>
              <w:rPr>
                <w:rFonts w:cs="宋体" w:asciiTheme="minorEastAsia" w:hAnsiTheme="minorEastAsia" w:eastAsiaTheme="minorEastAsia"/>
                <w:color w:val="auto"/>
                <w:highlight w:val="none"/>
              </w:rPr>
              <w:t>/单位负责人</w:t>
            </w:r>
          </w:p>
        </w:tc>
        <w:tc>
          <w:tcPr>
            <w:tcW w:w="757" w:type="pct"/>
            <w:vAlign w:val="center"/>
          </w:tcPr>
          <w:p w14:paraId="563492C8">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姓    名</w:t>
            </w:r>
          </w:p>
        </w:tc>
        <w:tc>
          <w:tcPr>
            <w:tcW w:w="2779" w:type="pct"/>
            <w:vAlign w:val="center"/>
          </w:tcPr>
          <w:p w14:paraId="77872C41">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p>
        </w:tc>
      </w:tr>
      <w:tr w14:paraId="05E1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463" w:type="pct"/>
            <w:vMerge w:val="continue"/>
            <w:vAlign w:val="center"/>
          </w:tcPr>
          <w:p w14:paraId="7A4B7102">
            <w:pPr>
              <w:adjustRightInd w:val="0"/>
              <w:snapToGrid w:val="0"/>
              <w:spacing w:line="440" w:lineRule="exact"/>
              <w:rPr>
                <w:rFonts w:cs="宋体" w:asciiTheme="minorEastAsia" w:hAnsiTheme="minorEastAsia" w:eastAsiaTheme="minorEastAsia"/>
                <w:color w:val="auto"/>
                <w:highlight w:val="none"/>
              </w:rPr>
            </w:pPr>
          </w:p>
        </w:tc>
        <w:tc>
          <w:tcPr>
            <w:tcW w:w="757" w:type="pct"/>
            <w:vAlign w:val="center"/>
          </w:tcPr>
          <w:p w14:paraId="7CD972BD">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身份证号</w:t>
            </w:r>
          </w:p>
        </w:tc>
        <w:tc>
          <w:tcPr>
            <w:tcW w:w="2779" w:type="pct"/>
            <w:vAlign w:val="center"/>
          </w:tcPr>
          <w:p w14:paraId="7B42A22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[供应商法定代表人/负责人身份证号]</w:t>
            </w:r>
            <w:r>
              <w:rPr>
                <w:rFonts w:hint="eastAsia" w:asciiTheme="minorEastAsia" w:hAnsiTheme="minorEastAsia" w:eastAsiaTheme="minorEastAsia"/>
                <w:color w:val="auto"/>
                <w:highlight w:val="none"/>
                <w:u w:val="single"/>
              </w:rPr>
              <w:t>】</w:t>
            </w:r>
          </w:p>
        </w:tc>
      </w:tr>
      <w:tr w14:paraId="3338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463" w:type="pct"/>
            <w:vAlign w:val="center"/>
          </w:tcPr>
          <w:p w14:paraId="1F862A03">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控股股东/投资人名称</w:t>
            </w:r>
          </w:p>
          <w:p w14:paraId="0A48E97E">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及出资比例</w:t>
            </w:r>
          </w:p>
        </w:tc>
        <w:tc>
          <w:tcPr>
            <w:tcW w:w="3536" w:type="pct"/>
            <w:gridSpan w:val="2"/>
            <w:vAlign w:val="center"/>
          </w:tcPr>
          <w:p w14:paraId="11B06FC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【XX公司/XX[自然人]，出资比例XX%，[供应商控股股东/投资人名称及出资比例]】</w:t>
            </w:r>
          </w:p>
        </w:tc>
      </w:tr>
      <w:tr w14:paraId="3F1E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463" w:type="pct"/>
            <w:vAlign w:val="center"/>
          </w:tcPr>
          <w:p w14:paraId="1369F15D">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非控股股东/投资人名称</w:t>
            </w:r>
          </w:p>
          <w:p w14:paraId="5AA51AE4">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及出资比例</w:t>
            </w:r>
          </w:p>
        </w:tc>
        <w:tc>
          <w:tcPr>
            <w:tcW w:w="3536" w:type="pct"/>
            <w:gridSpan w:val="2"/>
            <w:vAlign w:val="center"/>
          </w:tcPr>
          <w:p w14:paraId="7B39B7B0">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【XX公司/XX[自然人]，出资比例XX%，[供应商非控股股东/投资人名称及出资比例，应从出资比例由高到低进行填写]】</w:t>
            </w:r>
          </w:p>
        </w:tc>
      </w:tr>
      <w:tr w14:paraId="7597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463" w:type="pct"/>
            <w:vMerge w:val="restart"/>
            <w:vAlign w:val="center"/>
          </w:tcPr>
          <w:p w14:paraId="2FB565EB">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管理关系单位名称</w:t>
            </w:r>
          </w:p>
        </w:tc>
        <w:tc>
          <w:tcPr>
            <w:tcW w:w="757" w:type="pct"/>
            <w:vAlign w:val="center"/>
          </w:tcPr>
          <w:p w14:paraId="07CFAB87">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管理关系单位名称</w:t>
            </w:r>
          </w:p>
        </w:tc>
        <w:tc>
          <w:tcPr>
            <w:tcW w:w="2779" w:type="pct"/>
            <w:vAlign w:val="center"/>
          </w:tcPr>
          <w:p w14:paraId="50422443">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【XX公司[管理单位全称]】</w:t>
            </w:r>
          </w:p>
        </w:tc>
      </w:tr>
      <w:tr w14:paraId="5CD2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3" w:type="pct"/>
            <w:vMerge w:val="continue"/>
            <w:vAlign w:val="center"/>
          </w:tcPr>
          <w:p w14:paraId="65EA71CE">
            <w:pPr>
              <w:adjustRightInd w:val="0"/>
              <w:snapToGrid w:val="0"/>
              <w:spacing w:line="440" w:lineRule="exact"/>
              <w:rPr>
                <w:rFonts w:cs="宋体" w:asciiTheme="minorEastAsia" w:hAnsiTheme="minorEastAsia" w:eastAsiaTheme="minorEastAsia"/>
                <w:color w:val="auto"/>
                <w:highlight w:val="none"/>
              </w:rPr>
            </w:pPr>
          </w:p>
        </w:tc>
        <w:tc>
          <w:tcPr>
            <w:tcW w:w="757" w:type="pct"/>
            <w:vAlign w:val="center"/>
          </w:tcPr>
          <w:p w14:paraId="3DB043C2">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被管理关系单位名称</w:t>
            </w:r>
          </w:p>
        </w:tc>
        <w:tc>
          <w:tcPr>
            <w:tcW w:w="2779" w:type="pct"/>
            <w:vAlign w:val="center"/>
          </w:tcPr>
          <w:p w14:paraId="652E4C81">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【XX公司[被管理单位全称，应列明所有被管理单位]】</w:t>
            </w:r>
          </w:p>
        </w:tc>
      </w:tr>
      <w:tr w14:paraId="2438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5000" w:type="pct"/>
            <w:gridSpan w:val="3"/>
            <w:shd w:val="clear" w:color="auto" w:fill="auto"/>
            <w:vAlign w:val="center"/>
          </w:tcPr>
          <w:p w14:paraId="64CBA215">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备注：</w:t>
            </w:r>
          </w:p>
        </w:tc>
      </w:tr>
    </w:tbl>
    <w:p w14:paraId="7C417F99">
      <w:pPr>
        <w:spacing w:line="440" w:lineRule="exact"/>
        <w:ind w:firstLine="1134" w:firstLineChars="540"/>
        <w:rPr>
          <w:rFonts w:asciiTheme="minorEastAsia" w:hAnsiTheme="minorEastAsia" w:eastAsiaTheme="minorEastAsia"/>
          <w:color w:val="auto"/>
          <w:szCs w:val="21"/>
          <w:highlight w:val="none"/>
        </w:rPr>
      </w:pPr>
    </w:p>
    <w:p w14:paraId="26B7EA1B">
      <w:pPr>
        <w:spacing w:line="440" w:lineRule="exact"/>
        <w:ind w:firstLine="424" w:firstLineChars="202"/>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68ED6B8">
      <w:pPr>
        <w:spacing w:line="440" w:lineRule="exact"/>
        <w:ind w:firstLine="424" w:firstLineChars="202"/>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4EA4F64">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 xml:space="preserve"> </w:t>
      </w:r>
    </w:p>
    <w:p w14:paraId="4A6878DD">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1.控股股东/投资人是指出资比例在50%以上，或者出资比例不足50%，但享有公司股东会/董事会控制权的投资方（含单位或者个人）。</w:t>
      </w:r>
    </w:p>
    <w:p w14:paraId="32289D4D">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2.管理关系单位是指与不具有出资持股关系的其他单位之间存在管理与被管理关系的单位。</w:t>
      </w:r>
    </w:p>
    <w:p w14:paraId="3AC341A4">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3.如未有相关情况，请在相应栏填写“无”。</w:t>
      </w:r>
    </w:p>
    <w:p w14:paraId="77A3D6B7">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4.除本文件允许供应商进行填写的内容以外，供应商不得对本文件进行修改。</w:t>
      </w:r>
      <w:r>
        <w:rPr>
          <w:rFonts w:asciiTheme="minorEastAsia" w:hAnsiTheme="minorEastAsia" w:eastAsiaTheme="minorEastAsia"/>
          <w:color w:val="auto"/>
          <w:highlight w:val="none"/>
        </w:rPr>
        <w:br w:type="page"/>
      </w:r>
    </w:p>
    <w:p w14:paraId="74BB701A">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6" w:name="_Toc3971"/>
      <w:bookmarkStart w:id="607" w:name="_Toc486866109"/>
      <w:bookmarkStart w:id="608" w:name="_Toc447265324"/>
      <w:bookmarkStart w:id="609" w:name="_Toc475472683"/>
      <w:bookmarkStart w:id="610" w:name="_Toc15310"/>
      <w:bookmarkStart w:id="611" w:name="_Toc447265610"/>
      <w:r>
        <w:rPr>
          <w:rFonts w:hint="eastAsia" w:asciiTheme="minorEastAsia" w:hAnsiTheme="minorEastAsia" w:eastAsiaTheme="minorEastAsia"/>
          <w:color w:val="auto"/>
          <w:sz w:val="24"/>
          <w:szCs w:val="24"/>
          <w:highlight w:val="none"/>
        </w:rPr>
        <w:t>商务规范书偏离表</w:t>
      </w:r>
      <w:bookmarkEnd w:id="606"/>
      <w:bookmarkEnd w:id="607"/>
      <w:bookmarkEnd w:id="608"/>
      <w:bookmarkEnd w:id="609"/>
      <w:bookmarkEnd w:id="610"/>
      <w:bookmarkEnd w:id="611"/>
    </w:p>
    <w:p w14:paraId="35749B27">
      <w:pPr>
        <w:rPr>
          <w:rFonts w:cs="宋体" w:asciiTheme="minorEastAsia" w:hAnsiTheme="minorEastAsia" w:eastAsiaTheme="minorEastAsia"/>
          <w:color w:val="auto"/>
          <w:highlight w:val="none"/>
        </w:rPr>
      </w:pPr>
    </w:p>
    <w:p w14:paraId="5E3760A6">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商务规范书偏离表</w:t>
      </w:r>
    </w:p>
    <w:p w14:paraId="36C838B2">
      <w:pPr>
        <w:jc w:val="center"/>
        <w:rPr>
          <w:rFonts w:cs="宋体" w:asciiTheme="minorEastAsia" w:hAnsiTheme="minorEastAsia" w:eastAsiaTheme="minorEastAsia"/>
          <w:color w:val="auto"/>
          <w:sz w:val="24"/>
          <w:highlight w:val="none"/>
        </w:rPr>
      </w:pPr>
    </w:p>
    <w:p w14:paraId="3757E37D">
      <w:pPr>
        <w:adjustRightInd w:val="0"/>
        <w:snapToGrid w:val="0"/>
        <w:spacing w:after="120"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项目编号</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标包</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p>
    <w:tbl>
      <w:tblPr>
        <w:tblStyle w:val="78"/>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14:paraId="56AD8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67D9EB4E">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序号</w:t>
            </w:r>
          </w:p>
        </w:tc>
        <w:tc>
          <w:tcPr>
            <w:tcW w:w="1746" w:type="dxa"/>
            <w:vAlign w:val="center"/>
          </w:tcPr>
          <w:p w14:paraId="7719DE33">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条目号</w:t>
            </w:r>
          </w:p>
        </w:tc>
        <w:tc>
          <w:tcPr>
            <w:tcW w:w="2208" w:type="dxa"/>
            <w:vAlign w:val="center"/>
          </w:tcPr>
          <w:p w14:paraId="60A0FDE1">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的</w:t>
            </w:r>
            <w:r>
              <w:rPr>
                <w:rFonts w:hint="eastAsia" w:cs="宋体" w:asciiTheme="minorEastAsia" w:hAnsiTheme="minorEastAsia" w:eastAsiaTheme="minorEastAsia"/>
                <w:color w:val="auto"/>
                <w:szCs w:val="21"/>
                <w:highlight w:val="none"/>
              </w:rPr>
              <w:t>合同</w:t>
            </w:r>
            <w:r>
              <w:rPr>
                <w:rFonts w:cs="宋体" w:asciiTheme="minorEastAsia" w:hAnsiTheme="minorEastAsia" w:eastAsiaTheme="minorEastAsia"/>
                <w:color w:val="auto"/>
                <w:szCs w:val="21"/>
                <w:highlight w:val="none"/>
              </w:rPr>
              <w:t>条款</w:t>
            </w:r>
          </w:p>
        </w:tc>
        <w:tc>
          <w:tcPr>
            <w:tcW w:w="2435" w:type="dxa"/>
            <w:vAlign w:val="center"/>
          </w:tcPr>
          <w:p w14:paraId="550AAA48">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w:t>
            </w:r>
            <w:r>
              <w:rPr>
                <w:rFonts w:cs="宋体" w:asciiTheme="minorEastAsia" w:hAnsiTheme="minorEastAsia" w:eastAsiaTheme="minorEastAsia"/>
                <w:color w:val="auto"/>
                <w:szCs w:val="21"/>
                <w:highlight w:val="none"/>
              </w:rPr>
              <w:t>偏离情况</w:t>
            </w:r>
          </w:p>
        </w:tc>
        <w:tc>
          <w:tcPr>
            <w:tcW w:w="1364" w:type="dxa"/>
            <w:vAlign w:val="center"/>
          </w:tcPr>
          <w:p w14:paraId="5ED37710">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说明</w:t>
            </w:r>
          </w:p>
        </w:tc>
      </w:tr>
      <w:tr w14:paraId="4F028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C94AC3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3EC49F0">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0BCC8DF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3EDB9C3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0AC2A69D">
            <w:pPr>
              <w:adjustRightInd w:val="0"/>
              <w:snapToGrid w:val="0"/>
              <w:spacing w:line="440" w:lineRule="exact"/>
              <w:rPr>
                <w:rFonts w:cs="宋体" w:asciiTheme="minorEastAsia" w:hAnsiTheme="minorEastAsia" w:eastAsiaTheme="minorEastAsia"/>
                <w:color w:val="auto"/>
                <w:szCs w:val="21"/>
                <w:highlight w:val="none"/>
              </w:rPr>
            </w:pPr>
          </w:p>
        </w:tc>
      </w:tr>
      <w:tr w14:paraId="70B4E5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05F1DAB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743374E">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65916E7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0EB604E2">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9D7E1FC">
            <w:pPr>
              <w:adjustRightInd w:val="0"/>
              <w:snapToGrid w:val="0"/>
              <w:spacing w:line="440" w:lineRule="exact"/>
              <w:rPr>
                <w:rFonts w:cs="宋体" w:asciiTheme="minorEastAsia" w:hAnsiTheme="minorEastAsia" w:eastAsiaTheme="minorEastAsia"/>
                <w:color w:val="auto"/>
                <w:szCs w:val="21"/>
                <w:highlight w:val="none"/>
              </w:rPr>
            </w:pPr>
          </w:p>
        </w:tc>
      </w:tr>
      <w:tr w14:paraId="1D1EF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29BA0B1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1CF603F">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269FCED0">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20A1548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5DFEAECC">
            <w:pPr>
              <w:adjustRightInd w:val="0"/>
              <w:snapToGrid w:val="0"/>
              <w:spacing w:line="440" w:lineRule="exact"/>
              <w:rPr>
                <w:rFonts w:cs="宋体" w:asciiTheme="minorEastAsia" w:hAnsiTheme="minorEastAsia" w:eastAsiaTheme="minorEastAsia"/>
                <w:color w:val="auto"/>
                <w:szCs w:val="21"/>
                <w:highlight w:val="none"/>
              </w:rPr>
            </w:pPr>
          </w:p>
        </w:tc>
      </w:tr>
      <w:tr w14:paraId="28A411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729865E0">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3A1CDED">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414EF4C6">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368785BD">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4FE373D7">
            <w:pPr>
              <w:adjustRightInd w:val="0"/>
              <w:snapToGrid w:val="0"/>
              <w:spacing w:line="440" w:lineRule="exact"/>
              <w:rPr>
                <w:rFonts w:cs="宋体" w:asciiTheme="minorEastAsia" w:hAnsiTheme="minorEastAsia" w:eastAsiaTheme="minorEastAsia"/>
                <w:color w:val="auto"/>
                <w:szCs w:val="21"/>
                <w:highlight w:val="none"/>
              </w:rPr>
            </w:pPr>
          </w:p>
        </w:tc>
      </w:tr>
      <w:tr w14:paraId="4D9B90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36FBAD2C">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4FD491A7">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1B3F2DC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00D86995">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2F90902F">
            <w:pPr>
              <w:adjustRightInd w:val="0"/>
              <w:snapToGrid w:val="0"/>
              <w:spacing w:line="440" w:lineRule="exact"/>
              <w:rPr>
                <w:rFonts w:cs="宋体" w:asciiTheme="minorEastAsia" w:hAnsiTheme="minorEastAsia" w:eastAsiaTheme="minorEastAsia"/>
                <w:color w:val="auto"/>
                <w:szCs w:val="21"/>
                <w:highlight w:val="none"/>
              </w:rPr>
            </w:pPr>
          </w:p>
        </w:tc>
      </w:tr>
      <w:tr w14:paraId="68C5CF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5F4DD0E4">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F03D59A">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3BE77496">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4337500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34582BF">
            <w:pPr>
              <w:adjustRightInd w:val="0"/>
              <w:snapToGrid w:val="0"/>
              <w:spacing w:line="440" w:lineRule="exact"/>
              <w:rPr>
                <w:rFonts w:cs="宋体" w:asciiTheme="minorEastAsia" w:hAnsiTheme="minorEastAsia" w:eastAsiaTheme="minorEastAsia"/>
                <w:color w:val="auto"/>
                <w:szCs w:val="21"/>
                <w:highlight w:val="none"/>
              </w:rPr>
            </w:pPr>
          </w:p>
        </w:tc>
      </w:tr>
    </w:tbl>
    <w:p w14:paraId="2FAF0FF1">
      <w:pPr>
        <w:adjustRightInd w:val="0"/>
        <w:snapToGrid w:val="0"/>
        <w:spacing w:after="120" w:line="440" w:lineRule="exact"/>
        <w:ind w:left="693" w:hanging="693" w:hangingChars="330"/>
        <w:rPr>
          <w:rFonts w:cs="宋体" w:asciiTheme="minorEastAsia" w:hAnsiTheme="minorEastAsia" w:eastAsiaTheme="minorEastAsia"/>
          <w:color w:val="auto"/>
          <w:szCs w:val="21"/>
          <w:highlight w:val="none"/>
        </w:rPr>
      </w:pPr>
    </w:p>
    <w:p w14:paraId="7509AC81">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EA2F00A">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6A954BFC">
      <w:pPr>
        <w:widowControl/>
        <w:jc w:val="left"/>
        <w:rPr>
          <w:rFonts w:asciiTheme="minorEastAsia" w:hAnsiTheme="minorEastAsia" w:eastAsiaTheme="minorEastAsia"/>
          <w:color w:val="auto"/>
          <w:highlight w:val="none"/>
        </w:rPr>
      </w:pPr>
    </w:p>
    <w:p w14:paraId="092F4599">
      <w:pPr>
        <w:adjustRightInd w:val="0"/>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编制要求</w:t>
      </w:r>
      <w:r>
        <w:rPr>
          <w:rFonts w:hint="eastAsia" w:cs="宋体" w:asciiTheme="minorEastAsia" w:hAnsiTheme="minorEastAsia" w:eastAsiaTheme="minorEastAsia"/>
          <w:color w:val="auto"/>
          <w:szCs w:val="21"/>
          <w:highlight w:val="none"/>
        </w:rPr>
        <w:t>：</w:t>
      </w:r>
    </w:p>
    <w:p w14:paraId="7C1B088B">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1.如对商务规范书条款无任何偏离，供应商仅需在本偏离表中填写“无偏离”即可。当本表为空时，视为响应文件对商务规范书条款全部满足，无偏离；</w:t>
      </w:r>
    </w:p>
    <w:p w14:paraId="1FD9EAEA">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 如对商务规范书条款存在偏离，供应商需对商务规范书条款存在的偏离逐条做出说明。</w:t>
      </w:r>
    </w:p>
    <w:p w14:paraId="53036EDF">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color w:val="auto"/>
          <w:highlight w:val="none"/>
        </w:rPr>
        <w:t>3. 供应商可以根据实际情况对本文件进行调整和修改，但应满足询比文件对本文件的要求。</w:t>
      </w:r>
    </w:p>
    <w:p w14:paraId="6753C83A">
      <w:pPr>
        <w:pStyle w:val="102"/>
        <w:adjustRightInd w:val="0"/>
        <w:snapToGrid w:val="0"/>
        <w:spacing w:line="440" w:lineRule="exact"/>
        <w:ind w:firstLine="0" w:firstLineChars="0"/>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189C1B56">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12" w:name="_Toc477190632"/>
      <w:bookmarkEnd w:id="612"/>
      <w:bookmarkStart w:id="613" w:name="_Toc477190416"/>
      <w:bookmarkEnd w:id="613"/>
      <w:bookmarkStart w:id="614" w:name="_Toc477190578"/>
      <w:bookmarkEnd w:id="614"/>
      <w:bookmarkStart w:id="615" w:name="_Toc477190585"/>
      <w:bookmarkEnd w:id="615"/>
      <w:bookmarkStart w:id="616" w:name="_Toc477190649"/>
      <w:bookmarkEnd w:id="616"/>
      <w:bookmarkStart w:id="617" w:name="_Toc477190572"/>
      <w:bookmarkEnd w:id="617"/>
      <w:bookmarkStart w:id="618" w:name="_Toc477190436"/>
      <w:bookmarkEnd w:id="618"/>
      <w:bookmarkStart w:id="619" w:name="_Toc477190422"/>
      <w:bookmarkEnd w:id="619"/>
      <w:bookmarkStart w:id="620" w:name="_Toc477190569"/>
      <w:bookmarkEnd w:id="620"/>
      <w:bookmarkStart w:id="621" w:name="_Toc477190433"/>
      <w:bookmarkEnd w:id="621"/>
      <w:bookmarkStart w:id="622" w:name="_Toc477190509"/>
      <w:bookmarkEnd w:id="622"/>
      <w:bookmarkStart w:id="623" w:name="_Toc477190417"/>
      <w:bookmarkEnd w:id="623"/>
      <w:bookmarkStart w:id="624" w:name="_Toc477190442"/>
      <w:bookmarkEnd w:id="624"/>
      <w:bookmarkStart w:id="625" w:name="_Toc477190596"/>
      <w:bookmarkEnd w:id="625"/>
      <w:bookmarkStart w:id="626" w:name="_Toc477190589"/>
      <w:bookmarkEnd w:id="626"/>
      <w:bookmarkStart w:id="627" w:name="_Toc477190561"/>
      <w:bookmarkEnd w:id="627"/>
      <w:bookmarkStart w:id="628" w:name="_Toc477190653"/>
      <w:bookmarkEnd w:id="628"/>
      <w:bookmarkStart w:id="629" w:name="_Toc477190577"/>
      <w:bookmarkEnd w:id="629"/>
      <w:bookmarkStart w:id="630" w:name="_Toc477190474"/>
      <w:bookmarkEnd w:id="630"/>
      <w:bookmarkStart w:id="631" w:name="_Toc477190512"/>
      <w:bookmarkEnd w:id="631"/>
      <w:bookmarkStart w:id="632" w:name="_Toc477190566"/>
      <w:bookmarkEnd w:id="632"/>
      <w:bookmarkStart w:id="633" w:name="_Toc477190440"/>
      <w:bookmarkEnd w:id="633"/>
      <w:bookmarkStart w:id="634" w:name="_Toc477190367"/>
      <w:bookmarkEnd w:id="634"/>
      <w:bookmarkStart w:id="635" w:name="_Toc477190365"/>
      <w:bookmarkEnd w:id="635"/>
      <w:bookmarkStart w:id="636" w:name="_Toc477190469"/>
      <w:bookmarkEnd w:id="636"/>
      <w:bookmarkStart w:id="637" w:name="_Toc477190587"/>
      <w:bookmarkEnd w:id="637"/>
      <w:bookmarkStart w:id="638" w:name="_Toc477190432"/>
      <w:bookmarkEnd w:id="638"/>
      <w:bookmarkStart w:id="639" w:name="_Toc477190428"/>
      <w:bookmarkEnd w:id="639"/>
      <w:bookmarkStart w:id="640" w:name="_Toc477190458"/>
      <w:bookmarkEnd w:id="640"/>
      <w:bookmarkStart w:id="641" w:name="_Toc477190562"/>
      <w:bookmarkEnd w:id="641"/>
      <w:bookmarkStart w:id="642" w:name="_Toc477190429"/>
      <w:bookmarkEnd w:id="642"/>
      <w:bookmarkStart w:id="643" w:name="_Toc477190459"/>
      <w:bookmarkEnd w:id="643"/>
      <w:bookmarkStart w:id="644" w:name="_Toc477190425"/>
      <w:bookmarkEnd w:id="644"/>
      <w:bookmarkStart w:id="645" w:name="_Toc477190592"/>
      <w:bookmarkEnd w:id="645"/>
      <w:bookmarkStart w:id="646" w:name="_Toc477190366"/>
      <w:bookmarkEnd w:id="646"/>
      <w:bookmarkStart w:id="647" w:name="_Toc477190518"/>
      <w:bookmarkEnd w:id="647"/>
      <w:bookmarkStart w:id="648" w:name="_Toc477190468"/>
      <w:bookmarkEnd w:id="648"/>
      <w:bookmarkStart w:id="649" w:name="_Toc477190642"/>
      <w:bookmarkEnd w:id="649"/>
      <w:bookmarkStart w:id="650" w:name="_Toc477190586"/>
      <w:bookmarkEnd w:id="650"/>
      <w:bookmarkStart w:id="651" w:name="_Toc477190590"/>
      <w:bookmarkEnd w:id="651"/>
      <w:bookmarkStart w:id="652" w:name="_Toc477190510"/>
      <w:bookmarkEnd w:id="652"/>
      <w:bookmarkStart w:id="653" w:name="_Toc477190594"/>
      <w:bookmarkEnd w:id="653"/>
      <w:bookmarkStart w:id="654" w:name="_Toc477190415"/>
      <w:bookmarkEnd w:id="654"/>
      <w:bookmarkStart w:id="655" w:name="_Toc477190568"/>
      <w:bookmarkEnd w:id="655"/>
      <w:bookmarkStart w:id="656" w:name="_Toc477190588"/>
      <w:bookmarkEnd w:id="656"/>
      <w:bookmarkStart w:id="657" w:name="_Toc477190504"/>
      <w:bookmarkEnd w:id="657"/>
      <w:bookmarkStart w:id="658" w:name="_Toc477190368"/>
      <w:bookmarkEnd w:id="658"/>
      <w:bookmarkStart w:id="659" w:name="_Toc477190461"/>
      <w:bookmarkEnd w:id="659"/>
      <w:bookmarkStart w:id="660" w:name="_Toc477190555"/>
      <w:bookmarkEnd w:id="660"/>
      <w:bookmarkStart w:id="661" w:name="_Toc477190563"/>
      <w:bookmarkEnd w:id="661"/>
      <w:bookmarkStart w:id="662" w:name="_Toc477190421"/>
      <w:bookmarkEnd w:id="662"/>
      <w:bookmarkStart w:id="663" w:name="_Toc477190584"/>
      <w:bookmarkEnd w:id="663"/>
      <w:bookmarkStart w:id="664" w:name="_Toc477190455"/>
      <w:bookmarkEnd w:id="664"/>
      <w:bookmarkStart w:id="665" w:name="_Toc477190463"/>
      <w:bookmarkEnd w:id="665"/>
      <w:bookmarkStart w:id="666" w:name="_Toc477190651"/>
      <w:bookmarkEnd w:id="666"/>
      <w:bookmarkStart w:id="667" w:name="_Toc477190598"/>
      <w:bookmarkEnd w:id="667"/>
      <w:bookmarkStart w:id="668" w:name="_Toc477190531"/>
      <w:bookmarkEnd w:id="668"/>
      <w:bookmarkStart w:id="669" w:name="_Toc477190414"/>
      <w:bookmarkEnd w:id="669"/>
      <w:bookmarkStart w:id="670" w:name="_Toc477190525"/>
      <w:bookmarkEnd w:id="670"/>
      <w:bookmarkStart w:id="671" w:name="_Toc477190570"/>
      <w:bookmarkEnd w:id="671"/>
      <w:bookmarkStart w:id="672" w:name="_Toc477190471"/>
      <w:bookmarkEnd w:id="672"/>
      <w:bookmarkStart w:id="673" w:name="_Toc477190462"/>
      <w:bookmarkEnd w:id="673"/>
      <w:bookmarkStart w:id="674" w:name="_Toc477190506"/>
      <w:bookmarkEnd w:id="674"/>
      <w:bookmarkStart w:id="675" w:name="_Toc477190448"/>
      <w:bookmarkEnd w:id="675"/>
      <w:bookmarkStart w:id="676" w:name="_Toc477190582"/>
      <w:bookmarkEnd w:id="676"/>
      <w:bookmarkStart w:id="677" w:name="_Toc477190457"/>
      <w:bookmarkEnd w:id="677"/>
      <w:bookmarkStart w:id="678" w:name="_Toc477190543"/>
      <w:bookmarkEnd w:id="678"/>
      <w:bookmarkStart w:id="679" w:name="_Toc477190451"/>
      <w:bookmarkEnd w:id="679"/>
      <w:bookmarkStart w:id="680" w:name="_Toc477190600"/>
      <w:bookmarkEnd w:id="680"/>
      <w:bookmarkStart w:id="681" w:name="_Toc477190438"/>
      <w:bookmarkEnd w:id="681"/>
      <w:bookmarkStart w:id="682" w:name="_Toc477190515"/>
      <w:bookmarkEnd w:id="682"/>
      <w:bookmarkStart w:id="683" w:name="_Toc477190444"/>
      <w:bookmarkEnd w:id="683"/>
      <w:bookmarkStart w:id="684" w:name="_Toc477190579"/>
      <w:bookmarkEnd w:id="684"/>
      <w:bookmarkStart w:id="685" w:name="_Toc477190466"/>
      <w:bookmarkEnd w:id="685"/>
      <w:bookmarkStart w:id="686" w:name="_Toc477190473"/>
      <w:bookmarkEnd w:id="686"/>
      <w:bookmarkStart w:id="687" w:name="_Toc477190575"/>
      <w:bookmarkEnd w:id="687"/>
      <w:bookmarkStart w:id="688" w:name="_Toc477190516"/>
      <w:bookmarkEnd w:id="688"/>
      <w:bookmarkStart w:id="689" w:name="_Toc477190574"/>
      <w:bookmarkEnd w:id="689"/>
      <w:bookmarkStart w:id="690" w:name="_Toc477190511"/>
      <w:bookmarkEnd w:id="690"/>
      <w:bookmarkStart w:id="691" w:name="_Toc477190441"/>
      <w:bookmarkEnd w:id="691"/>
      <w:bookmarkStart w:id="692" w:name="_Toc477190426"/>
      <w:bookmarkEnd w:id="692"/>
      <w:bookmarkStart w:id="693" w:name="_Toc477190464"/>
      <w:bookmarkEnd w:id="693"/>
      <w:bookmarkStart w:id="694" w:name="_Toc477190567"/>
      <w:bookmarkEnd w:id="694"/>
      <w:bookmarkStart w:id="695" w:name="_Toc477190508"/>
      <w:bookmarkEnd w:id="695"/>
      <w:bookmarkStart w:id="696" w:name="_Toc477190450"/>
      <w:bookmarkEnd w:id="696"/>
      <w:bookmarkStart w:id="697" w:name="_Toc477190593"/>
      <w:bookmarkEnd w:id="697"/>
      <w:bookmarkStart w:id="698" w:name="_Toc477190573"/>
      <w:bookmarkEnd w:id="698"/>
      <w:bookmarkStart w:id="699" w:name="_Toc477190654"/>
      <w:bookmarkEnd w:id="699"/>
      <w:bookmarkStart w:id="700" w:name="_Toc477190465"/>
      <w:bookmarkEnd w:id="700"/>
      <w:bookmarkStart w:id="701" w:name="_Toc477190419"/>
      <w:bookmarkEnd w:id="701"/>
      <w:bookmarkStart w:id="702" w:name="_Toc477190581"/>
      <w:bookmarkEnd w:id="702"/>
      <w:bookmarkStart w:id="703" w:name="_Toc477190583"/>
      <w:bookmarkEnd w:id="703"/>
      <w:bookmarkStart w:id="704" w:name="_Toc477190591"/>
      <w:bookmarkEnd w:id="704"/>
      <w:bookmarkStart w:id="705" w:name="_Toc477190418"/>
      <w:bookmarkEnd w:id="705"/>
      <w:bookmarkStart w:id="706" w:name="_Toc477190443"/>
      <w:bookmarkEnd w:id="706"/>
      <w:bookmarkStart w:id="707" w:name="_Toc477190650"/>
      <w:bookmarkEnd w:id="707"/>
      <w:bookmarkStart w:id="708" w:name="_Toc477190599"/>
      <w:bookmarkEnd w:id="708"/>
      <w:bookmarkStart w:id="709" w:name="_Toc477190420"/>
      <w:bookmarkEnd w:id="709"/>
      <w:bookmarkStart w:id="710" w:name="_Toc477190564"/>
      <w:bookmarkEnd w:id="710"/>
      <w:bookmarkStart w:id="711" w:name="_Toc477190647"/>
      <w:bookmarkEnd w:id="711"/>
      <w:bookmarkStart w:id="712" w:name="_Toc477190498"/>
      <w:bookmarkEnd w:id="712"/>
      <w:bookmarkStart w:id="713" w:name="_Toc477190597"/>
      <w:bookmarkEnd w:id="713"/>
      <w:bookmarkStart w:id="714" w:name="_Toc477190652"/>
      <w:bookmarkEnd w:id="714"/>
      <w:bookmarkStart w:id="715" w:name="_Toc477190576"/>
      <w:bookmarkEnd w:id="715"/>
      <w:bookmarkStart w:id="716" w:name="_Toc477190622"/>
      <w:bookmarkEnd w:id="716"/>
      <w:bookmarkStart w:id="717" w:name="_Toc477190447"/>
      <w:bookmarkEnd w:id="717"/>
      <w:bookmarkStart w:id="718" w:name="_Toc477190645"/>
      <w:bookmarkEnd w:id="718"/>
      <w:bookmarkStart w:id="719" w:name="_Toc477190472"/>
      <w:bookmarkEnd w:id="719"/>
      <w:bookmarkStart w:id="720" w:name="_Toc477190434"/>
      <w:bookmarkEnd w:id="720"/>
      <w:bookmarkStart w:id="721" w:name="_Toc477190439"/>
      <w:bookmarkEnd w:id="721"/>
      <w:bookmarkStart w:id="722" w:name="_Toc477190456"/>
      <w:bookmarkEnd w:id="722"/>
      <w:bookmarkStart w:id="723" w:name="_Toc477190452"/>
      <w:bookmarkEnd w:id="723"/>
      <w:bookmarkStart w:id="724" w:name="_Toc477190513"/>
      <w:bookmarkEnd w:id="724"/>
      <w:bookmarkStart w:id="725" w:name="_Toc477190571"/>
      <w:bookmarkEnd w:id="725"/>
      <w:bookmarkStart w:id="726" w:name="_Toc477190565"/>
      <w:bookmarkEnd w:id="726"/>
      <w:bookmarkStart w:id="727" w:name="_Toc477190514"/>
      <w:bookmarkEnd w:id="727"/>
      <w:bookmarkStart w:id="728" w:name="_Toc477190446"/>
      <w:bookmarkEnd w:id="728"/>
      <w:bookmarkStart w:id="729" w:name="_Toc477190430"/>
      <w:bookmarkEnd w:id="729"/>
      <w:bookmarkStart w:id="730" w:name="_Toc477190449"/>
      <w:bookmarkEnd w:id="730"/>
      <w:bookmarkStart w:id="731" w:name="_Toc477190445"/>
      <w:bookmarkEnd w:id="731"/>
      <w:bookmarkStart w:id="732" w:name="_Toc477190453"/>
      <w:bookmarkEnd w:id="732"/>
      <w:bookmarkStart w:id="733" w:name="_Toc477190646"/>
      <w:bookmarkEnd w:id="733"/>
      <w:bookmarkStart w:id="734" w:name="_Toc477190460"/>
      <w:bookmarkEnd w:id="734"/>
      <w:bookmarkStart w:id="735" w:name="_Toc477190435"/>
      <w:bookmarkEnd w:id="735"/>
      <w:bookmarkStart w:id="736" w:name="_Toc477190507"/>
      <w:bookmarkEnd w:id="736"/>
      <w:bookmarkStart w:id="737" w:name="_Toc477190612"/>
      <w:bookmarkEnd w:id="737"/>
      <w:bookmarkStart w:id="738" w:name="_Toc477190467"/>
      <w:bookmarkEnd w:id="738"/>
      <w:bookmarkStart w:id="739" w:name="_Toc477190505"/>
      <w:bookmarkEnd w:id="739"/>
      <w:bookmarkStart w:id="740" w:name="_Toc477190454"/>
      <w:bookmarkEnd w:id="740"/>
      <w:bookmarkStart w:id="741" w:name="_Toc477190648"/>
      <w:bookmarkEnd w:id="741"/>
      <w:bookmarkStart w:id="742" w:name="_Toc477190424"/>
      <w:bookmarkEnd w:id="742"/>
      <w:bookmarkStart w:id="743" w:name="_Toc477190470"/>
      <w:bookmarkEnd w:id="743"/>
      <w:bookmarkStart w:id="744" w:name="_Toc477190482"/>
      <w:bookmarkEnd w:id="744"/>
      <w:bookmarkStart w:id="745" w:name="_Toc477190437"/>
      <w:bookmarkEnd w:id="745"/>
      <w:bookmarkStart w:id="746" w:name="_Toc477190427"/>
      <w:bookmarkEnd w:id="746"/>
      <w:bookmarkStart w:id="747" w:name="_Toc477190580"/>
      <w:bookmarkEnd w:id="747"/>
      <w:bookmarkStart w:id="748" w:name="_Toc477190517"/>
      <w:bookmarkEnd w:id="748"/>
      <w:bookmarkStart w:id="749" w:name="_Toc477190423"/>
      <w:bookmarkEnd w:id="749"/>
      <w:bookmarkStart w:id="750" w:name="_Toc477190595"/>
      <w:bookmarkEnd w:id="750"/>
      <w:bookmarkStart w:id="751" w:name="_Toc477190537"/>
      <w:bookmarkEnd w:id="751"/>
      <w:bookmarkStart w:id="752" w:name="_Toc477190549"/>
      <w:bookmarkEnd w:id="752"/>
      <w:bookmarkStart w:id="753" w:name="_Toc477190601"/>
      <w:bookmarkEnd w:id="753"/>
      <w:bookmarkStart w:id="754" w:name="_Toc477190431"/>
      <w:bookmarkEnd w:id="754"/>
      <w:bookmarkStart w:id="755" w:name="_Toc25469"/>
      <w:bookmarkStart w:id="756" w:name="_Toc106784693"/>
      <w:bookmarkStart w:id="757" w:name="_Toc1782"/>
      <w:bookmarkStart w:id="758" w:name="_Toc38008092"/>
      <w:bookmarkStart w:id="759" w:name="_Toc81306854"/>
      <w:bookmarkStart w:id="760" w:name="_Toc475472685"/>
      <w:bookmarkStart w:id="761" w:name="_Toc326856160"/>
      <w:bookmarkStart w:id="762" w:name="_Toc7523064"/>
      <w:bookmarkStart w:id="763" w:name="_Toc444791971"/>
      <w:bookmarkStart w:id="764" w:name="_Toc475472688"/>
      <w:r>
        <w:rPr>
          <w:rFonts w:hint="eastAsia" w:asciiTheme="minorEastAsia" w:hAnsiTheme="minorEastAsia" w:eastAsiaTheme="minorEastAsia"/>
          <w:color w:val="auto"/>
          <w:sz w:val="24"/>
          <w:szCs w:val="24"/>
          <w:highlight w:val="none"/>
        </w:rPr>
        <w:t>网络及信息安全承诺书</w:t>
      </w:r>
      <w:bookmarkEnd w:id="755"/>
      <w:bookmarkEnd w:id="756"/>
      <w:bookmarkEnd w:id="757"/>
      <w:bookmarkEnd w:id="758"/>
    </w:p>
    <w:p w14:paraId="4D55F660">
      <w:pPr>
        <w:pStyle w:val="146"/>
        <w:spacing w:line="360" w:lineRule="atLeast"/>
        <w:ind w:firstLine="482"/>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网络及信息安全承诺书</w:t>
      </w:r>
    </w:p>
    <w:p w14:paraId="3C998029">
      <w:pPr>
        <w:pStyle w:val="146"/>
        <w:spacing w:line="360" w:lineRule="atLeast"/>
        <w:ind w:firstLine="482"/>
        <w:jc w:val="center"/>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[根据规定使用本承诺书的项目，应将本承诺书作为不可偏离文件，并作为合同附件]</w:t>
      </w:r>
    </w:p>
    <w:p w14:paraId="47498EC6">
      <w:pPr>
        <w:pStyle w:val="146"/>
        <w:spacing w:line="360" w:lineRule="atLeast"/>
        <w:ind w:firstLine="482"/>
        <w:jc w:val="center"/>
        <w:rPr>
          <w:rFonts w:asciiTheme="minorEastAsia" w:hAnsiTheme="minorEastAsia" w:eastAsiaTheme="minorEastAsia"/>
          <w:b/>
          <w:bCs/>
          <w:color w:val="auto"/>
          <w:sz w:val="24"/>
          <w:highlight w:val="none"/>
        </w:rPr>
      </w:pPr>
    </w:p>
    <w:p w14:paraId="45B5EA81">
      <w:pPr>
        <w:pStyle w:val="146"/>
        <w:snapToGrid w:val="0"/>
        <w:spacing w:line="440" w:lineRule="exact"/>
        <w:ind w:firstLine="482"/>
        <w:rPr>
          <w:rFonts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致：【</w:t>
      </w:r>
      <w:r>
        <w:rPr>
          <w:rFonts w:hint="eastAsia" w:asciiTheme="minorEastAsia" w:hAnsiTheme="minorEastAsia" w:eastAsiaTheme="minorEastAsia"/>
          <w:b/>
          <w:bCs/>
          <w:color w:val="auto"/>
          <w:szCs w:val="21"/>
          <w:highlight w:val="none"/>
          <w:lang w:eastAsia="zh-CN"/>
        </w:rPr>
        <w:t>湖北信通通信有限公司</w:t>
      </w:r>
      <w:r>
        <w:rPr>
          <w:rFonts w:hint="eastAsia" w:asciiTheme="minorEastAsia" w:hAnsiTheme="minorEastAsia" w:eastAsiaTheme="minorEastAsia"/>
          <w:b/>
          <w:bCs/>
          <w:color w:val="auto"/>
          <w:szCs w:val="21"/>
          <w:highlight w:val="none"/>
        </w:rPr>
        <w:t>】：</w:t>
      </w:r>
    </w:p>
    <w:p w14:paraId="56EA78C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本单位郑重承诺遵守本承诺书，如有违反本承诺书有关条款的行为，本单位承担由此带来的一切责任。</w:t>
      </w:r>
    </w:p>
    <w:p w14:paraId="03A430B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一、本单位承诺遵守《中华人民共和国网络安全法》《中华人民共和国数据安全法》《中华人民共和国个人信息保护法》《全国人民代表大会常务委员会关于加强网络信息保护的决定》《中华人民共和国电信条例》《中华人民共和国计算机信息系统安全保护条例》《计算机信息网络国际联网安全保护管理办法》《互联网信息服务管理办法》《非经营性互联网信息服务备案管理办法》《移动互联网应用程序信息服务管理规定》《网络信息内容生态治理规定》《电信和互联网用户个人信息保护规定》《公共互联网网络安全突发事件应急预案》《关键信息基础设施安全保护条例》《网络安全审查办法》及有关法律、法规、规章和政策文件规定（“相关规定”）。</w:t>
      </w:r>
    </w:p>
    <w:p w14:paraId="1BCEE28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本单位承诺向贵公司提供产品或服务符合相关规定、政府主管部门要求以及与贵公司的合同/协议（“合同”）约定，落实网络安全、数据安全和个人信息保护责任。本单位承诺具备履行合同所需的全部合法必要的资质条件。</w:t>
      </w:r>
    </w:p>
    <w:p w14:paraId="1F6166D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三、本单位承诺按照用户真实身份信息制度（“实名制”）的要求提供身份信息、使用业务，并保证所提供信息、资料的真实、完整、准确、有效。</w:t>
      </w:r>
    </w:p>
    <w:p w14:paraId="67A3DA3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四、本单位保证不利用网络（包括但不限于固定网、移动网、互联网，下同）从事危害国家安全、泄露国家秘密等违法犯罪活动，不侵犯他人的合法权益。</w:t>
      </w:r>
    </w:p>
    <w:p w14:paraId="3FF7FF4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五、本单位保证在处理个人信息前依法向个人信息主体（“个人”）履行法定告知义务并取得个人的明确同意。法律、行政法规规定处理个人信息应当取得个人单独同意或者书面同意的，本单位保证在处理个人信息前依法取得个人单独同意或书面同意。</w:t>
      </w:r>
    </w:p>
    <w:p w14:paraId="1FF337C0">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六、本单位向贵公司提供个人信息或委托贵公司处理个人信息的，本单位承诺已依法向个人履行了告知义务，并依法取得了个人同意。本单位承诺，向贵公司提供或委托贵公司处理的个人信息等数据来源合法合规，不存在违反相关规定以及合同约定的情况。</w:t>
      </w:r>
    </w:p>
    <w:p w14:paraId="586A3D3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七、本单位受贵公司委托处理个人信息等数据的，或本单位与贵公司共同处理个人信息等数据的，本单位承诺按照与贵公司的合同约定处理，不得超出约定的处理目的、处理方式等处理上述数据，严格遵循数据处理时限。如果合同不生效、无效、被撤销、终止，或其他贵公司认为必要的情况下，本单位承诺按照贵公司的要求对个人信息等数据（包括但不限于原始数据、备份数据、基于所提供的数据产生的衍生数据）予以返还或者删除，且未经贵公司同意不得以任何方式留存履行合同过程中所处理的任何上述数据。上述数据的返还或删除并不免除本单位其他义务。未经贵公司同意,本单位不得转委托他人处理上述数据。本单位承诺按照法律规定及贵公司要求处理个人基于其主体权利提出的请求（包括个人信息查询、更正、删除、撤回授权同意、注销账户、获取个人信息副本等）。</w:t>
      </w:r>
    </w:p>
    <w:p w14:paraId="34706C3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八、对本单位在合同签订及履行过程中接触或知悉的贵公司和/或贵公司客户的数据和用户个人信息，本单位应当严格保密，不得向其他方提供、披露。本单位应当按照相关规定、政府主管部门要求和合同约定采取保密措施，防止未经授权的访问以及个人信息等数据的泄露、篡改、丢失。对于本单位在合同签订及履行过程中接触和获得的个人信息等数据，应当依法在境内存储，且不得向境外提供。</w:t>
      </w:r>
    </w:p>
    <w:p w14:paraId="6227BC4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本单位承诺严格按照相关规定做好本单位网络安全、数据安全和个人信息保护管理工作，健全各项网络安全、数据安全和个人信息保护管理制度和操作规程，落实各项安全保护技术措施，实施个人信息和数据分类分级管理、依法落实个人信息保护影响评估和数据安全风险评估、报告、信息共享、监测预警机制，定期对从业人员进行安全教育和培训，依法设置网络安全、数据安全和个人信息保护责任人和管理机构，按政府主管部门要求设立信息安全责任人和信息安全审查员，当信息安全责任人发生变更时及时通知贵公司。否则，导致的一切后果由本单位承担，贵公司有权立即终止合同。</w:t>
      </w:r>
    </w:p>
    <w:p w14:paraId="25B248A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本单位承诺配合贵公司为公安机关、国家安全机关、网信部门等政府部门依法履行职责、维护国家安全和侦查犯罪等活动提供协助，如实提供有关安全保护的信息、资料及数据文件，积极协助查处信息网络违法犯罪行为。</w:t>
      </w:r>
    </w:p>
    <w:p w14:paraId="50184C3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一、本单位承诺利用网络发送的信息以及向贵公司提供的信息真实、准确、合法。该等信息内容应当严格符合相关规定，本单位不得通过通信网络、互联网制作、复制、查阅和传播有害信息，不得散发传播违法、不健康、反动等信息，不得制作、复制、查阅和传播任何违反下列要求（即“九不准”及“六不许”）的信息。</w:t>
      </w:r>
    </w:p>
    <w:p w14:paraId="56867FB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“九不准”，即不准制作、复制、查阅和传播含有以下内容的信息：</w:t>
      </w:r>
    </w:p>
    <w:p w14:paraId="1938FA6E">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1、反对宪法所确定的基本原则的</w:t>
      </w:r>
      <w:r>
        <w:rPr>
          <w:rFonts w:hint="eastAsia" w:asciiTheme="minorEastAsia" w:hAnsiTheme="minorEastAsia" w:eastAsiaTheme="minorEastAsia"/>
          <w:color w:val="auto"/>
          <w:szCs w:val="21"/>
          <w:highlight w:val="none"/>
        </w:rPr>
        <w:t>；</w:t>
      </w:r>
    </w:p>
    <w:p w14:paraId="759D3B27">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2、危害国家安全，泄露国家秘密，颠覆国家政权，破坏国家统一的</w:t>
      </w:r>
      <w:r>
        <w:rPr>
          <w:rFonts w:hint="eastAsia" w:asciiTheme="minorEastAsia" w:hAnsiTheme="minorEastAsia" w:eastAsiaTheme="minorEastAsia"/>
          <w:color w:val="auto"/>
          <w:szCs w:val="21"/>
          <w:highlight w:val="none"/>
        </w:rPr>
        <w:t>；</w:t>
      </w:r>
    </w:p>
    <w:p w14:paraId="7B39F206">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3、损害国家荣誉和利益的</w:t>
      </w:r>
      <w:r>
        <w:rPr>
          <w:rFonts w:hint="eastAsia" w:asciiTheme="minorEastAsia" w:hAnsiTheme="minorEastAsia" w:eastAsiaTheme="minorEastAsia"/>
          <w:color w:val="auto"/>
          <w:szCs w:val="21"/>
          <w:highlight w:val="none"/>
        </w:rPr>
        <w:t>；</w:t>
      </w:r>
    </w:p>
    <w:p w14:paraId="3529F8F1">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4、煽动民族仇恨、民族歧视，破坏民族团结的</w:t>
      </w:r>
      <w:r>
        <w:rPr>
          <w:rFonts w:hint="eastAsia" w:asciiTheme="minorEastAsia" w:hAnsiTheme="minorEastAsia" w:eastAsiaTheme="minorEastAsia"/>
          <w:color w:val="auto"/>
          <w:szCs w:val="21"/>
          <w:highlight w:val="none"/>
        </w:rPr>
        <w:t>；</w:t>
      </w:r>
    </w:p>
    <w:p w14:paraId="13D32CD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5、破坏国家宗教政策，宣扬邪教和封建迷信的</w:t>
      </w:r>
      <w:r>
        <w:rPr>
          <w:rFonts w:hint="eastAsia" w:asciiTheme="minorEastAsia" w:hAnsiTheme="minorEastAsia" w:eastAsiaTheme="minorEastAsia"/>
          <w:color w:val="auto"/>
          <w:szCs w:val="21"/>
          <w:highlight w:val="none"/>
        </w:rPr>
        <w:t>；</w:t>
      </w:r>
    </w:p>
    <w:p w14:paraId="6124DF87">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6、散布谣言，扰乱社会秩序，破坏社会稳定的</w:t>
      </w:r>
      <w:r>
        <w:rPr>
          <w:rFonts w:hint="eastAsia" w:asciiTheme="minorEastAsia" w:hAnsiTheme="minorEastAsia" w:eastAsiaTheme="minorEastAsia"/>
          <w:color w:val="auto"/>
          <w:szCs w:val="21"/>
          <w:highlight w:val="none"/>
        </w:rPr>
        <w:t>；</w:t>
      </w:r>
    </w:p>
    <w:p w14:paraId="3DB66290">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7、散布淫秽、色情、赌博、暴力、凶杀、恐怖或者教唆犯罪的</w:t>
      </w:r>
      <w:r>
        <w:rPr>
          <w:rFonts w:hint="eastAsia" w:asciiTheme="minorEastAsia" w:hAnsiTheme="minorEastAsia" w:eastAsiaTheme="minorEastAsia"/>
          <w:color w:val="auto"/>
          <w:szCs w:val="21"/>
          <w:highlight w:val="none"/>
        </w:rPr>
        <w:t>；</w:t>
      </w:r>
    </w:p>
    <w:p w14:paraId="4FCEDE8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8、侮辱或者诽谤他人，侵害他人合法权益的</w:t>
      </w:r>
      <w:r>
        <w:rPr>
          <w:rFonts w:hint="eastAsia" w:asciiTheme="minorEastAsia" w:hAnsiTheme="minorEastAsia" w:eastAsiaTheme="minorEastAsia"/>
          <w:color w:val="auto"/>
          <w:szCs w:val="21"/>
          <w:highlight w:val="none"/>
        </w:rPr>
        <w:t>；</w:t>
      </w:r>
    </w:p>
    <w:p w14:paraId="2C9231F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9、含有法律</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法规禁止的其他内容的。</w:t>
      </w:r>
    </w:p>
    <w:p w14:paraId="15DEE24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“六不许”，即：</w:t>
      </w:r>
    </w:p>
    <w:p w14:paraId="29E8271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1、决不允许在群众中散布违背党的理论和路线方针政策的意见。</w:t>
      </w:r>
    </w:p>
    <w:p w14:paraId="3D9057C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2、决不允许公开发表同中央的决定相违背的言论。</w:t>
      </w:r>
    </w:p>
    <w:p w14:paraId="1838185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3、决不允许对中央的决策部署阳奉阴违。</w:t>
      </w:r>
    </w:p>
    <w:p w14:paraId="51DF3ED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4、决不允许编造、传播政治谣言及丑化党和国家形象的言论。</w:t>
      </w:r>
    </w:p>
    <w:p w14:paraId="6DC416E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5、决不允许以任何形式泄露党和国家的秘密。</w:t>
      </w:r>
    </w:p>
    <w:p w14:paraId="591CD4F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6、决不允许参与各种非法组织和非法活动。</w:t>
      </w:r>
    </w:p>
    <w:p w14:paraId="47DA79F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二、本单位承诺不利用提供给贵公司的产品或服务或通过网络从事危害中华人民共和国安全、泄露中华人民共和国国家秘密等活动，不从事任何危害网络安全、数据安全的活动，不从事侵犯他人合法权益的活动，包括但不限于：</w:t>
      </w:r>
    </w:p>
    <w:p w14:paraId="1FF3269C">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1、未经允许进入网络或者使用网络资源；</w:t>
      </w:r>
    </w:p>
    <w:p w14:paraId="49AD63A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2、未经允许对网络功能进行删除、修改或者增加；</w:t>
      </w:r>
    </w:p>
    <w:p w14:paraId="69D34A4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3、未经允许对网络中存储或者传输的数据和应用程序进行删除、修改或者增加；</w:t>
      </w:r>
    </w:p>
    <w:p w14:paraId="511700A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4、制作、传播、利用网络病毒等恶意程序或破坏性程序；</w:t>
      </w:r>
    </w:p>
    <w:p w14:paraId="438995B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5、非法收集、使用、加工、传输或以其他方式处理个人信息等数据；</w:t>
      </w:r>
    </w:p>
    <w:p w14:paraId="42E2D849">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、非法买卖、提供或者公开个人信息等数据；</w:t>
      </w:r>
    </w:p>
    <w:p w14:paraId="26960094">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rPr>
        <w:t>、从事危害国家安全、公共利益的个人信息和数据处理活动；</w:t>
      </w:r>
    </w:p>
    <w:p w14:paraId="5AB0649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w:t>
      </w:r>
      <w:r>
        <w:rPr>
          <w:rFonts w:hint="eastAsia" w:asciiTheme="minorEastAsia" w:hAnsiTheme="minorEastAsia" w:eastAsiaTheme="minorEastAsia"/>
          <w:color w:val="auto"/>
          <w:szCs w:val="21"/>
          <w:highlight w:val="none"/>
        </w:rPr>
        <w:t>、其他危害网络安全、数据安全、侵犯他人合法权益的活动。</w:t>
      </w:r>
    </w:p>
    <w:p w14:paraId="315D32D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三、本单位承诺在履行合同过程中发生重大安全事故或发生或者可能发生个人信息等数据泄露、篡改、丢失时，立即采取应急措施，保留有关原始记录，在24小时内向有关部门报告并书面通知贵公司。如发生重大安全事故或其他影响网络安全、数据安全和个人信息保护的突发事件，贵公司有权采取包括但不限于停止合同项下业务等紧急措施，以保证网络安全、数据安全和保护个人信息。</w:t>
      </w:r>
    </w:p>
    <w:p w14:paraId="34C9827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十四、本单位承诺不进行法律、法规、政府监管规定等禁止的行为，包括但不限于：</w:t>
      </w:r>
    </w:p>
    <w:p w14:paraId="761289F9">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1、所提供或接入的设备未取得入网许可，或可能影响网络安全或网络服务质量；</w:t>
      </w:r>
    </w:p>
    <w:p w14:paraId="04DE5FCA">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2、将</w:t>
      </w:r>
      <w:r>
        <w:rPr>
          <w:rFonts w:hint="eastAsia" w:asciiTheme="minorEastAsia" w:hAnsiTheme="minorEastAsia" w:eastAsiaTheme="minorEastAsia"/>
          <w:color w:val="auto"/>
          <w:szCs w:val="21"/>
          <w:highlight w:val="none"/>
        </w:rPr>
        <w:t>合同履行</w:t>
      </w:r>
      <w:r>
        <w:rPr>
          <w:rFonts w:asciiTheme="minorEastAsia" w:hAnsiTheme="minorEastAsia" w:eastAsiaTheme="minorEastAsia"/>
          <w:color w:val="auto"/>
          <w:szCs w:val="21"/>
          <w:highlight w:val="none"/>
        </w:rPr>
        <w:t>中获得的账号、密码私自转让、转租或以非法</w:t>
      </w:r>
      <w:r>
        <w:rPr>
          <w:rFonts w:hint="eastAsia" w:asciiTheme="minorEastAsia" w:hAnsiTheme="minorEastAsia" w:eastAsiaTheme="minorEastAsia"/>
          <w:color w:val="auto"/>
          <w:szCs w:val="21"/>
          <w:highlight w:val="none"/>
        </w:rPr>
        <w:t>方式</w:t>
      </w:r>
      <w:r>
        <w:rPr>
          <w:rFonts w:asciiTheme="minorEastAsia" w:hAnsiTheme="minorEastAsia" w:eastAsiaTheme="minorEastAsia"/>
          <w:color w:val="auto"/>
          <w:szCs w:val="21"/>
          <w:highlight w:val="none"/>
        </w:rPr>
        <w:t>提供给第三方；</w:t>
      </w:r>
    </w:p>
    <w:p w14:paraId="3A490E22">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3、在</w:t>
      </w:r>
      <w:r>
        <w:rPr>
          <w:rFonts w:hint="eastAsia" w:asciiTheme="minorEastAsia" w:hAnsiTheme="minorEastAsia" w:eastAsiaTheme="minorEastAsia"/>
          <w:color w:val="auto"/>
          <w:szCs w:val="21"/>
          <w:highlight w:val="none"/>
        </w:rPr>
        <w:t>设备、</w:t>
      </w:r>
      <w:r>
        <w:rPr>
          <w:rFonts w:asciiTheme="minorEastAsia" w:hAnsiTheme="minorEastAsia" w:eastAsiaTheme="minorEastAsia"/>
          <w:color w:val="auto"/>
          <w:szCs w:val="21"/>
          <w:highlight w:val="none"/>
        </w:rPr>
        <w:t>系统、计算机软件</w:t>
      </w:r>
      <w:r>
        <w:rPr>
          <w:rFonts w:hint="eastAsia" w:asciiTheme="minorEastAsia" w:hAnsiTheme="minorEastAsia" w:eastAsiaTheme="minorEastAsia"/>
          <w:color w:val="auto"/>
          <w:szCs w:val="21"/>
          <w:highlight w:val="none"/>
        </w:rPr>
        <w:t>等产品或服务</w:t>
      </w:r>
      <w:r>
        <w:rPr>
          <w:rFonts w:asciiTheme="minorEastAsia" w:hAnsiTheme="minorEastAsia" w:eastAsiaTheme="minorEastAsia"/>
          <w:color w:val="auto"/>
          <w:szCs w:val="21"/>
          <w:highlight w:val="none"/>
        </w:rPr>
        <w:t>中非法植入后门程序</w:t>
      </w:r>
      <w:r>
        <w:rPr>
          <w:rFonts w:hint="eastAsia" w:asciiTheme="minorEastAsia" w:hAnsiTheme="minorEastAsia" w:eastAsiaTheme="minorEastAsia"/>
          <w:color w:val="auto"/>
          <w:szCs w:val="21"/>
          <w:highlight w:val="none"/>
        </w:rPr>
        <w:t>等恶意程序或破坏性程序</w:t>
      </w:r>
      <w:r>
        <w:rPr>
          <w:rFonts w:asciiTheme="minorEastAsia" w:hAnsiTheme="minorEastAsia" w:eastAsiaTheme="minorEastAsia"/>
          <w:color w:val="auto"/>
          <w:szCs w:val="21"/>
          <w:highlight w:val="none"/>
        </w:rPr>
        <w:t>；</w:t>
      </w:r>
    </w:p>
    <w:p w14:paraId="3220EFC5">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rPr>
        <w:t>利用提供产品或服务的便利条件非法获取用户个人信息等数据及重要运营数据、非法控制和操纵用户设备；</w:t>
      </w:r>
    </w:p>
    <w:p w14:paraId="28CF8CF5">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rPr>
        <w:t>、未经贵公司同意擅自公开所提供产品或服务的源代码；</w:t>
      </w:r>
    </w:p>
    <w:p w14:paraId="6555C5A2">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未经贵公司同意探测、发布贵公司的网络、终端、信息系统漏洞，对</w:t>
      </w:r>
      <w:r>
        <w:rPr>
          <w:rFonts w:hint="eastAsia" w:asciiTheme="minorEastAsia" w:hAnsiTheme="minorEastAsia" w:eastAsiaTheme="minorEastAsia"/>
          <w:color w:val="auto"/>
          <w:szCs w:val="21"/>
          <w:highlight w:val="none"/>
          <w:lang w:val="en-US" w:eastAsia="zh-CN"/>
        </w:rPr>
        <w:t>贵公司</w:t>
      </w:r>
      <w:r>
        <w:rPr>
          <w:rFonts w:hint="eastAsia" w:asciiTheme="minorEastAsia" w:hAnsiTheme="minorEastAsia" w:eastAsiaTheme="minorEastAsia"/>
          <w:color w:val="auto"/>
          <w:szCs w:val="21"/>
          <w:highlight w:val="none"/>
        </w:rPr>
        <w:t>运营的网络开展渗透测试；</w:t>
      </w:r>
    </w:p>
    <w:p w14:paraId="7B1E877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rPr>
        <w:t>法律法规规定或</w:t>
      </w:r>
      <w:r>
        <w:rPr>
          <w:rFonts w:hint="eastAsia" w:asciiTheme="minorEastAsia" w:hAnsiTheme="minorEastAsia" w:eastAsiaTheme="minorEastAsia"/>
          <w:color w:val="auto"/>
          <w:szCs w:val="21"/>
          <w:highlight w:val="none"/>
        </w:rPr>
        <w:t>合同约定的其他禁止行为</w:t>
      </w:r>
      <w:r>
        <w:rPr>
          <w:rFonts w:asciiTheme="minorEastAsia" w:hAnsiTheme="minorEastAsia" w:eastAsiaTheme="minorEastAsia"/>
          <w:color w:val="auto"/>
          <w:szCs w:val="21"/>
          <w:highlight w:val="none"/>
        </w:rPr>
        <w:t>。</w:t>
      </w:r>
    </w:p>
    <w:p w14:paraId="72551B8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十五、本单位承诺提供给贵公司的产品或服务已关闭与合同约定无关的端口，不存在与合同约定无关的进程。</w:t>
      </w:r>
    </w:p>
    <w:p w14:paraId="4B54963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十六、本单位承诺未经贵公司同意不得以任何形式对提供给贵公司的产品或服务进行任何操作。本单位承诺严格按最小化原则管理相关产品或服务的操作权限并事先征得贵公司同意。</w:t>
      </w:r>
    </w:p>
    <w:p w14:paraId="425B0F6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十七、本单位承诺对提供给贵公司的产品或服务在交付前完成已知病毒查杀、安全缺陷及漏洞扫描和修复，交付后对发现的安全缺陷、漏洞等风险及时采取补救措施。</w:t>
      </w:r>
    </w:p>
    <w:p w14:paraId="0375951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十八、本单位承诺无正当理由不会中断所提供的产品或服务，亦不会中断提供必要的技术支持服务。</w:t>
      </w:r>
    </w:p>
    <w:p w14:paraId="16BBECC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九、就本单位向贵公司提供的产品和服务，本单位承诺向贵公司提供该等产品或服务所包含或调用的开源软件和第三方软件清单，以及合法获取开源软件、第三方软件使用权的证明，并配合贵公司开展软件安全检测和知识产权风险审核等工作。</w:t>
      </w:r>
    </w:p>
    <w:p w14:paraId="0471BC0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二十、本单位承诺同意并配合贵公司进行网络安全审查，检查的内容包括但不限于网络安全检查项、计算环境安全检查项、开发流程检查项、提供或委托处理数据的数据处理行为检查项等方面。</w:t>
      </w:r>
    </w:p>
    <w:p w14:paraId="4E2CC25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二十一、本单位承诺按要求提供网络安全审查工作需要的材料，严格履行网络安全审查中作出的承诺。</w:t>
      </w:r>
    </w:p>
    <w:p w14:paraId="23035FB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二、本单位如出现任何违反上述承诺的情况，将依据合同承担责任，接受有关政府主管部门的处理（包括但不限于限期整改、公开曝光），并直接承担相应法律责任，造成财产损失的，由本单位直接赔偿。同时，贵公司有权在不通知本单位的情况下暂停履行合同直至解除合同并不承担任何责任，一切责任后果全部由本单位自行承担。给贵公司造成损失或不良影响的，本单位负责消除不良影响并赔偿贵公司相应损失。</w:t>
      </w:r>
    </w:p>
    <w:p w14:paraId="4CD52FE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三、如出现任何违反上述承诺的情况引发的投诉、举报，由本单位负责解决并承担责任。当接到通信主管部门、“12321网络不良与垃圾信息举报受理中心”等各类渠道投诉、举报时，贵公司有权在不通知本单位的情况下立即终止合同并不承担任何责任，一切责任后果全部由本单位自行承担。给贵公司造成损失或不良影响的，本单位负责消除不良影响并赔偿贵公司相应损失。</w:t>
      </w:r>
    </w:p>
    <w:p w14:paraId="4A0D128C">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二十四、本单位的信息安全责任人如下：</w:t>
      </w:r>
    </w:p>
    <w:p w14:paraId="0956BB9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、职务：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、联系方式：</w:t>
      </w:r>
      <w:r>
        <w:rPr>
          <w:rFonts w:hint="eastAsia" w:asciiTheme="minorEastAsia" w:hAnsiTheme="minorEastAsia" w:eastAsiaTheme="minorEastAsia"/>
          <w:color w:val="auto"/>
          <w:szCs w:val="21"/>
          <w:highlight w:val="none"/>
          <w:u w:val="single"/>
        </w:rPr>
        <w:t xml:space="preserve">                   </w:t>
      </w:r>
    </w:p>
    <w:p w14:paraId="0C07A80A">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二十五、本单位承诺要求并监督参与向贵公司提供产品或服务的本单位人员（“本单位人员”）履行本《网络及信息安全承诺书》项下的义务和责任，并对本单位人员的行为承担责任。</w:t>
      </w:r>
    </w:p>
    <w:p w14:paraId="2DFDB47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二十六、本承诺书经本单位签署后，与合同同时生效。</w:t>
      </w:r>
    </w:p>
    <w:p w14:paraId="5D9E3F7D">
      <w:pPr>
        <w:pStyle w:val="135"/>
        <w:snapToGrid w:val="0"/>
        <w:spacing w:line="440" w:lineRule="exact"/>
        <w:ind w:firstLine="0" w:firstLineChars="0"/>
        <w:rPr>
          <w:rFonts w:asciiTheme="minorEastAsia" w:hAnsiTheme="minorEastAsia" w:eastAsiaTheme="minorEastAsia"/>
          <w:color w:val="auto"/>
          <w:kern w:val="0"/>
          <w:szCs w:val="21"/>
          <w:highlight w:val="none"/>
        </w:rPr>
      </w:pPr>
    </w:p>
    <w:p w14:paraId="33C9317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承诺单位：</w:t>
      </w:r>
      <w:r>
        <w:rPr>
          <w:rFonts w:hint="eastAsia" w:asciiTheme="minorEastAsia" w:hAnsiTheme="minorEastAsia" w:eastAsiaTheme="minorEastAsia"/>
          <w:color w:val="auto"/>
          <w:szCs w:val="21"/>
          <w:highlight w:val="none"/>
          <w:u w:val="single"/>
        </w:rPr>
        <w:t xml:space="preserve">　　　　　　　　          </w:t>
      </w:r>
    </w:p>
    <w:p w14:paraId="7E9D48EC">
      <w:pPr>
        <w:spacing w:line="440" w:lineRule="exact"/>
        <w:ind w:firstLine="1058" w:firstLineChars="504"/>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41629E68">
      <w:pPr>
        <w:snapToGrid w:val="0"/>
        <w:spacing w:line="440" w:lineRule="exact"/>
        <w:ind w:firstLine="420" w:firstLineChars="200"/>
        <w:rPr>
          <w:rFonts w:asciiTheme="minorEastAsia" w:hAnsiTheme="minorEastAsia" w:eastAsiaTheme="minorEastAsia" w:cstheme="minorEastAsia"/>
          <w:color w:val="auto"/>
          <w:highlight w:val="none"/>
        </w:rPr>
      </w:pPr>
    </w:p>
    <w:p w14:paraId="58B031B7">
      <w:pPr>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编制要求：</w:t>
      </w:r>
    </w:p>
    <w:p w14:paraId="6C01A353">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1.代理商响应的，制造商和代理商须各自提供一份本承诺函。</w:t>
      </w:r>
    </w:p>
    <w:p w14:paraId="67A66E7B">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3510BD61">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3.除本文件允许供应商进行填写的内容以外，供应商不得对本文件进行修改。</w:t>
      </w:r>
    </w:p>
    <w:p w14:paraId="77778974">
      <w:pPr>
        <w:snapToGrid w:val="0"/>
        <w:spacing w:line="440" w:lineRule="exact"/>
        <w:rPr>
          <w:rFonts w:asciiTheme="minorEastAsia" w:hAnsiTheme="minorEastAsia" w:eastAsiaTheme="minorEastAsia"/>
          <w:color w:val="auto"/>
          <w:szCs w:val="21"/>
          <w:highlight w:val="none"/>
        </w:rPr>
      </w:pPr>
    </w:p>
    <w:p w14:paraId="710D40E6">
      <w:pPr>
        <w:widowControl/>
        <w:jc w:val="left"/>
        <w:rPr>
          <w:rFonts w:asciiTheme="minorEastAsia" w:hAnsiTheme="minorEastAsia" w:eastAsiaTheme="minorEastAsia"/>
          <w:b/>
          <w:bCs/>
          <w:color w:val="auto"/>
          <w:sz w:val="24"/>
          <w:highlight w:val="none"/>
        </w:rPr>
      </w:pPr>
      <w:bookmarkStart w:id="765" w:name="_Toc106784694"/>
      <w:r>
        <w:rPr>
          <w:rFonts w:asciiTheme="minorEastAsia" w:hAnsiTheme="minorEastAsia" w:eastAsiaTheme="minorEastAsia"/>
          <w:color w:val="auto"/>
          <w:sz w:val="24"/>
          <w:highlight w:val="none"/>
        </w:rPr>
        <w:br w:type="page"/>
      </w:r>
    </w:p>
    <w:bookmarkEnd w:id="759"/>
    <w:bookmarkEnd w:id="760"/>
    <w:bookmarkEnd w:id="761"/>
    <w:bookmarkEnd w:id="762"/>
    <w:bookmarkEnd w:id="763"/>
    <w:bookmarkEnd w:id="765"/>
    <w:p w14:paraId="479FDB30">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66" w:name="_Toc8615"/>
      <w:bookmarkStart w:id="767" w:name="_Toc28828"/>
      <w:bookmarkStart w:id="768" w:name="_Toc139026984"/>
      <w:bookmarkStart w:id="769" w:name="_Toc31898"/>
      <w:bookmarkStart w:id="770" w:name="_Toc38008095"/>
      <w:bookmarkStart w:id="771" w:name="_Toc475472687"/>
      <w:bookmarkStart w:id="772" w:name="_Toc447265617"/>
      <w:bookmarkStart w:id="773" w:name="_Toc447265331"/>
      <w:bookmarkStart w:id="774" w:name="_Toc19398"/>
      <w:r>
        <w:rPr>
          <w:rFonts w:hint="eastAsia" w:asciiTheme="minorEastAsia" w:hAnsiTheme="minorEastAsia" w:eastAsiaTheme="minorEastAsia"/>
          <w:color w:val="auto"/>
          <w:sz w:val="24"/>
          <w:szCs w:val="24"/>
          <w:highlight w:val="none"/>
        </w:rPr>
        <w:t>知识产权不侵权承诺函</w:t>
      </w:r>
      <w:bookmarkEnd w:id="766"/>
    </w:p>
    <w:p w14:paraId="5A8D60D4">
      <w:pPr>
        <w:ind w:firstLine="562"/>
        <w:jc w:val="center"/>
        <w:rPr>
          <w:rFonts w:asciiTheme="minorEastAsia" w:hAnsiTheme="minorEastAsia" w:eastAsiaTheme="minorEastAsia"/>
          <w:b/>
          <w:color w:val="auto"/>
          <w:sz w:val="24"/>
          <w:szCs w:val="30"/>
          <w:highlight w:val="none"/>
        </w:rPr>
      </w:pPr>
      <w:r>
        <w:rPr>
          <w:rFonts w:hint="eastAsia" w:asciiTheme="minorEastAsia" w:hAnsiTheme="minorEastAsia" w:eastAsiaTheme="minorEastAsia"/>
          <w:b/>
          <w:color w:val="auto"/>
          <w:sz w:val="24"/>
          <w:szCs w:val="30"/>
          <w:highlight w:val="none"/>
        </w:rPr>
        <w:t>知识产权不侵权承诺函</w:t>
      </w:r>
    </w:p>
    <w:p w14:paraId="773F2EB0">
      <w:pPr>
        <w:widowControl/>
        <w:spacing w:line="44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lang w:eastAsia="zh-CN"/>
        </w:rPr>
        <w:t>湖北信通通信有限公司</w:t>
      </w:r>
      <w:r>
        <w:rPr>
          <w:rFonts w:hint="eastAsia" w:asciiTheme="minorEastAsia" w:hAnsiTheme="minorEastAsia" w:eastAsiaTheme="minorEastAsia"/>
          <w:color w:val="auto"/>
          <w:szCs w:val="21"/>
          <w:highlight w:val="none"/>
        </w:rPr>
        <w:t>】：</w:t>
      </w:r>
    </w:p>
    <w:p w14:paraId="2D20E339">
      <w:pPr>
        <w:pStyle w:val="30"/>
        <w:spacing w:after="0" w:line="440" w:lineRule="exact"/>
        <w:ind w:left="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本单位郑重承诺遵守本知识产权不侵权承诺书，如违反，本单位承担由此带来的一切责任。</w:t>
      </w:r>
    </w:p>
    <w:p w14:paraId="2213943C">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就【（采购项目名称）】（“本项目”），本单位承诺按照询比文件及合同</w:t>
      </w:r>
      <w:r>
        <w:rPr>
          <w:rFonts w:asciiTheme="minorEastAsia" w:hAnsiTheme="minorEastAsia" w:eastAsiaTheme="minorEastAsia"/>
          <w:color w:val="auto"/>
          <w:kern w:val="0"/>
          <w:szCs w:val="21"/>
          <w:highlight w:val="none"/>
        </w:rPr>
        <w:t>/协议</w:t>
      </w:r>
      <w:r>
        <w:rPr>
          <w:rFonts w:hint="eastAsia" w:asciiTheme="minorEastAsia" w:hAnsiTheme="minorEastAsia" w:eastAsiaTheme="minorEastAsia"/>
          <w:color w:val="auto"/>
          <w:kern w:val="0"/>
          <w:szCs w:val="21"/>
          <w:highlight w:val="none"/>
        </w:rPr>
        <w:t>履行知识产权</w:t>
      </w:r>
      <w:r>
        <w:rPr>
          <w:rFonts w:hint="eastAsia" w:asciiTheme="minorEastAsia" w:hAnsiTheme="minorEastAsia" w:eastAsiaTheme="minorEastAsia"/>
          <w:color w:val="auto"/>
          <w:szCs w:val="21"/>
          <w:highlight w:val="none"/>
        </w:rPr>
        <w:t>相关义务和责任</w:t>
      </w:r>
      <w:r>
        <w:rPr>
          <w:rFonts w:hint="eastAsia" w:asciiTheme="minorEastAsia" w:hAnsiTheme="minorEastAsia" w:eastAsiaTheme="minorEastAsia"/>
          <w:color w:val="auto"/>
          <w:kern w:val="0"/>
          <w:szCs w:val="21"/>
          <w:highlight w:val="none"/>
        </w:rPr>
        <w:t>。</w:t>
      </w:r>
    </w:p>
    <w:p w14:paraId="5AB0B63C">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并保证，本项目参与询比的产品以及本单位向贵公司交付的所有项目产品相关成果（合称“项目标的”），本单位均享有合法的知识产权和所有权，或者已从相关权利人获得合法充分的授权。本单位按照本项目询比文件及合同/协议约定将项目标的交付给贵公司以及贵公司采购、占有、使用、收益和处分项目标的不侵犯任何第三方的权利和合法权益，包括但不限于商标、专利、著作权等知识产权、专利申请权和所有权。本单位承诺向贵公司提供真实、有效、合法的权利证明文件。</w:t>
      </w:r>
    </w:p>
    <w:p w14:paraId="45D2D79D">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本项目报价已包含了项目标的知识产权及所有权利的一切授权费用。本单位承诺按询比文件及</w:t>
      </w:r>
      <w:r>
        <w:rPr>
          <w:rFonts w:hint="eastAsia" w:asciiTheme="minorEastAsia" w:hAnsiTheme="minorEastAsia" w:eastAsiaTheme="minorEastAsia"/>
          <w:color w:val="auto"/>
          <w:szCs w:val="21"/>
          <w:highlight w:val="none"/>
        </w:rPr>
        <w:t>合同/协议</w:t>
      </w:r>
      <w:r>
        <w:rPr>
          <w:rFonts w:hint="eastAsia" w:asciiTheme="minorEastAsia" w:hAnsiTheme="minorEastAsia" w:eastAsiaTheme="minorEastAsia"/>
          <w:color w:val="auto"/>
          <w:kern w:val="0"/>
          <w:szCs w:val="21"/>
          <w:highlight w:val="none"/>
        </w:rPr>
        <w:t>约定向贵公司提供技术文档并提供技术支持。</w:t>
      </w:r>
    </w:p>
    <w:p w14:paraId="10712488">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如果有人提出法律或行政程序(合称“侵权指控”)，声称</w:t>
      </w:r>
      <w:r>
        <w:rPr>
          <w:rFonts w:hint="eastAsia" w:asciiTheme="minorEastAsia" w:hAnsiTheme="minorEastAsia" w:eastAsiaTheme="minorEastAsia"/>
          <w:color w:val="auto"/>
          <w:szCs w:val="21"/>
          <w:highlight w:val="none"/>
        </w:rPr>
        <w:t>贵公司或贵公司客户（含最终客户，下同）采购、占有、使用、收益或处分项目标的</w:t>
      </w:r>
      <w:r>
        <w:rPr>
          <w:rFonts w:hint="eastAsia" w:asciiTheme="minorEastAsia" w:hAnsiTheme="minorEastAsia" w:eastAsiaTheme="minorEastAsia"/>
          <w:color w:val="auto"/>
          <w:kern w:val="0"/>
          <w:szCs w:val="21"/>
          <w:highlight w:val="none"/>
        </w:rPr>
        <w:t>侵犯了其知识产权等合法权益的，由本单位负责解决，并赔偿</w:t>
      </w:r>
      <w:r>
        <w:rPr>
          <w:rFonts w:hint="eastAsia" w:asciiTheme="minorEastAsia" w:hAnsiTheme="minorEastAsia" w:eastAsiaTheme="minorEastAsia"/>
          <w:color w:val="auto"/>
          <w:szCs w:val="21"/>
          <w:highlight w:val="none"/>
        </w:rPr>
        <w:t>贵公司或贵公司客户</w:t>
      </w:r>
      <w:r>
        <w:rPr>
          <w:rFonts w:hint="eastAsia" w:asciiTheme="minorEastAsia" w:hAnsiTheme="minorEastAsia" w:eastAsiaTheme="minorEastAsia"/>
          <w:color w:val="auto"/>
          <w:kern w:val="0"/>
          <w:szCs w:val="21"/>
          <w:highlight w:val="none"/>
        </w:rPr>
        <w:t>就此所承担的一切损失和费用，包括但不限于上述侵权指控中所产生的诉讼费用、合理的律师费用、调查费用、和解金额或生效法律文书中规定的赔偿金额。</w:t>
      </w:r>
    </w:p>
    <w:p w14:paraId="6F936E97">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如果在侵权指控的审理过程中有关机关禁止贵公司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继续使用项目标的的部分或全部的，本单位承诺采取以下措施：</w:t>
      </w:r>
    </w:p>
    <w:p w14:paraId="1136891A">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免费获得使用项目标的的权利，或</w:t>
      </w:r>
    </w:p>
    <w:p w14:paraId="3C139644">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（2）免费更换或改造项目标的，使贵公司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不受上述禁令限制继续使用项目标的，或</w:t>
      </w:r>
    </w:p>
    <w:p w14:paraId="533828FC">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（3）其他使贵公司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对项目标的拥有合法使用权，或其他弥补贵公司或贵公司客户受损利益、实现合同目的的合理方式。</w:t>
      </w:r>
    </w:p>
    <w:p w14:paraId="50069DD3">
      <w:pPr>
        <w:pStyle w:val="146"/>
        <w:snapToGrid w:val="0"/>
        <w:spacing w:line="440" w:lineRule="exact"/>
        <w:ind w:firstLine="411" w:firstLineChars="196"/>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本单位采取上述措施不能免除本单位就贵公司和/或贵公司客户因此遭受的损失进行赔偿的义务。</w:t>
      </w:r>
    </w:p>
    <w:p w14:paraId="5D61224D">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本单位及本单位所代表的制造商（如有）、相关权利人（如有，相关权利人包括但不限于软件著作权权利人、商标权权利人、专利权权利人、专利申请权权利人，下同）接受最新的《供应商不良行为管理规则》的约束，贵公司有权按照《供应商不良行为管理规则》，对本单位和/或上述制造商、权利人进行不良行为管理和处理。</w:t>
      </w:r>
    </w:p>
    <w:p w14:paraId="7EE1FD54">
      <w:pPr>
        <w:numPr>
          <w:ilvl w:val="0"/>
          <w:numId w:val="47"/>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本单位承诺与本单位所代表的制造商（如有）、相关权利人（如有）参照签订此类《知识产权不侵权承诺函》，并督促上述制造商、权利人履行相应责任。否则，本单位承担连带责任。</w:t>
      </w:r>
    </w:p>
    <w:p w14:paraId="4BFD025E">
      <w:pPr>
        <w:widowControl/>
        <w:spacing w:line="440" w:lineRule="exact"/>
        <w:ind w:firstLine="420" w:firstLineChars="200"/>
        <w:jc w:val="left"/>
        <w:rPr>
          <w:rFonts w:asciiTheme="minorEastAsia" w:hAnsiTheme="minorEastAsia" w:eastAsiaTheme="minorEastAsia"/>
          <w:color w:val="auto"/>
          <w:kern w:val="0"/>
          <w:szCs w:val="21"/>
          <w:highlight w:val="none"/>
        </w:rPr>
      </w:pPr>
    </w:p>
    <w:p w14:paraId="271B9639">
      <w:pPr>
        <w:spacing w:line="440" w:lineRule="exact"/>
        <w:ind w:firstLine="424" w:firstLineChars="202"/>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承诺单位：</w:t>
      </w:r>
      <w:r>
        <w:rPr>
          <w:rFonts w:hint="eastAsia" w:asciiTheme="minorEastAsia" w:hAnsiTheme="minorEastAsia" w:eastAsiaTheme="minorEastAsia"/>
          <w:color w:val="auto"/>
          <w:szCs w:val="21"/>
          <w:highlight w:val="none"/>
          <w:u w:val="single"/>
        </w:rPr>
        <w:t xml:space="preserve">　　　　　　　　                  </w:t>
      </w:r>
    </w:p>
    <w:p w14:paraId="772AF4BC">
      <w:pPr>
        <w:spacing w:line="440" w:lineRule="exact"/>
        <w:ind w:firstLine="424" w:firstLineChars="202"/>
        <w:jc w:val="lef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15F8DA22">
      <w:pPr>
        <w:spacing w:line="440" w:lineRule="exact"/>
        <w:ind w:firstLine="424" w:firstLineChars="202"/>
        <w:jc w:val="left"/>
        <w:rPr>
          <w:rFonts w:cs="宋体" w:asciiTheme="minorEastAsia" w:hAnsiTheme="minorEastAsia" w:eastAsiaTheme="minorEastAsia"/>
          <w:color w:val="auto"/>
          <w:highlight w:val="none"/>
        </w:rPr>
      </w:pPr>
    </w:p>
    <w:p w14:paraId="5C0FC6D3">
      <w:pPr>
        <w:widowControl/>
        <w:jc w:val="left"/>
        <w:rPr>
          <w:rFonts w:asciiTheme="minorEastAsia" w:hAnsiTheme="minorEastAsia" w:eastAsiaTheme="minorEastAsia"/>
          <w:color w:val="auto"/>
          <w:sz w:val="24"/>
          <w:highlight w:val="none"/>
        </w:rPr>
      </w:pPr>
    </w:p>
    <w:p w14:paraId="4E792F8E">
      <w:pPr>
        <w:widowControl/>
        <w:jc w:val="left"/>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编制要求：</w:t>
      </w:r>
    </w:p>
    <w:p w14:paraId="31BF6AB5">
      <w:pPr>
        <w:widowControl/>
        <w:snapToGrid w:val="0"/>
        <w:spacing w:line="44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1.代理商响应的，制造商和代理商须各自提供一份本承诺函。</w:t>
      </w:r>
    </w:p>
    <w:p w14:paraId="61C7966C">
      <w:pPr>
        <w:widowControl/>
        <w:snapToGrid w:val="0"/>
        <w:spacing w:line="44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28AAE81C">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2F8E5C99">
      <w:pPr>
        <w:widowControl/>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br w:type="page"/>
      </w:r>
    </w:p>
    <w:p w14:paraId="1808482E">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75" w:name="_Toc28920"/>
      <w:r>
        <w:rPr>
          <w:rFonts w:hint="eastAsia" w:asciiTheme="minorEastAsia" w:hAnsiTheme="minorEastAsia" w:eastAsiaTheme="minorEastAsia"/>
          <w:color w:val="auto"/>
          <w:sz w:val="24"/>
          <w:szCs w:val="24"/>
          <w:highlight w:val="none"/>
        </w:rPr>
        <w:t>业绩情况表</w:t>
      </w:r>
      <w:bookmarkEnd w:id="767"/>
      <w:bookmarkEnd w:id="768"/>
      <w:bookmarkEnd w:id="769"/>
      <w:bookmarkEnd w:id="770"/>
      <w:bookmarkEnd w:id="771"/>
      <w:bookmarkEnd w:id="775"/>
    </w:p>
    <w:p w14:paraId="51DE2418">
      <w:pPr>
        <w:pStyle w:val="102"/>
        <w:ind w:firstLine="0" w:firstLineChars="0"/>
        <w:jc w:val="center"/>
        <w:rPr>
          <w:rFonts w:asciiTheme="minorEastAsia" w:hAnsiTheme="minorEastAsia" w:eastAsiaTheme="minorEastAsia"/>
          <w:b/>
          <w:color w:val="auto"/>
          <w:sz w:val="24"/>
          <w:highlight w:val="none"/>
        </w:rPr>
      </w:pPr>
    </w:p>
    <w:bookmarkEnd w:id="772"/>
    <w:bookmarkEnd w:id="773"/>
    <w:p w14:paraId="15DECEBF">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近年（202</w:t>
      </w:r>
      <w:r>
        <w:rPr>
          <w:rFonts w:hint="eastAsia" w:asciiTheme="minorEastAsia" w:hAnsiTheme="minorEastAsia" w:eastAsiaTheme="minorEastAsia"/>
          <w:b/>
          <w:color w:val="auto"/>
          <w:sz w:val="24"/>
          <w:highlight w:val="none"/>
          <w:lang w:val="en-US" w:eastAsia="zh-CN"/>
        </w:rPr>
        <w:t>3</w:t>
      </w:r>
      <w:r>
        <w:rPr>
          <w:rFonts w:hint="eastAsia" w:asciiTheme="minorEastAsia" w:hAnsiTheme="minorEastAsia" w:eastAsiaTheme="minorEastAsia"/>
          <w:b/>
          <w:color w:val="auto"/>
          <w:sz w:val="24"/>
          <w:highlight w:val="none"/>
        </w:rPr>
        <w:t>年1月1日至响应截止时间）类似项目业绩情况表</w:t>
      </w:r>
    </w:p>
    <w:tbl>
      <w:tblPr>
        <w:tblStyle w:val="78"/>
        <w:tblW w:w="9415" w:type="dxa"/>
        <w:jc w:val="center"/>
        <w:tblLayout w:type="fixed"/>
        <w:tblCellMar>
          <w:top w:w="0" w:type="dxa"/>
          <w:left w:w="108" w:type="dxa"/>
          <w:bottom w:w="0" w:type="dxa"/>
          <w:right w:w="108" w:type="dxa"/>
        </w:tblCellMar>
      </w:tblPr>
      <w:tblGrid>
        <w:gridCol w:w="596"/>
        <w:gridCol w:w="965"/>
        <w:gridCol w:w="1143"/>
        <w:gridCol w:w="791"/>
        <w:gridCol w:w="1405"/>
        <w:gridCol w:w="1396"/>
        <w:gridCol w:w="1698"/>
        <w:gridCol w:w="1421"/>
      </w:tblGrid>
      <w:tr w14:paraId="362B0AE9">
        <w:tblPrEx>
          <w:tblCellMar>
            <w:top w:w="0" w:type="dxa"/>
            <w:left w:w="108" w:type="dxa"/>
            <w:bottom w:w="0" w:type="dxa"/>
            <w:right w:w="108" w:type="dxa"/>
          </w:tblCellMar>
        </w:tblPrEx>
        <w:trPr>
          <w:cantSplit/>
          <w:trHeight w:val="779"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222B8B5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965" w:type="dxa"/>
            <w:tcBorders>
              <w:top w:val="single" w:color="auto" w:sz="6" w:space="0"/>
              <w:left w:val="single" w:color="auto" w:sz="6" w:space="0"/>
              <w:bottom w:val="single" w:color="auto" w:sz="6" w:space="0"/>
              <w:right w:val="single" w:color="auto" w:sz="6" w:space="0"/>
            </w:tcBorders>
            <w:vAlign w:val="center"/>
          </w:tcPr>
          <w:p w14:paraId="7362E3A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甲方名称</w:t>
            </w:r>
          </w:p>
        </w:tc>
        <w:tc>
          <w:tcPr>
            <w:tcW w:w="1143" w:type="dxa"/>
            <w:tcBorders>
              <w:top w:val="single" w:color="auto" w:sz="6" w:space="0"/>
              <w:left w:val="single" w:color="auto" w:sz="6" w:space="0"/>
              <w:bottom w:val="single" w:color="auto" w:sz="6" w:space="0"/>
              <w:right w:val="single" w:color="auto" w:sz="6" w:space="0"/>
            </w:tcBorders>
            <w:vAlign w:val="center"/>
          </w:tcPr>
          <w:p w14:paraId="2B404E8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项目名称</w:t>
            </w:r>
          </w:p>
        </w:tc>
        <w:tc>
          <w:tcPr>
            <w:tcW w:w="791" w:type="dxa"/>
            <w:tcBorders>
              <w:top w:val="single" w:color="auto" w:sz="6" w:space="0"/>
              <w:left w:val="single" w:color="auto" w:sz="6" w:space="0"/>
              <w:bottom w:val="single" w:color="auto" w:sz="6" w:space="0"/>
              <w:right w:val="single" w:color="auto" w:sz="6" w:space="0"/>
            </w:tcBorders>
            <w:vAlign w:val="center"/>
          </w:tcPr>
          <w:p w14:paraId="1EE1DA3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类别</w:t>
            </w:r>
          </w:p>
        </w:tc>
        <w:tc>
          <w:tcPr>
            <w:tcW w:w="1405" w:type="dxa"/>
            <w:tcBorders>
              <w:top w:val="single" w:color="auto" w:sz="6" w:space="0"/>
              <w:left w:val="single" w:color="auto" w:sz="6" w:space="0"/>
              <w:bottom w:val="single" w:color="auto" w:sz="6" w:space="0"/>
              <w:right w:val="single" w:color="auto" w:sz="6" w:space="0"/>
            </w:tcBorders>
            <w:vAlign w:val="center"/>
          </w:tcPr>
          <w:p w14:paraId="5939342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合同总额</w:t>
            </w:r>
          </w:p>
          <w:p w14:paraId="112B06F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（万元）</w:t>
            </w:r>
          </w:p>
        </w:tc>
        <w:tc>
          <w:tcPr>
            <w:tcW w:w="1396" w:type="dxa"/>
            <w:tcBorders>
              <w:top w:val="single" w:color="auto" w:sz="6" w:space="0"/>
              <w:left w:val="single" w:color="auto" w:sz="6" w:space="0"/>
              <w:bottom w:val="single" w:color="auto" w:sz="6" w:space="0"/>
              <w:right w:val="single" w:color="auto" w:sz="6" w:space="0"/>
            </w:tcBorders>
            <w:vAlign w:val="center"/>
          </w:tcPr>
          <w:p w14:paraId="1A0D986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甲方联系人</w:t>
            </w:r>
          </w:p>
        </w:tc>
        <w:tc>
          <w:tcPr>
            <w:tcW w:w="1698" w:type="dxa"/>
            <w:tcBorders>
              <w:top w:val="single" w:color="auto" w:sz="6" w:space="0"/>
              <w:left w:val="single" w:color="auto" w:sz="6" w:space="0"/>
              <w:bottom w:val="single" w:color="auto" w:sz="6" w:space="0"/>
              <w:right w:val="single" w:color="auto" w:sz="6" w:space="0"/>
            </w:tcBorders>
            <w:vAlign w:val="center"/>
          </w:tcPr>
          <w:p w14:paraId="58F93CF3">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联系电话</w:t>
            </w:r>
          </w:p>
        </w:tc>
        <w:tc>
          <w:tcPr>
            <w:tcW w:w="1421" w:type="dxa"/>
            <w:tcBorders>
              <w:top w:val="single" w:color="auto" w:sz="6" w:space="0"/>
              <w:left w:val="single" w:color="auto" w:sz="6" w:space="0"/>
              <w:right w:val="single" w:color="auto" w:sz="6" w:space="0"/>
            </w:tcBorders>
            <w:vAlign w:val="center"/>
          </w:tcPr>
          <w:p w14:paraId="31347983">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证明材料对应页码</w:t>
            </w:r>
          </w:p>
        </w:tc>
      </w:tr>
      <w:tr w14:paraId="1AE654DF">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6BB9D55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68B63A8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270B085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3FD134A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0334CB7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5D107DF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6FA2354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6A0DC49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50091FD6">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23AC9EF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2587968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27ADC06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40A19E0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57C2968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42F93831">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1115A9A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5A984C32">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68D970E4">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1A731CD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0AD6E35B">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732196F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4E1B7D0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11077E2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6A232F1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226835F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76AC8D2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5129AEC5">
        <w:tblPrEx>
          <w:tblCellMar>
            <w:top w:w="0" w:type="dxa"/>
            <w:left w:w="108" w:type="dxa"/>
            <w:bottom w:w="0" w:type="dxa"/>
            <w:right w:w="108" w:type="dxa"/>
          </w:tblCellMar>
        </w:tblPrEx>
        <w:trPr>
          <w:trHeight w:val="449"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47D03C3E">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58D10A42">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合计</w:t>
            </w:r>
          </w:p>
        </w:tc>
        <w:tc>
          <w:tcPr>
            <w:tcW w:w="1143" w:type="dxa"/>
            <w:tcBorders>
              <w:top w:val="single" w:color="auto" w:sz="6" w:space="0"/>
              <w:left w:val="single" w:color="auto" w:sz="6" w:space="0"/>
              <w:bottom w:val="single" w:color="auto" w:sz="6" w:space="0"/>
              <w:right w:val="single" w:color="auto" w:sz="6" w:space="0"/>
            </w:tcBorders>
            <w:vAlign w:val="center"/>
          </w:tcPr>
          <w:p w14:paraId="4A53445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59C1C7CD">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7E6084C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3811607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31245D48">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1D66692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bl>
    <w:p w14:paraId="4FB1028B">
      <w:pPr>
        <w:pStyle w:val="102"/>
        <w:ind w:firstLine="0" w:firstLineChars="0"/>
        <w:jc w:val="center"/>
        <w:rPr>
          <w:rFonts w:asciiTheme="minorEastAsia" w:hAnsiTheme="minorEastAsia" w:eastAsiaTheme="minorEastAsia"/>
          <w:b/>
          <w:color w:val="auto"/>
          <w:sz w:val="24"/>
          <w:highlight w:val="none"/>
        </w:rPr>
      </w:pPr>
    </w:p>
    <w:p w14:paraId="7959D9B8">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964B0E0">
      <w:pPr>
        <w:spacing w:line="440" w:lineRule="exact"/>
        <w:ind w:firstLine="1274" w:firstLineChars="607"/>
        <w:jc w:val="lef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90A09B4">
      <w:pPr>
        <w:numPr>
          <w:ilvl w:val="0"/>
          <w:numId w:val="0"/>
        </w:numPr>
        <w:topLinePunct/>
        <w:spacing w:line="440" w:lineRule="exact"/>
        <w:ind w:leftChars="0"/>
        <w:jc w:val="left"/>
        <w:rPr>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cs="Times New Roman" w:asciiTheme="minorEastAsia" w:hAnsiTheme="minorEastAsia" w:eastAsiaTheme="minorEastAsia"/>
          <w:color w:val="auto"/>
          <w:szCs w:val="21"/>
          <w:highlight w:val="none"/>
          <w:lang w:val="en-US" w:eastAsia="zh-CN"/>
        </w:rPr>
        <w:t>业绩</w:t>
      </w:r>
      <w:r>
        <w:rPr>
          <w:rFonts w:hint="eastAsia" w:cs="Times New Roman" w:asciiTheme="minorEastAsia" w:hAnsiTheme="minorEastAsia" w:eastAsiaTheme="minorEastAsia"/>
          <w:color w:val="auto"/>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bookmarkEnd w:id="774"/>
    <w:p w14:paraId="4D3C94D5">
      <w:pPr>
        <w:pStyle w:val="74"/>
        <w:numPr>
          <w:ilvl w:val="0"/>
          <w:numId w:val="39"/>
        </w:numPr>
        <w:tabs>
          <w:tab w:val="left" w:pos="588"/>
        </w:tabs>
        <w:snapToGrid w:val="0"/>
        <w:spacing w:before="120" w:after="120" w:line="440" w:lineRule="exact"/>
        <w:ind w:left="635" w:leftChars="0" w:firstLineChars="0"/>
        <w:jc w:val="left"/>
        <w:outlineLvl w:val="1"/>
        <w:rPr>
          <w:rFonts w:hint="eastAsia" w:asciiTheme="minorEastAsia" w:hAnsiTheme="minorEastAsia" w:eastAsiaTheme="minorEastAsia"/>
          <w:color w:val="auto"/>
          <w:sz w:val="24"/>
          <w:szCs w:val="24"/>
          <w:highlight w:val="none"/>
        </w:rPr>
      </w:pPr>
      <w:bookmarkStart w:id="776" w:name="_Toc183078667"/>
      <w:bookmarkStart w:id="777" w:name="_Toc174649891"/>
      <w:bookmarkStart w:id="778" w:name="_Toc4318"/>
      <w:bookmarkStart w:id="779" w:name="_Toc183621546"/>
      <w:bookmarkStart w:id="780" w:name="_Toc181908374"/>
      <w:bookmarkStart w:id="781" w:name="_Toc183005141"/>
      <w:bookmarkStart w:id="782" w:name="_Toc11934"/>
      <w:bookmarkStart w:id="783" w:name="_Toc28202"/>
      <w:r>
        <w:rPr>
          <w:rFonts w:hint="eastAsia" w:asciiTheme="minorEastAsia" w:hAnsiTheme="minorEastAsia" w:eastAsiaTheme="minorEastAsia"/>
          <w:color w:val="auto"/>
          <w:sz w:val="24"/>
          <w:szCs w:val="24"/>
          <w:highlight w:val="none"/>
          <w:lang w:val="en-US" w:eastAsia="zh-CN"/>
        </w:rPr>
        <w:t>要求供应商</w:t>
      </w:r>
      <w:r>
        <w:rPr>
          <w:rFonts w:hint="eastAsia" w:asciiTheme="minorEastAsia" w:hAnsiTheme="minorEastAsia" w:eastAsiaTheme="minorEastAsia"/>
          <w:color w:val="auto"/>
          <w:sz w:val="24"/>
          <w:szCs w:val="24"/>
          <w:highlight w:val="none"/>
        </w:rPr>
        <w:t>提供的其他商务文件</w:t>
      </w:r>
      <w:bookmarkEnd w:id="776"/>
      <w:bookmarkEnd w:id="777"/>
      <w:bookmarkEnd w:id="778"/>
      <w:bookmarkEnd w:id="779"/>
      <w:bookmarkEnd w:id="780"/>
      <w:bookmarkEnd w:id="781"/>
    </w:p>
    <w:p w14:paraId="64CAF478">
      <w:pPr>
        <w:rPr>
          <w:rFonts w:ascii="宋体" w:hAnsi="宋体"/>
          <w:color w:val="auto"/>
          <w:highlight w:val="none"/>
        </w:rPr>
      </w:pPr>
    </w:p>
    <w:p w14:paraId="1DFBE46E">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w:t>
      </w:r>
      <w:r>
        <w:rPr>
          <w:rFonts w:hint="eastAsia" w:ascii="宋体" w:hAnsi="宋体" w:cs="楷体_GB2312"/>
          <w:color w:val="auto"/>
          <w:szCs w:val="21"/>
          <w:highlight w:val="none"/>
          <w:lang w:val="en-US" w:eastAsia="zh-CN"/>
        </w:rPr>
        <w:t>一</w:t>
      </w:r>
      <w:r>
        <w:rPr>
          <w:rFonts w:hint="eastAsia" w:ascii="宋体" w:hAnsi="宋体" w:cs="楷体_GB2312"/>
          <w:color w:val="auto"/>
          <w:szCs w:val="21"/>
          <w:highlight w:val="none"/>
        </w:rPr>
        <w:t>）行贿犯罪和合同诈骗档案查询</w:t>
      </w:r>
    </w:p>
    <w:p w14:paraId="0CD88808">
      <w:pPr>
        <w:spacing w:line="360" w:lineRule="auto"/>
        <w:rPr>
          <w:rFonts w:ascii="宋体" w:hAnsi="宋体" w:cs="楷体_GB2312"/>
          <w:color w:val="auto"/>
          <w:szCs w:val="21"/>
          <w:highlight w:val="none"/>
        </w:rPr>
      </w:pP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自行到中国裁判文书网（http://wenshu.court.gov.cn/）查询本单位近5年内（</w:t>
      </w:r>
      <w:r>
        <w:rPr>
          <w:rFonts w:hint="default" w:ascii="宋体" w:hAnsi="宋体" w:eastAsia="宋体" w:cs="Times New Roman"/>
          <w:color w:val="auto"/>
          <w:kern w:val="2"/>
          <w:sz w:val="21"/>
          <w:szCs w:val="21"/>
          <w:highlight w:val="none"/>
          <w:lang w:val="en-US" w:eastAsia="zh-CN" w:bidi="ar-SA"/>
        </w:rPr>
        <w:t>自2021年</w:t>
      </w:r>
      <w:r>
        <w:rPr>
          <w:rFonts w:hint="eastAsia" w:ascii="宋体" w:hAnsi="宋体" w:cs="Times New Roman"/>
          <w:color w:val="auto"/>
          <w:kern w:val="2"/>
          <w:sz w:val="21"/>
          <w:szCs w:val="21"/>
          <w:highlight w:val="none"/>
          <w:lang w:val="en-US" w:eastAsia="zh-CN" w:bidi="ar-SA"/>
        </w:rPr>
        <w:t>4月1日</w:t>
      </w:r>
      <w:r>
        <w:rPr>
          <w:rFonts w:hint="default" w:ascii="宋体" w:hAnsi="宋体" w:eastAsia="宋体" w:cs="Times New Roman"/>
          <w:color w:val="auto"/>
          <w:kern w:val="2"/>
          <w:sz w:val="21"/>
          <w:szCs w:val="21"/>
          <w:highlight w:val="none"/>
          <w:lang w:val="en-US" w:eastAsia="zh-CN" w:bidi="ar-SA"/>
        </w:rPr>
        <w:t>起</w:t>
      </w:r>
      <w:r>
        <w:rPr>
          <w:rFonts w:hint="eastAsia" w:ascii="宋体" w:hAnsi="宋体" w:cs="楷体_GB2312"/>
          <w:color w:val="auto"/>
          <w:szCs w:val="21"/>
          <w:highlight w:val="none"/>
        </w:rPr>
        <w:t>）被判处单位行贿罪，且行贿行为与采购活动相关的记录；以及本单位近5年内（</w:t>
      </w:r>
      <w:r>
        <w:rPr>
          <w:rFonts w:hint="default" w:ascii="宋体" w:hAnsi="宋体" w:eastAsia="宋体" w:cs="Times New Roman"/>
          <w:color w:val="auto"/>
          <w:kern w:val="2"/>
          <w:sz w:val="21"/>
          <w:szCs w:val="21"/>
          <w:highlight w:val="none"/>
          <w:lang w:val="en-US" w:eastAsia="zh-CN" w:bidi="ar-SA"/>
        </w:rPr>
        <w:t>自2021年</w:t>
      </w:r>
      <w:r>
        <w:rPr>
          <w:rFonts w:hint="eastAsia" w:ascii="宋体" w:hAnsi="宋体" w:cs="Times New Roman"/>
          <w:color w:val="auto"/>
          <w:kern w:val="2"/>
          <w:sz w:val="21"/>
          <w:szCs w:val="21"/>
          <w:highlight w:val="none"/>
          <w:lang w:val="en-US" w:eastAsia="zh-CN" w:bidi="ar-SA"/>
        </w:rPr>
        <w:t>4月1日</w:t>
      </w:r>
      <w:r>
        <w:rPr>
          <w:rFonts w:hint="default" w:ascii="宋体" w:hAnsi="宋体" w:eastAsia="宋体" w:cs="Times New Roman"/>
          <w:color w:val="auto"/>
          <w:kern w:val="2"/>
          <w:sz w:val="21"/>
          <w:szCs w:val="21"/>
          <w:highlight w:val="none"/>
          <w:lang w:val="en-US" w:eastAsia="zh-CN" w:bidi="ar-SA"/>
        </w:rPr>
        <w:t>起</w:t>
      </w:r>
      <w:r>
        <w:rPr>
          <w:rFonts w:hint="eastAsia" w:ascii="宋体" w:hAnsi="宋体" w:cs="楷体_GB2312"/>
          <w:color w:val="auto"/>
          <w:szCs w:val="21"/>
          <w:highlight w:val="none"/>
        </w:rPr>
        <w:t>）被判处合同诈骗罪的并将查询记录。将截图复印件附在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63208893">
      <w:pPr>
        <w:spacing w:line="360" w:lineRule="auto"/>
        <w:rPr>
          <w:rFonts w:ascii="宋体" w:hAnsi="宋体" w:cs="楷体_GB2312"/>
          <w:color w:val="auto"/>
          <w:szCs w:val="21"/>
          <w:highlight w:val="none"/>
        </w:rPr>
      </w:pPr>
    </w:p>
    <w:p w14:paraId="046E5A26">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w:t>
      </w:r>
      <w:r>
        <w:rPr>
          <w:rFonts w:hint="eastAsia" w:ascii="宋体" w:hAnsi="宋体" w:cs="楷体_GB2312"/>
          <w:color w:val="auto"/>
          <w:szCs w:val="21"/>
          <w:highlight w:val="none"/>
          <w:lang w:val="en-US" w:eastAsia="zh-CN"/>
        </w:rPr>
        <w:t>二</w:t>
      </w:r>
      <w:r>
        <w:rPr>
          <w:rFonts w:hint="eastAsia" w:ascii="宋体" w:hAnsi="宋体" w:cs="楷体_GB2312"/>
          <w:color w:val="auto"/>
          <w:szCs w:val="21"/>
          <w:highlight w:val="none"/>
        </w:rPr>
        <w:t>）失信被执行人及严重违法失信企业查询结果</w:t>
      </w:r>
    </w:p>
    <w:p w14:paraId="3D8F555B">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1、</w:t>
      </w: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自行通过“信用中国”网站（www.creditchina.gov.cn）查询申请人是否为失信被执行人，并将查询结果截图附在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40055571">
      <w:pPr>
        <w:spacing w:line="360" w:lineRule="auto"/>
        <w:rPr>
          <w:rFonts w:hint="eastAsia" w:ascii="宋体" w:hAnsi="宋体" w:cs="楷体_GB2312"/>
          <w:color w:val="auto"/>
          <w:szCs w:val="21"/>
          <w:highlight w:val="none"/>
        </w:rPr>
      </w:pPr>
      <w:r>
        <w:rPr>
          <w:rFonts w:hint="eastAsia" w:ascii="宋体" w:hAnsi="宋体" w:cs="楷体_GB2312"/>
          <w:color w:val="auto"/>
          <w:szCs w:val="21"/>
          <w:highlight w:val="none"/>
        </w:rPr>
        <w:t>2、</w:t>
      </w: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自行通过“国家企业信用信息公示系统”查询投标人是否列入严重违法失信企业名单，并将查询结果截图附在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710B9473">
      <w:pPr>
        <w:pStyle w:val="49"/>
        <w:rPr>
          <w:color w:val="auto"/>
          <w:highlight w:val="none"/>
        </w:rPr>
      </w:pPr>
    </w:p>
    <w:p w14:paraId="739C2E64">
      <w:pPr>
        <w:pStyle w:val="5"/>
        <w:rPr>
          <w:rFonts w:asciiTheme="minorEastAsia" w:hAnsiTheme="minorEastAsia" w:eastAsiaTheme="minorEastAsia"/>
          <w:color w:val="auto"/>
          <w:sz w:val="21"/>
          <w:szCs w:val="21"/>
          <w:highlight w:val="none"/>
        </w:rPr>
      </w:pPr>
    </w:p>
    <w:p w14:paraId="60615A84">
      <w:pPr>
        <w:pStyle w:val="5"/>
        <w:rPr>
          <w:rFonts w:asciiTheme="minorEastAsia" w:hAnsiTheme="minorEastAsia" w:eastAsiaTheme="minorEastAsia"/>
          <w:color w:val="auto"/>
          <w:sz w:val="21"/>
          <w:szCs w:val="21"/>
          <w:highlight w:val="none"/>
        </w:rPr>
      </w:pPr>
    </w:p>
    <w:p w14:paraId="3B058ABE">
      <w:pPr>
        <w:pStyle w:val="5"/>
        <w:rPr>
          <w:rFonts w:asciiTheme="minorEastAsia" w:hAnsiTheme="minorEastAsia" w:eastAsiaTheme="minorEastAsia"/>
          <w:color w:val="auto"/>
          <w:sz w:val="21"/>
          <w:szCs w:val="21"/>
          <w:highlight w:val="none"/>
        </w:rPr>
      </w:pPr>
    </w:p>
    <w:p w14:paraId="1FB5444D">
      <w:pPr>
        <w:pStyle w:val="5"/>
        <w:rPr>
          <w:rFonts w:asciiTheme="minorEastAsia" w:hAnsiTheme="minorEastAsia" w:eastAsiaTheme="minorEastAsia"/>
          <w:color w:val="auto"/>
          <w:sz w:val="21"/>
          <w:szCs w:val="21"/>
          <w:highlight w:val="none"/>
        </w:rPr>
      </w:pPr>
    </w:p>
    <w:bookmarkEnd w:id="782"/>
    <w:bookmarkEnd w:id="783"/>
    <w:p w14:paraId="1BB5E410">
      <w:pPr>
        <w:rPr>
          <w:rFonts w:hint="eastAsia" w:asciiTheme="minorEastAsia" w:hAnsiTheme="minorEastAsia" w:eastAsiaTheme="minorEastAsia"/>
          <w:color w:val="auto"/>
          <w:sz w:val="24"/>
          <w:szCs w:val="24"/>
          <w:highlight w:val="none"/>
        </w:rPr>
      </w:pPr>
      <w:bookmarkStart w:id="784" w:name="_Toc3363"/>
      <w:bookmarkStart w:id="785" w:name="_Toc11303"/>
      <w:bookmarkStart w:id="786" w:name="_Toc38008097"/>
      <w:bookmarkStart w:id="787" w:name="_Toc139026986"/>
      <w:bookmarkStart w:id="788" w:name="_Toc14288"/>
      <w:bookmarkStart w:id="789" w:name="_Toc5673"/>
      <w:r>
        <w:rPr>
          <w:rFonts w:hint="eastAsia" w:asciiTheme="minorEastAsia" w:hAnsiTheme="minorEastAsia" w:eastAsiaTheme="minorEastAsia"/>
          <w:color w:val="auto"/>
          <w:sz w:val="24"/>
          <w:szCs w:val="24"/>
          <w:highlight w:val="none"/>
        </w:rPr>
        <w:br w:type="page"/>
      </w:r>
    </w:p>
    <w:p w14:paraId="1D5081BC">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第二分册 技术响应文件</w:t>
      </w:r>
      <w:bookmarkEnd w:id="784"/>
      <w:bookmarkEnd w:id="785"/>
      <w:bookmarkEnd w:id="786"/>
      <w:bookmarkEnd w:id="787"/>
      <w:bookmarkEnd w:id="788"/>
    </w:p>
    <w:p w14:paraId="504435A9">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0" w:name="_Toc18293"/>
      <w:r>
        <w:rPr>
          <w:rFonts w:hint="eastAsia" w:asciiTheme="minorEastAsia" w:hAnsiTheme="minorEastAsia" w:eastAsiaTheme="minorEastAsia"/>
          <w:color w:val="auto"/>
          <w:sz w:val="24"/>
          <w:szCs w:val="24"/>
          <w:highlight w:val="none"/>
        </w:rPr>
        <w:t>技术响应文件封面</w:t>
      </w:r>
      <w:bookmarkEnd w:id="764"/>
      <w:bookmarkEnd w:id="789"/>
      <w:bookmarkEnd w:id="790"/>
    </w:p>
    <w:p w14:paraId="4BE987B9">
      <w:pPr>
        <w:spacing w:after="120" w:line="360" w:lineRule="atLeast"/>
        <w:jc w:val="center"/>
        <w:rPr>
          <w:rFonts w:cs="宋体" w:asciiTheme="minorEastAsia" w:hAnsiTheme="minorEastAsia" w:eastAsiaTheme="minorEastAsia"/>
          <w:color w:val="auto"/>
          <w:sz w:val="32"/>
          <w:szCs w:val="32"/>
          <w:highlight w:val="none"/>
          <w:u w:val="single"/>
        </w:rPr>
      </w:pPr>
    </w:p>
    <w:p w14:paraId="1689BD1E">
      <w:pPr>
        <w:spacing w:after="120" w:line="360" w:lineRule="atLeast"/>
        <w:jc w:val="center"/>
        <w:rPr>
          <w:rFonts w:cs="宋体" w:asciiTheme="minorEastAsia" w:hAnsiTheme="minorEastAsia" w:eastAsiaTheme="minorEastAsia"/>
          <w:color w:val="auto"/>
          <w:sz w:val="32"/>
          <w:szCs w:val="32"/>
          <w:highlight w:val="none"/>
          <w:u w:val="single"/>
        </w:rPr>
      </w:pPr>
    </w:p>
    <w:p w14:paraId="3273569C">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3B3E4D80">
      <w:pPr>
        <w:jc w:val="center"/>
        <w:rPr>
          <w:rFonts w:cs="宋体" w:asciiTheme="minorEastAsia" w:hAnsiTheme="minorEastAsia" w:eastAsiaTheme="minorEastAsia"/>
          <w:color w:val="auto"/>
          <w:sz w:val="28"/>
          <w:szCs w:val="28"/>
          <w:highlight w:val="none"/>
        </w:rPr>
      </w:pPr>
    </w:p>
    <w:p w14:paraId="0E654253">
      <w:pPr>
        <w:jc w:val="center"/>
        <w:rPr>
          <w:rFonts w:cs="宋体" w:asciiTheme="minorEastAsia" w:hAnsiTheme="minorEastAsia" w:eastAsiaTheme="minorEastAsia"/>
          <w:color w:val="auto"/>
          <w:szCs w:val="21"/>
          <w:highlight w:val="none"/>
        </w:rPr>
      </w:pPr>
    </w:p>
    <w:p w14:paraId="05E0BCEF">
      <w:pPr>
        <w:jc w:val="center"/>
        <w:rPr>
          <w:rFonts w:cs="宋体" w:asciiTheme="minorEastAsia" w:hAnsiTheme="minorEastAsia" w:eastAsiaTheme="minorEastAsia"/>
          <w:color w:val="auto"/>
          <w:szCs w:val="21"/>
          <w:highlight w:val="none"/>
        </w:rPr>
      </w:pPr>
    </w:p>
    <w:p w14:paraId="1C14EA0D">
      <w:pPr>
        <w:jc w:val="center"/>
        <w:rPr>
          <w:rFonts w:cs="宋体" w:asciiTheme="minorEastAsia" w:hAnsiTheme="minorEastAsia" w:eastAsiaTheme="minorEastAsia"/>
          <w:color w:val="auto"/>
          <w:szCs w:val="21"/>
          <w:highlight w:val="none"/>
        </w:rPr>
      </w:pPr>
    </w:p>
    <w:p w14:paraId="4C26701F">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响应文件【技术响应文件】部分</w:t>
      </w:r>
    </w:p>
    <w:p w14:paraId="2F8D156A">
      <w:pPr>
        <w:spacing w:after="120"/>
        <w:jc w:val="center"/>
        <w:rPr>
          <w:rFonts w:cs="宋体" w:asciiTheme="minorEastAsia" w:hAnsiTheme="minorEastAsia" w:eastAsiaTheme="minorEastAsia"/>
          <w:b/>
          <w:color w:val="auto"/>
          <w:sz w:val="32"/>
          <w:szCs w:val="32"/>
          <w:highlight w:val="none"/>
        </w:rPr>
      </w:pPr>
    </w:p>
    <w:p w14:paraId="2E923261">
      <w:pPr>
        <w:spacing w:after="120"/>
        <w:jc w:val="center"/>
        <w:rPr>
          <w:rFonts w:cs="宋体" w:asciiTheme="minorEastAsia" w:hAnsiTheme="minorEastAsia" w:eastAsiaTheme="minorEastAsia"/>
          <w:b/>
          <w:color w:val="auto"/>
          <w:sz w:val="32"/>
          <w:szCs w:val="32"/>
          <w:highlight w:val="none"/>
        </w:rPr>
      </w:pPr>
    </w:p>
    <w:p w14:paraId="576CC7F0">
      <w:pPr>
        <w:spacing w:after="120"/>
        <w:jc w:val="center"/>
        <w:rPr>
          <w:rFonts w:cs="宋体" w:asciiTheme="minorEastAsia" w:hAnsiTheme="minorEastAsia" w:eastAsiaTheme="minorEastAsia"/>
          <w:b/>
          <w:color w:val="auto"/>
          <w:sz w:val="32"/>
          <w:szCs w:val="32"/>
          <w:highlight w:val="none"/>
        </w:rPr>
      </w:pPr>
    </w:p>
    <w:p w14:paraId="0F9356FD">
      <w:pPr>
        <w:spacing w:after="120"/>
        <w:jc w:val="center"/>
        <w:rPr>
          <w:rFonts w:cs="宋体" w:asciiTheme="minorEastAsia" w:hAnsiTheme="minorEastAsia" w:eastAsiaTheme="minorEastAsia"/>
          <w:b/>
          <w:color w:val="auto"/>
          <w:sz w:val="32"/>
          <w:szCs w:val="32"/>
          <w:highlight w:val="none"/>
        </w:rPr>
      </w:pPr>
    </w:p>
    <w:p w14:paraId="0D848B89">
      <w:pPr>
        <w:spacing w:after="120"/>
        <w:jc w:val="center"/>
        <w:rPr>
          <w:rFonts w:cs="宋体" w:asciiTheme="minorEastAsia" w:hAnsiTheme="minorEastAsia" w:eastAsiaTheme="minorEastAsia"/>
          <w:b/>
          <w:color w:val="auto"/>
          <w:sz w:val="32"/>
          <w:szCs w:val="32"/>
          <w:highlight w:val="none"/>
        </w:rPr>
      </w:pPr>
    </w:p>
    <w:p w14:paraId="193F4613">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5BBF112A">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6D196C27">
      <w:pPr>
        <w:adjustRightInd w:val="0"/>
        <w:snapToGrid w:val="0"/>
        <w:spacing w:line="440" w:lineRule="exact"/>
        <w:jc w:val="center"/>
        <w:rPr>
          <w:rFonts w:cs="宋体" w:asciiTheme="minorEastAsia" w:hAnsiTheme="minorEastAsia" w:eastAsiaTheme="minorEastAsia"/>
          <w:color w:val="auto"/>
          <w:sz w:val="24"/>
          <w:highlight w:val="none"/>
        </w:rPr>
      </w:pPr>
    </w:p>
    <w:p w14:paraId="02CFB76C">
      <w:pPr>
        <w:rPr>
          <w:color w:val="auto"/>
          <w:highlight w:val="none"/>
        </w:rPr>
      </w:pPr>
    </w:p>
    <w:p w14:paraId="6E571F53">
      <w:pPr>
        <w:rPr>
          <w:color w:val="auto"/>
          <w:highlight w:val="none"/>
        </w:rPr>
      </w:pPr>
    </w:p>
    <w:p w14:paraId="2E1A0ECB">
      <w:pPr>
        <w:rPr>
          <w:color w:val="auto"/>
          <w:highlight w:val="none"/>
        </w:rPr>
      </w:pPr>
    </w:p>
    <w:p w14:paraId="792F7393">
      <w:pPr>
        <w:adjustRightInd w:val="0"/>
        <w:snapToGrid w:val="0"/>
        <w:spacing w:line="440" w:lineRule="exact"/>
        <w:jc w:val="left"/>
        <w:rPr>
          <w:rFonts w:cs="宋体" w:asciiTheme="minorEastAsia" w:hAnsiTheme="minorEastAsia" w:eastAsiaTheme="minorEastAsia"/>
          <w:b/>
          <w:bCs/>
          <w:color w:val="auto"/>
          <w:kern w:val="0"/>
          <w:sz w:val="28"/>
          <w:szCs w:val="28"/>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268CF8B0">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1" w:name="_Toc30983"/>
      <w:bookmarkStart w:id="792" w:name="_Toc17047"/>
      <w:r>
        <w:rPr>
          <w:rFonts w:hint="eastAsia" w:asciiTheme="minorEastAsia" w:hAnsiTheme="minorEastAsia" w:eastAsiaTheme="minorEastAsia"/>
          <w:color w:val="auto"/>
          <w:sz w:val="24"/>
          <w:szCs w:val="24"/>
          <w:highlight w:val="none"/>
        </w:rPr>
        <w:t>技术服务评审索引表</w:t>
      </w:r>
      <w:bookmarkEnd w:id="791"/>
      <w:bookmarkEnd w:id="792"/>
    </w:p>
    <w:p w14:paraId="4CE2BB0F">
      <w:pPr>
        <w:rPr>
          <w:rFonts w:asciiTheme="minorEastAsia" w:hAnsiTheme="minorEastAsia" w:eastAsiaTheme="minorEastAsia"/>
          <w:color w:val="auto"/>
          <w:highlight w:val="none"/>
        </w:rPr>
      </w:pPr>
    </w:p>
    <w:p w14:paraId="7121F351">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技术服务评审索引表</w:t>
      </w:r>
    </w:p>
    <w:p w14:paraId="6E5748B4">
      <w:pPr>
        <w:jc w:val="center"/>
        <w:rPr>
          <w:rFonts w:asciiTheme="minorEastAsia" w:hAnsiTheme="minorEastAsia" w:eastAsiaTheme="minorEastAsia"/>
          <w:b/>
          <w:color w:val="auto"/>
          <w:highlight w:val="none"/>
        </w:rPr>
      </w:pPr>
    </w:p>
    <w:p w14:paraId="5C66B656">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91"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771"/>
        <w:gridCol w:w="1581"/>
        <w:gridCol w:w="1554"/>
        <w:gridCol w:w="1559"/>
      </w:tblGrid>
      <w:tr w14:paraId="7774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B6F62F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2771" w:type="dxa"/>
            <w:vAlign w:val="center"/>
          </w:tcPr>
          <w:p w14:paraId="61EF22D1">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581" w:type="dxa"/>
            <w:vAlign w:val="center"/>
          </w:tcPr>
          <w:p w14:paraId="6F8ECE0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554" w:type="dxa"/>
            <w:vAlign w:val="center"/>
          </w:tcPr>
          <w:p w14:paraId="5C187979">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559" w:type="dxa"/>
            <w:vAlign w:val="center"/>
          </w:tcPr>
          <w:p w14:paraId="54409920">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5AF9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A2BB3E3">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2771" w:type="dxa"/>
            <w:vAlign w:val="center"/>
          </w:tcPr>
          <w:p w14:paraId="1D9588C8">
            <w:pPr>
              <w:tabs>
                <w:tab w:val="left" w:pos="720"/>
              </w:tabs>
              <w:spacing w:line="360" w:lineRule="auto"/>
              <w:jc w:val="center"/>
              <w:rPr>
                <w:rFonts w:hint="default"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w:t>
            </w:r>
          </w:p>
        </w:tc>
        <w:tc>
          <w:tcPr>
            <w:tcW w:w="1581" w:type="dxa"/>
          </w:tcPr>
          <w:p w14:paraId="003D4516">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04E4B3D2">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C509E85">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03C8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7D032CE">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2771" w:type="dxa"/>
            <w:vAlign w:val="center"/>
          </w:tcPr>
          <w:p w14:paraId="7D279C4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25CBF30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4713676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1F777706">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C09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52F9EC">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2771" w:type="dxa"/>
            <w:vAlign w:val="center"/>
          </w:tcPr>
          <w:p w14:paraId="3BEAF60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6DB0CCD8">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16BD521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47065A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135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026" w:type="dxa"/>
            <w:vAlign w:val="center"/>
          </w:tcPr>
          <w:p w14:paraId="27508631">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2771" w:type="dxa"/>
            <w:vAlign w:val="center"/>
          </w:tcPr>
          <w:p w14:paraId="39E57F7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3E53A4E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0A9728B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716177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6A6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1026" w:type="dxa"/>
            <w:vAlign w:val="center"/>
          </w:tcPr>
          <w:p w14:paraId="531C631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2771" w:type="dxa"/>
            <w:shd w:val="clear" w:color="auto" w:fill="auto"/>
            <w:vAlign w:val="center"/>
          </w:tcPr>
          <w:p w14:paraId="124F2B2B">
            <w:pPr>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66C2DA41">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28AF95B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01629B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12D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F778980">
            <w:pPr>
              <w:tabs>
                <w:tab w:val="left" w:pos="720"/>
              </w:tabs>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2771" w:type="dxa"/>
            <w:shd w:val="clear" w:color="auto" w:fill="auto"/>
            <w:vAlign w:val="center"/>
          </w:tcPr>
          <w:p w14:paraId="724633B6">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6550DF3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7B5A975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DA07221">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8B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A201DF">
            <w:pPr>
              <w:tabs>
                <w:tab w:val="left" w:pos="720"/>
              </w:tabs>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2771" w:type="dxa"/>
            <w:shd w:val="clear" w:color="auto" w:fill="auto"/>
            <w:vAlign w:val="center"/>
          </w:tcPr>
          <w:p w14:paraId="4FA77460">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38762041">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C39757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7B9BC53">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670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6D028DF">
            <w:pPr>
              <w:tabs>
                <w:tab w:val="left" w:pos="720"/>
              </w:tabs>
              <w:spacing w:line="360" w:lineRule="auto"/>
              <w:jc w:val="center"/>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8</w:t>
            </w:r>
          </w:p>
        </w:tc>
        <w:tc>
          <w:tcPr>
            <w:tcW w:w="2771" w:type="dxa"/>
            <w:shd w:val="clear" w:color="auto" w:fill="auto"/>
            <w:vAlign w:val="center"/>
          </w:tcPr>
          <w:p w14:paraId="2E654F2C">
            <w:pPr>
              <w:tabs>
                <w:tab w:val="left" w:pos="720"/>
              </w:tabs>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79ED6C3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4B3D268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6F1178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F18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026" w:type="dxa"/>
            <w:vAlign w:val="center"/>
          </w:tcPr>
          <w:p w14:paraId="038A54D6">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9</w:t>
            </w:r>
          </w:p>
        </w:tc>
        <w:tc>
          <w:tcPr>
            <w:tcW w:w="2771" w:type="dxa"/>
            <w:shd w:val="clear" w:color="auto" w:fill="auto"/>
            <w:vAlign w:val="center"/>
          </w:tcPr>
          <w:p w14:paraId="574AE57F">
            <w:pPr>
              <w:tabs>
                <w:tab w:val="left" w:pos="720"/>
              </w:tabs>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609E77F2">
            <w:pPr>
              <w:tabs>
                <w:tab w:val="left" w:pos="720"/>
              </w:tabs>
              <w:spacing w:line="360" w:lineRule="auto"/>
              <w:ind w:left="420"/>
              <w:jc w:val="center"/>
              <w:rPr>
                <w:rFonts w:asciiTheme="minorEastAsia" w:hAnsiTheme="minorEastAsia" w:eastAsiaTheme="minorEastAsia"/>
                <w:color w:val="auto"/>
                <w:szCs w:val="21"/>
                <w:highlight w:val="none"/>
              </w:rPr>
            </w:pPr>
          </w:p>
        </w:tc>
        <w:tc>
          <w:tcPr>
            <w:tcW w:w="1554" w:type="dxa"/>
            <w:vAlign w:val="center"/>
          </w:tcPr>
          <w:p w14:paraId="1B4A11A9">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5A44175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105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trPr>
        <w:tc>
          <w:tcPr>
            <w:tcW w:w="1026" w:type="dxa"/>
            <w:vAlign w:val="center"/>
          </w:tcPr>
          <w:p w14:paraId="1D38D416">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shd w:val="clear" w:color="auto" w:fill="auto"/>
            <w:vAlign w:val="center"/>
          </w:tcPr>
          <w:p w14:paraId="3E4E9E63">
            <w:pPr>
              <w:keepNext w:val="0"/>
              <w:keepLines w:val="0"/>
              <w:widowControl/>
              <w:suppressLineNumbers w:val="0"/>
              <w:jc w:val="center"/>
              <w:textAlignment w:val="center"/>
              <w:rPr>
                <w:rFonts w:ascii="宋体" w:hAnsi="宋体" w:eastAsia="宋体" w:cs="Times New Roman"/>
                <w:color w:val="auto"/>
                <w:kern w:val="0"/>
                <w:sz w:val="22"/>
                <w:szCs w:val="22"/>
                <w:highlight w:val="none"/>
                <w:lang w:val="en-US" w:eastAsia="zh-CN" w:bidi="ar-SA"/>
              </w:rPr>
            </w:pPr>
          </w:p>
        </w:tc>
        <w:tc>
          <w:tcPr>
            <w:tcW w:w="1581" w:type="dxa"/>
          </w:tcPr>
          <w:p w14:paraId="3CFFE182">
            <w:pPr>
              <w:tabs>
                <w:tab w:val="left" w:pos="720"/>
              </w:tabs>
              <w:spacing w:line="360" w:lineRule="auto"/>
              <w:ind w:left="420"/>
              <w:jc w:val="center"/>
              <w:rPr>
                <w:rFonts w:asciiTheme="minorEastAsia" w:hAnsiTheme="minorEastAsia" w:eastAsiaTheme="minorEastAsia"/>
                <w:color w:val="auto"/>
                <w:szCs w:val="21"/>
                <w:highlight w:val="none"/>
              </w:rPr>
            </w:pPr>
          </w:p>
        </w:tc>
        <w:tc>
          <w:tcPr>
            <w:tcW w:w="1554" w:type="dxa"/>
            <w:vAlign w:val="center"/>
          </w:tcPr>
          <w:p w14:paraId="2D169641">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09B910C6">
            <w:pPr>
              <w:spacing w:line="360" w:lineRule="auto"/>
              <w:jc w:val="center"/>
              <w:rPr>
                <w:rFonts w:asciiTheme="minorEastAsia" w:hAnsiTheme="minorEastAsia" w:eastAsiaTheme="minorEastAsia"/>
                <w:color w:val="auto"/>
                <w:szCs w:val="21"/>
                <w:highlight w:val="none"/>
              </w:rPr>
            </w:pPr>
          </w:p>
        </w:tc>
      </w:tr>
      <w:tr w14:paraId="17F0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4DFBB90">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shd w:val="clear" w:color="auto" w:fill="auto"/>
            <w:vAlign w:val="center"/>
          </w:tcPr>
          <w:p w14:paraId="2AA51276">
            <w:pPr>
              <w:keepNext w:val="0"/>
              <w:keepLines w:val="0"/>
              <w:widowControl/>
              <w:suppressLineNumbers w:val="0"/>
              <w:jc w:val="center"/>
              <w:textAlignment w:val="center"/>
              <w:rPr>
                <w:rFonts w:ascii="宋体" w:hAnsi="宋体" w:eastAsia="宋体" w:cs="Times New Roman"/>
                <w:color w:val="auto"/>
                <w:kern w:val="0"/>
                <w:sz w:val="22"/>
                <w:szCs w:val="22"/>
                <w:highlight w:val="none"/>
                <w:lang w:val="en-US" w:eastAsia="zh-CN" w:bidi="ar-SA"/>
              </w:rPr>
            </w:pPr>
          </w:p>
        </w:tc>
        <w:tc>
          <w:tcPr>
            <w:tcW w:w="1581" w:type="dxa"/>
          </w:tcPr>
          <w:p w14:paraId="578BE03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2844E8F2">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F3A919A">
            <w:pPr>
              <w:spacing w:line="360" w:lineRule="auto"/>
              <w:jc w:val="center"/>
              <w:rPr>
                <w:rFonts w:asciiTheme="minorEastAsia" w:hAnsiTheme="minorEastAsia" w:eastAsiaTheme="minorEastAsia"/>
                <w:color w:val="auto"/>
                <w:szCs w:val="21"/>
                <w:highlight w:val="none"/>
              </w:rPr>
            </w:pPr>
          </w:p>
        </w:tc>
      </w:tr>
      <w:tr w14:paraId="47B7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trPr>
        <w:tc>
          <w:tcPr>
            <w:tcW w:w="1026" w:type="dxa"/>
            <w:vAlign w:val="center"/>
          </w:tcPr>
          <w:p w14:paraId="4F02C3AA">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7E9B63D2">
            <w:pPr>
              <w:keepNext w:val="0"/>
              <w:keepLines w:val="0"/>
              <w:widowControl/>
              <w:suppressLineNumbers w:val="0"/>
              <w:jc w:val="center"/>
              <w:textAlignment w:val="center"/>
              <w:rPr>
                <w:rFonts w:ascii="宋体" w:hAnsi="宋体" w:cs="宋体"/>
                <w:color w:val="auto"/>
                <w:kern w:val="0"/>
                <w:szCs w:val="21"/>
                <w:highlight w:val="none"/>
                <w:lang w:bidi="ar"/>
              </w:rPr>
            </w:pPr>
          </w:p>
        </w:tc>
        <w:tc>
          <w:tcPr>
            <w:tcW w:w="1581" w:type="dxa"/>
          </w:tcPr>
          <w:p w14:paraId="485671F4">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FF5F46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3AA232C6">
            <w:pPr>
              <w:spacing w:line="360" w:lineRule="auto"/>
              <w:jc w:val="center"/>
              <w:rPr>
                <w:rFonts w:asciiTheme="minorEastAsia" w:hAnsiTheme="minorEastAsia" w:eastAsiaTheme="minorEastAsia"/>
                <w:color w:val="auto"/>
                <w:szCs w:val="21"/>
                <w:highlight w:val="none"/>
              </w:rPr>
            </w:pPr>
          </w:p>
        </w:tc>
      </w:tr>
      <w:tr w14:paraId="667D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trPr>
        <w:tc>
          <w:tcPr>
            <w:tcW w:w="1026" w:type="dxa"/>
            <w:vAlign w:val="center"/>
          </w:tcPr>
          <w:p w14:paraId="2936CB8E">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06EE7CD4">
            <w:pPr>
              <w:jc w:val="center"/>
              <w:rPr>
                <w:rFonts w:ascii="宋体" w:hAnsi="宋体" w:cs="宋体"/>
                <w:bCs/>
                <w:color w:val="auto"/>
                <w:szCs w:val="21"/>
                <w:highlight w:val="none"/>
              </w:rPr>
            </w:pPr>
          </w:p>
        </w:tc>
        <w:tc>
          <w:tcPr>
            <w:tcW w:w="1581" w:type="dxa"/>
          </w:tcPr>
          <w:p w14:paraId="668BBE00">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783209B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C004F1A">
            <w:pPr>
              <w:spacing w:line="360" w:lineRule="auto"/>
              <w:jc w:val="center"/>
              <w:rPr>
                <w:rFonts w:asciiTheme="minorEastAsia" w:hAnsiTheme="minorEastAsia" w:eastAsiaTheme="minorEastAsia"/>
                <w:color w:val="auto"/>
                <w:szCs w:val="21"/>
                <w:highlight w:val="none"/>
              </w:rPr>
            </w:pPr>
          </w:p>
        </w:tc>
      </w:tr>
      <w:tr w14:paraId="4811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rPr>
        <w:tc>
          <w:tcPr>
            <w:tcW w:w="1026" w:type="dxa"/>
            <w:vAlign w:val="center"/>
          </w:tcPr>
          <w:p w14:paraId="34F0FC85">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5CCBAE05">
            <w:pPr>
              <w:jc w:val="center"/>
              <w:rPr>
                <w:rFonts w:ascii="宋体" w:hAnsi="宋体" w:cs="宋体"/>
                <w:bCs/>
                <w:color w:val="auto"/>
                <w:szCs w:val="21"/>
                <w:highlight w:val="none"/>
              </w:rPr>
            </w:pPr>
          </w:p>
        </w:tc>
        <w:tc>
          <w:tcPr>
            <w:tcW w:w="1581" w:type="dxa"/>
          </w:tcPr>
          <w:p w14:paraId="7EE3E4B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C71C01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E103AA9">
            <w:pPr>
              <w:spacing w:line="360" w:lineRule="auto"/>
              <w:jc w:val="center"/>
              <w:rPr>
                <w:rFonts w:asciiTheme="minorEastAsia" w:hAnsiTheme="minorEastAsia" w:eastAsiaTheme="minorEastAsia"/>
                <w:color w:val="auto"/>
                <w:szCs w:val="21"/>
                <w:highlight w:val="none"/>
              </w:rPr>
            </w:pPr>
          </w:p>
        </w:tc>
      </w:tr>
    </w:tbl>
    <w:p w14:paraId="34B9E309">
      <w:pPr>
        <w:topLinePunct/>
        <w:spacing w:line="440" w:lineRule="exact"/>
        <w:ind w:left="360"/>
        <w:jc w:val="left"/>
        <w:rPr>
          <w:rFonts w:asciiTheme="minorEastAsia" w:hAnsiTheme="minorEastAsia" w:eastAsiaTheme="minorEastAsia"/>
          <w:b/>
          <w:color w:val="auto"/>
          <w:highlight w:val="none"/>
        </w:rPr>
      </w:pPr>
    </w:p>
    <w:p w14:paraId="066DF91F">
      <w:pPr>
        <w:topLinePunct/>
        <w:spacing w:line="440" w:lineRule="exact"/>
        <w:ind w:left="360"/>
        <w:jc w:val="left"/>
        <w:rPr>
          <w:rFonts w:asciiTheme="minorEastAsia" w:hAnsiTheme="minorEastAsia" w:eastAsiaTheme="minorEastAsia"/>
          <w:b/>
          <w:color w:val="auto"/>
          <w:highlight w:val="none"/>
        </w:rPr>
      </w:pPr>
    </w:p>
    <w:p w14:paraId="678C8FA1">
      <w:pPr>
        <w:topLinePunct/>
        <w:spacing w:line="440" w:lineRule="exact"/>
        <w:jc w:val="left"/>
        <w:rPr>
          <w:rFonts w:asciiTheme="minorEastAsia" w:hAnsiTheme="minorEastAsia" w:eastAsiaTheme="minorEastAsia"/>
          <w:b/>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7F3998F4">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3" w:name="_Toc6712"/>
      <w:bookmarkStart w:id="794" w:name="_Toc14571"/>
      <w:bookmarkStart w:id="795" w:name="_Toc475472690"/>
      <w:r>
        <w:rPr>
          <w:rFonts w:hint="eastAsia" w:asciiTheme="minorEastAsia" w:hAnsiTheme="minorEastAsia" w:eastAsiaTheme="minorEastAsia"/>
          <w:color w:val="auto"/>
          <w:sz w:val="24"/>
          <w:szCs w:val="24"/>
          <w:highlight w:val="none"/>
        </w:rPr>
        <w:t>技术规范书点对点响应或偏离表</w:t>
      </w:r>
      <w:bookmarkEnd w:id="793"/>
      <w:bookmarkEnd w:id="794"/>
      <w:bookmarkEnd w:id="795"/>
    </w:p>
    <w:p w14:paraId="5CDC4EB2">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技术规范书偏离表</w:t>
      </w:r>
    </w:p>
    <w:p w14:paraId="62E61A85">
      <w:pPr>
        <w:jc w:val="center"/>
        <w:rPr>
          <w:rFonts w:cs="宋体" w:asciiTheme="minorEastAsia" w:hAnsiTheme="minorEastAsia" w:eastAsiaTheme="minorEastAsia"/>
          <w:color w:val="auto"/>
          <w:sz w:val="24"/>
          <w:highlight w:val="none"/>
        </w:rPr>
      </w:pPr>
    </w:p>
    <w:p w14:paraId="58F59A74">
      <w:pPr>
        <w:adjustRightInd w:val="0"/>
        <w:snapToGrid w:val="0"/>
        <w:spacing w:after="120"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项目编号</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标包</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p>
    <w:tbl>
      <w:tblPr>
        <w:tblStyle w:val="78"/>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633"/>
        <w:gridCol w:w="2010"/>
        <w:gridCol w:w="1364"/>
      </w:tblGrid>
      <w:tr w14:paraId="36E39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58290437">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序号</w:t>
            </w:r>
          </w:p>
        </w:tc>
        <w:tc>
          <w:tcPr>
            <w:tcW w:w="1746" w:type="dxa"/>
            <w:vAlign w:val="center"/>
          </w:tcPr>
          <w:p w14:paraId="519F4685">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条目号</w:t>
            </w:r>
          </w:p>
        </w:tc>
        <w:tc>
          <w:tcPr>
            <w:tcW w:w="2633" w:type="dxa"/>
            <w:vAlign w:val="center"/>
          </w:tcPr>
          <w:p w14:paraId="06746155">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的</w:t>
            </w:r>
            <w:r>
              <w:rPr>
                <w:rFonts w:hint="eastAsia" w:cs="宋体" w:asciiTheme="minorEastAsia" w:hAnsiTheme="minorEastAsia" w:eastAsiaTheme="minorEastAsia"/>
                <w:color w:val="auto"/>
                <w:szCs w:val="21"/>
                <w:highlight w:val="none"/>
              </w:rPr>
              <w:t>技术规范书</w:t>
            </w:r>
            <w:r>
              <w:rPr>
                <w:rFonts w:cs="宋体" w:asciiTheme="minorEastAsia" w:hAnsiTheme="minorEastAsia" w:eastAsiaTheme="minorEastAsia"/>
                <w:color w:val="auto"/>
                <w:szCs w:val="21"/>
                <w:highlight w:val="none"/>
              </w:rPr>
              <w:t>条款</w:t>
            </w:r>
          </w:p>
        </w:tc>
        <w:tc>
          <w:tcPr>
            <w:tcW w:w="2010" w:type="dxa"/>
            <w:vAlign w:val="center"/>
          </w:tcPr>
          <w:p w14:paraId="698F7D79">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w:t>
            </w:r>
            <w:r>
              <w:rPr>
                <w:rFonts w:cs="宋体" w:asciiTheme="minorEastAsia" w:hAnsiTheme="minorEastAsia" w:eastAsiaTheme="minorEastAsia"/>
                <w:color w:val="auto"/>
                <w:szCs w:val="21"/>
                <w:highlight w:val="none"/>
              </w:rPr>
              <w:t>偏离情况</w:t>
            </w:r>
          </w:p>
        </w:tc>
        <w:tc>
          <w:tcPr>
            <w:tcW w:w="1364" w:type="dxa"/>
            <w:vAlign w:val="center"/>
          </w:tcPr>
          <w:p w14:paraId="32656B2F">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说明</w:t>
            </w:r>
          </w:p>
        </w:tc>
      </w:tr>
      <w:tr w14:paraId="2BB70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07DB39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536A073E">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147AC864">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1F185542">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7B4B78D">
            <w:pPr>
              <w:adjustRightInd w:val="0"/>
              <w:snapToGrid w:val="0"/>
              <w:spacing w:line="440" w:lineRule="exact"/>
              <w:rPr>
                <w:rFonts w:cs="宋体" w:asciiTheme="minorEastAsia" w:hAnsiTheme="minorEastAsia" w:eastAsiaTheme="minorEastAsia"/>
                <w:color w:val="auto"/>
                <w:szCs w:val="21"/>
                <w:highlight w:val="none"/>
              </w:rPr>
            </w:pPr>
          </w:p>
        </w:tc>
      </w:tr>
      <w:tr w14:paraId="06D34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4EEE449">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15D90B71">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20A2F6A4">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0CC8485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61FD8BBF">
            <w:pPr>
              <w:adjustRightInd w:val="0"/>
              <w:snapToGrid w:val="0"/>
              <w:spacing w:line="440" w:lineRule="exact"/>
              <w:rPr>
                <w:rFonts w:cs="宋体" w:asciiTheme="minorEastAsia" w:hAnsiTheme="minorEastAsia" w:eastAsiaTheme="minorEastAsia"/>
                <w:color w:val="auto"/>
                <w:szCs w:val="21"/>
                <w:highlight w:val="none"/>
              </w:rPr>
            </w:pPr>
          </w:p>
        </w:tc>
      </w:tr>
      <w:tr w14:paraId="369C0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E65A369">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81C29BC">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1DBBA78D">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22177296">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ECB6A96">
            <w:pPr>
              <w:adjustRightInd w:val="0"/>
              <w:snapToGrid w:val="0"/>
              <w:spacing w:line="440" w:lineRule="exact"/>
              <w:rPr>
                <w:rFonts w:cs="宋体" w:asciiTheme="minorEastAsia" w:hAnsiTheme="minorEastAsia" w:eastAsiaTheme="minorEastAsia"/>
                <w:color w:val="auto"/>
                <w:szCs w:val="21"/>
                <w:highlight w:val="none"/>
              </w:rPr>
            </w:pPr>
          </w:p>
        </w:tc>
      </w:tr>
      <w:tr w14:paraId="057D39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71F50BC5">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16727BAD">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6F9964CF">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0D95C01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3ADC1AA">
            <w:pPr>
              <w:adjustRightInd w:val="0"/>
              <w:snapToGrid w:val="0"/>
              <w:spacing w:line="440" w:lineRule="exact"/>
              <w:rPr>
                <w:rFonts w:cs="宋体" w:asciiTheme="minorEastAsia" w:hAnsiTheme="minorEastAsia" w:eastAsiaTheme="minorEastAsia"/>
                <w:color w:val="auto"/>
                <w:szCs w:val="21"/>
                <w:highlight w:val="none"/>
              </w:rPr>
            </w:pPr>
          </w:p>
        </w:tc>
      </w:tr>
      <w:tr w14:paraId="340B2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E14AEE6">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A8DFA5E">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4B06D19F">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62F671B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09FBCA08">
            <w:pPr>
              <w:adjustRightInd w:val="0"/>
              <w:snapToGrid w:val="0"/>
              <w:spacing w:line="440" w:lineRule="exact"/>
              <w:rPr>
                <w:rFonts w:cs="宋体" w:asciiTheme="minorEastAsia" w:hAnsiTheme="minorEastAsia" w:eastAsiaTheme="minorEastAsia"/>
                <w:color w:val="auto"/>
                <w:szCs w:val="21"/>
                <w:highlight w:val="none"/>
              </w:rPr>
            </w:pPr>
          </w:p>
        </w:tc>
      </w:tr>
      <w:tr w14:paraId="5A16A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0E5F6C32">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0CE443C8">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70EC50C3">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5BE2F3F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6C97984">
            <w:pPr>
              <w:adjustRightInd w:val="0"/>
              <w:snapToGrid w:val="0"/>
              <w:spacing w:line="440" w:lineRule="exact"/>
              <w:rPr>
                <w:rFonts w:cs="宋体" w:asciiTheme="minorEastAsia" w:hAnsiTheme="minorEastAsia" w:eastAsiaTheme="minorEastAsia"/>
                <w:color w:val="auto"/>
                <w:szCs w:val="21"/>
                <w:highlight w:val="none"/>
              </w:rPr>
            </w:pPr>
          </w:p>
        </w:tc>
      </w:tr>
    </w:tbl>
    <w:p w14:paraId="6EFCA179">
      <w:pPr>
        <w:adjustRightInd w:val="0"/>
        <w:snapToGrid w:val="0"/>
        <w:spacing w:after="120" w:line="440" w:lineRule="exact"/>
        <w:ind w:left="693" w:hanging="693" w:hangingChars="330"/>
        <w:rPr>
          <w:rFonts w:cs="宋体" w:asciiTheme="minorEastAsia" w:hAnsiTheme="minorEastAsia" w:eastAsiaTheme="minorEastAsia"/>
          <w:color w:val="auto"/>
          <w:szCs w:val="21"/>
          <w:highlight w:val="none"/>
        </w:rPr>
      </w:pPr>
    </w:p>
    <w:p w14:paraId="3E13707C">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02A04E7E">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D85DC3C">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注：</w:t>
      </w:r>
    </w:p>
    <w:p w14:paraId="674BF803">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1、</w:t>
      </w:r>
      <w:r>
        <w:rPr>
          <w:rFonts w:hint="eastAsia" w:ascii="宋体" w:hAnsi="宋体" w:cs="Times New Roman"/>
          <w:color w:val="auto"/>
          <w:sz w:val="24"/>
          <w:highlight w:val="none"/>
          <w:lang w:val="en-US" w:eastAsia="zh-CN"/>
        </w:rPr>
        <w:t>供应商</w:t>
      </w:r>
      <w:r>
        <w:rPr>
          <w:rFonts w:hint="eastAsia" w:ascii="宋体" w:hAnsi="宋体" w:eastAsia="宋体" w:cs="Times New Roman"/>
          <w:color w:val="auto"/>
          <w:sz w:val="24"/>
          <w:highlight w:val="none"/>
        </w:rPr>
        <w:t>应当逐条对照</w:t>
      </w:r>
      <w:r>
        <w:rPr>
          <w:rFonts w:hint="eastAsia" w:ascii="宋体" w:hAnsi="宋体" w:cs="Times New Roman"/>
          <w:color w:val="auto"/>
          <w:sz w:val="24"/>
          <w:highlight w:val="none"/>
          <w:lang w:val="en-US" w:eastAsia="zh-CN"/>
        </w:rPr>
        <w:t>询比</w:t>
      </w:r>
      <w:r>
        <w:rPr>
          <w:rFonts w:hint="eastAsia" w:ascii="宋体" w:hAnsi="宋体" w:eastAsia="宋体" w:cs="Times New Roman"/>
          <w:color w:val="auto"/>
          <w:sz w:val="24"/>
          <w:highlight w:val="none"/>
        </w:rPr>
        <w:t>文件第</w:t>
      </w:r>
      <w:r>
        <w:rPr>
          <w:rFonts w:hint="eastAsia" w:ascii="宋体" w:hAnsi="宋体" w:cs="Times New Roman"/>
          <w:color w:val="auto"/>
          <w:sz w:val="24"/>
          <w:highlight w:val="none"/>
          <w:lang w:val="en-US" w:eastAsia="zh-CN"/>
        </w:rPr>
        <w:t>五</w:t>
      </w:r>
      <w:r>
        <w:rPr>
          <w:rFonts w:hint="eastAsia" w:ascii="宋体" w:hAnsi="宋体" w:eastAsia="宋体" w:cs="Times New Roman"/>
          <w:color w:val="auto"/>
          <w:sz w:val="24"/>
          <w:highlight w:val="none"/>
        </w:rPr>
        <w:t>章“技术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”，就</w:t>
      </w:r>
      <w:r>
        <w:rPr>
          <w:rFonts w:hint="eastAsia" w:ascii="宋体" w:hAnsi="宋体" w:cs="Times New Roman"/>
          <w:color w:val="auto"/>
          <w:sz w:val="24"/>
          <w:highlight w:val="none"/>
          <w:lang w:val="en-US" w:eastAsia="zh-CN"/>
        </w:rPr>
        <w:t>响应</w:t>
      </w:r>
      <w:r>
        <w:rPr>
          <w:rFonts w:hint="eastAsia" w:ascii="宋体" w:hAnsi="宋体" w:eastAsia="宋体" w:cs="Times New Roman"/>
          <w:color w:val="auto"/>
          <w:sz w:val="24"/>
          <w:highlight w:val="none"/>
        </w:rPr>
        <w:t>文件对“技术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”中存在的偏差与例外逐条做出说明；</w:t>
      </w:r>
    </w:p>
    <w:p w14:paraId="255EB036">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2、如</w:t>
      </w:r>
      <w:r>
        <w:rPr>
          <w:rFonts w:hint="eastAsia" w:ascii="宋体" w:hAnsi="宋体" w:cs="Times New Roman"/>
          <w:color w:val="auto"/>
          <w:sz w:val="24"/>
          <w:highlight w:val="none"/>
          <w:lang w:val="en-US" w:eastAsia="zh-CN"/>
        </w:rPr>
        <w:t>响应</w:t>
      </w:r>
      <w:r>
        <w:rPr>
          <w:rFonts w:hint="eastAsia" w:ascii="宋体" w:hAnsi="宋体" w:eastAsia="宋体" w:cs="Times New Roman"/>
          <w:color w:val="auto"/>
          <w:sz w:val="24"/>
          <w:highlight w:val="none"/>
        </w:rPr>
        <w:t>文件对</w:t>
      </w:r>
      <w:r>
        <w:rPr>
          <w:rFonts w:hint="eastAsia" w:ascii="宋体" w:hAnsi="宋体" w:cs="Times New Roman"/>
          <w:color w:val="auto"/>
          <w:sz w:val="24"/>
          <w:highlight w:val="none"/>
          <w:lang w:val="en-US" w:eastAsia="zh-CN"/>
        </w:rPr>
        <w:t>询比</w:t>
      </w:r>
      <w:r>
        <w:rPr>
          <w:rFonts w:hint="eastAsia" w:ascii="宋体" w:hAnsi="宋体" w:eastAsia="宋体" w:cs="Times New Roman"/>
          <w:color w:val="auto"/>
          <w:sz w:val="24"/>
          <w:highlight w:val="none"/>
        </w:rPr>
        <w:t>文件第</w:t>
      </w:r>
      <w:r>
        <w:rPr>
          <w:rFonts w:hint="eastAsia" w:ascii="宋体" w:hAnsi="宋体" w:cs="Times New Roman"/>
          <w:color w:val="auto"/>
          <w:sz w:val="24"/>
          <w:highlight w:val="none"/>
          <w:lang w:val="en-US" w:eastAsia="zh-CN"/>
        </w:rPr>
        <w:t>五</w:t>
      </w:r>
      <w:r>
        <w:rPr>
          <w:rFonts w:hint="eastAsia" w:ascii="宋体" w:hAnsi="宋体" w:eastAsia="宋体" w:cs="Times New Roman"/>
          <w:color w:val="auto"/>
          <w:sz w:val="24"/>
          <w:highlight w:val="none"/>
        </w:rPr>
        <w:t>章“技术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”中的条款无任何偏差，</w:t>
      </w:r>
      <w:r>
        <w:rPr>
          <w:rFonts w:hint="eastAsia" w:ascii="宋体" w:hAnsi="宋体" w:cs="Times New Roman"/>
          <w:color w:val="auto"/>
          <w:sz w:val="24"/>
          <w:highlight w:val="none"/>
          <w:lang w:val="en-US" w:eastAsia="zh-CN"/>
        </w:rPr>
        <w:t>供应商</w:t>
      </w:r>
      <w:r>
        <w:rPr>
          <w:rFonts w:hint="eastAsia" w:ascii="宋体" w:hAnsi="宋体" w:eastAsia="宋体" w:cs="Times New Roman"/>
          <w:color w:val="auto"/>
          <w:sz w:val="24"/>
          <w:highlight w:val="none"/>
        </w:rPr>
        <w:t>仅需在本偏离表中填写“无偏离”即可；如未填写任何内容，视作“全部无偏离”。</w:t>
      </w:r>
    </w:p>
    <w:p w14:paraId="580FE2FE">
      <w:pPr>
        <w:rPr>
          <w:rFonts w:asciiTheme="minorEastAsia" w:hAnsiTheme="minorEastAsia" w:eastAsiaTheme="minorEastAsia"/>
          <w:color w:val="auto"/>
          <w:highlight w:val="none"/>
        </w:rPr>
      </w:pPr>
    </w:p>
    <w:p w14:paraId="6396A0D0">
      <w:pPr>
        <w:rPr>
          <w:rFonts w:asciiTheme="minorEastAsia" w:hAnsiTheme="minorEastAsia" w:eastAsiaTheme="minorEastAsia"/>
          <w:color w:val="auto"/>
          <w:highlight w:val="none"/>
        </w:rPr>
      </w:pPr>
    </w:p>
    <w:p w14:paraId="13F3C2A6">
      <w:pPr>
        <w:rPr>
          <w:rFonts w:asciiTheme="minorEastAsia" w:hAnsiTheme="minorEastAsia" w:eastAsiaTheme="minorEastAsia"/>
          <w:color w:val="auto"/>
          <w:highlight w:val="none"/>
        </w:rPr>
      </w:pPr>
    </w:p>
    <w:p w14:paraId="5C4FA847">
      <w:pPr>
        <w:rPr>
          <w:rFonts w:asciiTheme="minorEastAsia" w:hAnsiTheme="minorEastAsia" w:eastAsiaTheme="minorEastAsia"/>
          <w:color w:val="auto"/>
          <w:highlight w:val="none"/>
        </w:rPr>
      </w:pPr>
    </w:p>
    <w:p w14:paraId="28375BFA">
      <w:pPr>
        <w:rPr>
          <w:rFonts w:asciiTheme="minorEastAsia" w:hAnsiTheme="minorEastAsia" w:eastAsiaTheme="minorEastAsia"/>
          <w:color w:val="auto"/>
          <w:highlight w:val="none"/>
        </w:rPr>
      </w:pPr>
    </w:p>
    <w:p w14:paraId="75DFF9D0">
      <w:pPr>
        <w:topLinePunct/>
        <w:spacing w:line="440" w:lineRule="exact"/>
        <w:ind w:left="422"/>
        <w:jc w:val="left"/>
        <w:rPr>
          <w:rFonts w:asciiTheme="minorEastAsia" w:hAnsiTheme="minorEastAsia" w:eastAsiaTheme="minorEastAsia"/>
          <w:color w:val="auto"/>
          <w:highlight w:val="none"/>
        </w:rPr>
      </w:pPr>
    </w:p>
    <w:p w14:paraId="61A79F7E">
      <w:pPr>
        <w:topLinePunct/>
        <w:spacing w:line="440" w:lineRule="exact"/>
        <w:ind w:left="422"/>
        <w:jc w:val="left"/>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2640402D">
      <w:pPr>
        <w:pStyle w:val="74"/>
        <w:numPr>
          <w:ilvl w:val="0"/>
          <w:numId w:val="39"/>
        </w:numPr>
        <w:tabs>
          <w:tab w:val="left" w:pos="588"/>
        </w:tabs>
        <w:snapToGrid w:val="0"/>
        <w:spacing w:before="120" w:after="120" w:line="440" w:lineRule="exact"/>
        <w:ind w:left="635" w:leftChars="0" w:firstLineChars="0"/>
        <w:jc w:val="left"/>
        <w:outlineLvl w:val="1"/>
        <w:rPr>
          <w:rFonts w:hint="eastAsia"/>
          <w:color w:val="auto"/>
          <w:highlight w:val="none"/>
        </w:rPr>
      </w:pPr>
      <w:bookmarkStart w:id="796" w:name="_Toc22758"/>
      <w:r>
        <w:rPr>
          <w:rFonts w:hint="eastAsia" w:asciiTheme="minorEastAsia" w:hAnsiTheme="minorEastAsia" w:eastAsiaTheme="minorEastAsia"/>
          <w:color w:val="auto"/>
          <w:sz w:val="24"/>
          <w:szCs w:val="24"/>
          <w:highlight w:val="none"/>
        </w:rPr>
        <w:t>技术评分应答</w:t>
      </w:r>
      <w:bookmarkEnd w:id="796"/>
    </w:p>
    <w:p w14:paraId="270F657E">
      <w:pPr>
        <w:topLinePunct/>
        <w:spacing w:line="440" w:lineRule="exact"/>
        <w:jc w:val="left"/>
        <w:rPr>
          <w:rFonts w:hint="eastAsia"/>
          <w:color w:val="auto"/>
          <w:highlight w:val="none"/>
        </w:rPr>
      </w:pPr>
      <w:r>
        <w:rPr>
          <w:rFonts w:hint="eastAsia"/>
          <w:color w:val="auto"/>
          <w:highlight w:val="none"/>
        </w:rPr>
        <w:t>现场作业方案</w:t>
      </w:r>
    </w:p>
    <w:p w14:paraId="34C15948">
      <w:pPr>
        <w:topLinePunct/>
        <w:spacing w:line="440" w:lineRule="exact"/>
        <w:jc w:val="left"/>
        <w:rPr>
          <w:rFonts w:hint="eastAsia"/>
          <w:color w:val="auto"/>
          <w:highlight w:val="none"/>
        </w:rPr>
      </w:pPr>
      <w:r>
        <w:rPr>
          <w:rFonts w:hint="eastAsia"/>
          <w:color w:val="auto"/>
          <w:highlight w:val="none"/>
        </w:rPr>
        <w:t>安全生产方案</w:t>
      </w:r>
    </w:p>
    <w:p w14:paraId="60FB6117">
      <w:pPr>
        <w:topLinePunct/>
        <w:spacing w:line="440" w:lineRule="exact"/>
        <w:jc w:val="left"/>
        <w:rPr>
          <w:rFonts w:hint="eastAsia"/>
          <w:color w:val="auto"/>
          <w:highlight w:val="none"/>
        </w:rPr>
      </w:pPr>
      <w:r>
        <w:rPr>
          <w:rFonts w:hint="eastAsia"/>
          <w:color w:val="auto"/>
          <w:highlight w:val="none"/>
        </w:rPr>
        <w:t>本地化服务承诺</w:t>
      </w:r>
    </w:p>
    <w:p w14:paraId="2B067D61">
      <w:pPr>
        <w:topLinePunct/>
        <w:spacing w:line="440" w:lineRule="exact"/>
        <w:jc w:val="left"/>
        <w:rPr>
          <w:rFonts w:hint="eastAsia"/>
          <w:color w:val="auto"/>
          <w:highlight w:val="none"/>
        </w:rPr>
      </w:pPr>
      <w:r>
        <w:rPr>
          <w:rFonts w:hint="eastAsia"/>
          <w:color w:val="auto"/>
          <w:highlight w:val="none"/>
        </w:rPr>
        <w:t>人员保险</w:t>
      </w:r>
    </w:p>
    <w:p w14:paraId="19347FD5">
      <w:pPr>
        <w:topLinePunct/>
        <w:spacing w:line="440" w:lineRule="exact"/>
        <w:jc w:val="left"/>
        <w:rPr>
          <w:rFonts w:hint="eastAsia"/>
          <w:color w:val="auto"/>
          <w:highlight w:val="none"/>
        </w:rPr>
      </w:pPr>
      <w:r>
        <w:rPr>
          <w:rFonts w:hint="eastAsia"/>
          <w:color w:val="auto"/>
          <w:highlight w:val="none"/>
        </w:rPr>
        <w:t>服务团队</w:t>
      </w:r>
    </w:p>
    <w:p w14:paraId="3B169124">
      <w:pPr>
        <w:topLinePunct/>
        <w:spacing w:line="440" w:lineRule="exact"/>
        <w:jc w:val="left"/>
        <w:rPr>
          <w:rFonts w:hint="eastAsia"/>
          <w:color w:val="auto"/>
          <w:highlight w:val="none"/>
        </w:rPr>
      </w:pPr>
      <w:r>
        <w:rPr>
          <w:rFonts w:hint="eastAsia"/>
          <w:color w:val="auto"/>
          <w:highlight w:val="none"/>
        </w:rPr>
        <w:t>应急服务响应时间</w:t>
      </w:r>
    </w:p>
    <w:p w14:paraId="04EDE55D">
      <w:pPr>
        <w:topLinePunct/>
        <w:spacing w:line="440" w:lineRule="exact"/>
        <w:jc w:val="left"/>
        <w:rPr>
          <w:rFonts w:hint="eastAsia"/>
          <w:color w:val="auto"/>
          <w:highlight w:val="none"/>
        </w:rPr>
      </w:pPr>
      <w:r>
        <w:rPr>
          <w:rFonts w:hint="eastAsia"/>
          <w:color w:val="auto"/>
          <w:highlight w:val="none"/>
        </w:rPr>
        <w:t>人员健康承诺</w:t>
      </w:r>
    </w:p>
    <w:p w14:paraId="000E8649">
      <w:pPr>
        <w:topLinePunct/>
        <w:spacing w:line="440" w:lineRule="exact"/>
        <w:jc w:val="left"/>
        <w:rPr>
          <w:color w:val="auto"/>
          <w:highlight w:val="none"/>
        </w:rPr>
      </w:pPr>
      <w:r>
        <w:rPr>
          <w:rFonts w:hint="eastAsia"/>
          <w:color w:val="auto"/>
          <w:highlight w:val="none"/>
        </w:rPr>
        <w:t>车辆配备人员配置按照</w:t>
      </w:r>
      <w:r>
        <w:rPr>
          <w:rFonts w:hint="eastAsia"/>
          <w:b/>
          <w:color w:val="auto"/>
          <w:highlight w:val="none"/>
        </w:rPr>
        <w:t>第三章 评审办法 详细评审技术评分</w:t>
      </w:r>
      <w:r>
        <w:rPr>
          <w:rFonts w:hint="eastAsia"/>
          <w:color w:val="auto"/>
          <w:highlight w:val="none"/>
        </w:rPr>
        <w:t>要求提供。</w:t>
      </w:r>
    </w:p>
    <w:p w14:paraId="311C432A">
      <w:pPr>
        <w:pStyle w:val="5"/>
        <w:rPr>
          <w:color w:val="auto"/>
          <w:highlight w:val="none"/>
        </w:rPr>
      </w:pPr>
    </w:p>
    <w:p w14:paraId="5F76AD1E">
      <w:pPr>
        <w:topLinePunct/>
        <w:spacing w:line="440" w:lineRule="exact"/>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要求提供原件的，需提供文件原件；其他证明文件可为扫描件。</w:t>
      </w:r>
    </w:p>
    <w:p w14:paraId="5366580B">
      <w:pPr>
        <w:topLinePunct/>
        <w:spacing w:line="440" w:lineRule="exact"/>
        <w:ind w:left="424"/>
        <w:jc w:val="left"/>
        <w:rPr>
          <w:rFonts w:asciiTheme="minorEastAsia" w:hAnsiTheme="minorEastAsia" w:eastAsiaTheme="minorEastAsia"/>
          <w:color w:val="auto"/>
          <w:highlight w:val="none"/>
        </w:rPr>
      </w:pPr>
    </w:p>
    <w:p w14:paraId="53CD6107">
      <w:pPr>
        <w:numPr>
          <w:ilvl w:val="0"/>
          <w:numId w:val="48"/>
        </w:numPr>
        <w:topLinePunct/>
        <w:spacing w:line="440" w:lineRule="exact"/>
        <w:ind w:left="849" w:leftChars="202" w:hanging="425"/>
        <w:jc w:val="left"/>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25E95C38">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7" w:name="_Toc20013"/>
      <w:bookmarkStart w:id="798" w:name="_Toc433"/>
      <w:bookmarkStart w:id="799" w:name="_Toc475472692"/>
      <w:r>
        <w:rPr>
          <w:rFonts w:hint="eastAsia" w:asciiTheme="minorEastAsia" w:hAnsiTheme="minorEastAsia" w:eastAsiaTheme="minorEastAsia"/>
          <w:color w:val="auto"/>
          <w:sz w:val="24"/>
          <w:szCs w:val="24"/>
          <w:highlight w:val="none"/>
        </w:rPr>
        <w:t>要求供应商提供的其他</w:t>
      </w:r>
      <w:r>
        <w:rPr>
          <w:rFonts w:hint="eastAsia" w:asciiTheme="minorEastAsia" w:hAnsiTheme="minorEastAsia" w:eastAsiaTheme="minorEastAsia"/>
          <w:color w:val="auto"/>
          <w:sz w:val="24"/>
          <w:szCs w:val="24"/>
          <w:highlight w:val="none"/>
          <w:lang w:val="en-US" w:eastAsia="zh-CN"/>
        </w:rPr>
        <w:t>技术</w:t>
      </w:r>
      <w:r>
        <w:rPr>
          <w:rFonts w:hint="eastAsia" w:asciiTheme="minorEastAsia" w:hAnsiTheme="minorEastAsia" w:eastAsiaTheme="minorEastAsia"/>
          <w:color w:val="auto"/>
          <w:sz w:val="24"/>
          <w:szCs w:val="24"/>
          <w:highlight w:val="none"/>
        </w:rPr>
        <w:t>文件</w:t>
      </w:r>
      <w:bookmarkEnd w:id="797"/>
      <w:bookmarkEnd w:id="798"/>
      <w:bookmarkEnd w:id="799"/>
    </w:p>
    <w:p w14:paraId="7001AD88">
      <w:pPr>
        <w:rPr>
          <w:rFonts w:asciiTheme="minorEastAsia" w:hAnsiTheme="minorEastAsia" w:eastAsiaTheme="minorEastAsia"/>
          <w:color w:val="auto"/>
          <w:highlight w:val="none"/>
        </w:rPr>
      </w:pPr>
    </w:p>
    <w:p w14:paraId="50764906">
      <w:pPr>
        <w:rPr>
          <w:rFonts w:asciiTheme="minorEastAsia" w:hAnsiTheme="minorEastAsia" w:eastAsiaTheme="minorEastAsia"/>
          <w:color w:val="auto"/>
          <w:highlight w:val="none"/>
        </w:rPr>
      </w:pPr>
    </w:p>
    <w:p w14:paraId="3ED81CF8">
      <w:pPr>
        <w:rPr>
          <w:rFonts w:asciiTheme="minorEastAsia" w:hAnsiTheme="minorEastAsia" w:eastAsiaTheme="minorEastAsia"/>
          <w:color w:val="auto"/>
          <w:highlight w:val="none"/>
        </w:rPr>
      </w:pPr>
    </w:p>
    <w:p w14:paraId="20333580">
      <w:pPr>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编制要求：</w:t>
      </w:r>
    </w:p>
    <w:p w14:paraId="474E087F">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应按照技术规范书规定的先后顺序提供。</w:t>
      </w:r>
    </w:p>
    <w:p w14:paraId="028F4E1C">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要求提供原件的，需提供文件原件；</w:t>
      </w:r>
      <w:r>
        <w:rPr>
          <w:rFonts w:hint="eastAsia" w:asciiTheme="minorEastAsia" w:hAnsiTheme="minorEastAsia" w:eastAsiaTheme="minorEastAsia"/>
          <w:color w:val="auto"/>
          <w:highlight w:val="none"/>
        </w:rPr>
        <w:t>其他证明文件可为扫描件</w:t>
      </w:r>
      <w:r>
        <w:rPr>
          <w:rFonts w:hint="eastAsia" w:asciiTheme="minorEastAsia" w:hAnsiTheme="minorEastAsia" w:eastAsiaTheme="minorEastAsia"/>
          <w:color w:val="auto"/>
          <w:szCs w:val="21"/>
          <w:highlight w:val="none"/>
        </w:rPr>
        <w:t>。</w:t>
      </w:r>
    </w:p>
    <w:p w14:paraId="5BF91AA7">
      <w:pPr>
        <w:ind w:left="424" w:hanging="424" w:hangingChars="202"/>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6938C831">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bookmarkStart w:id="800" w:name="_Toc13833"/>
      <w:bookmarkStart w:id="801" w:name="_Toc38008103"/>
      <w:bookmarkStart w:id="802" w:name="_Toc4177"/>
      <w:bookmarkStart w:id="803" w:name="_Toc139026992"/>
      <w:bookmarkStart w:id="804" w:name="_Toc31360"/>
      <w:bookmarkStart w:id="805" w:name="_Toc475472693"/>
      <w:bookmarkStart w:id="806" w:name="_Toc14316"/>
      <w:r>
        <w:rPr>
          <w:rFonts w:hint="eastAsia" w:asciiTheme="minorEastAsia" w:hAnsiTheme="minorEastAsia" w:eastAsiaTheme="minorEastAsia"/>
          <w:color w:val="auto"/>
          <w:sz w:val="24"/>
          <w:szCs w:val="24"/>
          <w:highlight w:val="none"/>
        </w:rPr>
        <w:t>第三分册 报价文件</w:t>
      </w:r>
      <w:bookmarkEnd w:id="800"/>
      <w:bookmarkEnd w:id="801"/>
      <w:bookmarkEnd w:id="802"/>
      <w:bookmarkEnd w:id="803"/>
      <w:bookmarkEnd w:id="804"/>
    </w:p>
    <w:p w14:paraId="171F8E42">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807" w:name="_Toc29193"/>
      <w:r>
        <w:rPr>
          <w:rFonts w:hint="eastAsia" w:asciiTheme="minorEastAsia" w:hAnsiTheme="minorEastAsia" w:eastAsiaTheme="minorEastAsia"/>
          <w:color w:val="auto"/>
          <w:sz w:val="24"/>
          <w:szCs w:val="24"/>
          <w:highlight w:val="none"/>
        </w:rPr>
        <w:t>报价文件封面</w:t>
      </w:r>
      <w:bookmarkEnd w:id="805"/>
      <w:bookmarkEnd w:id="806"/>
      <w:bookmarkEnd w:id="807"/>
    </w:p>
    <w:p w14:paraId="1C411617">
      <w:pPr>
        <w:spacing w:after="120" w:line="360" w:lineRule="atLeast"/>
        <w:jc w:val="center"/>
        <w:rPr>
          <w:rFonts w:cs="宋体" w:asciiTheme="minorEastAsia" w:hAnsiTheme="minorEastAsia" w:eastAsiaTheme="minorEastAsia"/>
          <w:color w:val="auto"/>
          <w:sz w:val="32"/>
          <w:szCs w:val="32"/>
          <w:highlight w:val="none"/>
          <w:u w:val="single"/>
        </w:rPr>
      </w:pPr>
    </w:p>
    <w:p w14:paraId="2C3C1239">
      <w:pPr>
        <w:spacing w:after="120" w:line="360" w:lineRule="atLeast"/>
        <w:jc w:val="center"/>
        <w:rPr>
          <w:rFonts w:cs="宋体" w:asciiTheme="minorEastAsia" w:hAnsiTheme="minorEastAsia" w:eastAsiaTheme="minorEastAsia"/>
          <w:color w:val="auto"/>
          <w:sz w:val="32"/>
          <w:szCs w:val="32"/>
          <w:highlight w:val="none"/>
          <w:u w:val="single"/>
        </w:rPr>
      </w:pPr>
    </w:p>
    <w:p w14:paraId="28CF3AC9">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224008EA">
      <w:pPr>
        <w:jc w:val="center"/>
        <w:rPr>
          <w:rFonts w:cs="宋体" w:asciiTheme="minorEastAsia" w:hAnsiTheme="minorEastAsia" w:eastAsiaTheme="minorEastAsia"/>
          <w:color w:val="auto"/>
          <w:sz w:val="28"/>
          <w:szCs w:val="28"/>
          <w:highlight w:val="none"/>
        </w:rPr>
      </w:pPr>
    </w:p>
    <w:p w14:paraId="599805DE">
      <w:pPr>
        <w:jc w:val="center"/>
        <w:rPr>
          <w:rFonts w:cs="宋体" w:asciiTheme="minorEastAsia" w:hAnsiTheme="minorEastAsia" w:eastAsiaTheme="minorEastAsia"/>
          <w:color w:val="auto"/>
          <w:szCs w:val="21"/>
          <w:highlight w:val="none"/>
        </w:rPr>
      </w:pPr>
    </w:p>
    <w:p w14:paraId="36CC394F">
      <w:pPr>
        <w:jc w:val="center"/>
        <w:rPr>
          <w:rFonts w:cs="宋体" w:asciiTheme="minorEastAsia" w:hAnsiTheme="minorEastAsia" w:eastAsiaTheme="minorEastAsia"/>
          <w:color w:val="auto"/>
          <w:szCs w:val="21"/>
          <w:highlight w:val="none"/>
        </w:rPr>
      </w:pPr>
    </w:p>
    <w:p w14:paraId="3F7ACB05">
      <w:pPr>
        <w:jc w:val="center"/>
        <w:rPr>
          <w:rFonts w:cs="宋体" w:asciiTheme="minorEastAsia" w:hAnsiTheme="minorEastAsia" w:eastAsiaTheme="minorEastAsia"/>
          <w:color w:val="auto"/>
          <w:szCs w:val="21"/>
          <w:highlight w:val="none"/>
        </w:rPr>
      </w:pPr>
    </w:p>
    <w:p w14:paraId="7A4AC8E1">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响应文件【报价文件】部分</w:t>
      </w:r>
    </w:p>
    <w:p w14:paraId="731D23F5">
      <w:pPr>
        <w:spacing w:after="120"/>
        <w:jc w:val="center"/>
        <w:rPr>
          <w:rFonts w:cs="宋体" w:asciiTheme="minorEastAsia" w:hAnsiTheme="minorEastAsia" w:eastAsiaTheme="minorEastAsia"/>
          <w:b/>
          <w:color w:val="auto"/>
          <w:sz w:val="32"/>
          <w:szCs w:val="32"/>
          <w:highlight w:val="none"/>
        </w:rPr>
      </w:pPr>
    </w:p>
    <w:p w14:paraId="3394B4F1">
      <w:pPr>
        <w:spacing w:after="120"/>
        <w:jc w:val="center"/>
        <w:rPr>
          <w:rFonts w:cs="宋体" w:asciiTheme="minorEastAsia" w:hAnsiTheme="minorEastAsia" w:eastAsiaTheme="minorEastAsia"/>
          <w:b/>
          <w:color w:val="auto"/>
          <w:sz w:val="32"/>
          <w:szCs w:val="32"/>
          <w:highlight w:val="none"/>
        </w:rPr>
      </w:pPr>
    </w:p>
    <w:p w14:paraId="02FF6089">
      <w:pPr>
        <w:spacing w:after="120"/>
        <w:jc w:val="center"/>
        <w:rPr>
          <w:rFonts w:cs="宋体" w:asciiTheme="minorEastAsia" w:hAnsiTheme="minorEastAsia" w:eastAsiaTheme="minorEastAsia"/>
          <w:b/>
          <w:color w:val="auto"/>
          <w:sz w:val="32"/>
          <w:szCs w:val="32"/>
          <w:highlight w:val="none"/>
        </w:rPr>
      </w:pPr>
    </w:p>
    <w:p w14:paraId="46B64398">
      <w:pPr>
        <w:spacing w:after="120"/>
        <w:jc w:val="center"/>
        <w:rPr>
          <w:rFonts w:cs="宋体" w:asciiTheme="minorEastAsia" w:hAnsiTheme="minorEastAsia" w:eastAsiaTheme="minorEastAsia"/>
          <w:b/>
          <w:color w:val="auto"/>
          <w:sz w:val="32"/>
          <w:szCs w:val="32"/>
          <w:highlight w:val="none"/>
        </w:rPr>
      </w:pPr>
    </w:p>
    <w:p w14:paraId="386AFAC9">
      <w:pPr>
        <w:spacing w:after="120"/>
        <w:jc w:val="center"/>
        <w:rPr>
          <w:rFonts w:cs="宋体" w:asciiTheme="minorEastAsia" w:hAnsiTheme="minorEastAsia" w:eastAsiaTheme="minorEastAsia"/>
          <w:b/>
          <w:color w:val="auto"/>
          <w:sz w:val="32"/>
          <w:szCs w:val="32"/>
          <w:highlight w:val="none"/>
        </w:rPr>
      </w:pPr>
    </w:p>
    <w:p w14:paraId="699F2CBA">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6536E7F6">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62AF664D">
      <w:pPr>
        <w:adjustRightInd w:val="0"/>
        <w:snapToGrid w:val="0"/>
        <w:spacing w:line="440" w:lineRule="exact"/>
        <w:jc w:val="center"/>
        <w:rPr>
          <w:rFonts w:cs="宋体" w:asciiTheme="minorEastAsia" w:hAnsiTheme="minorEastAsia" w:eastAsiaTheme="minorEastAsia"/>
          <w:color w:val="auto"/>
          <w:sz w:val="24"/>
          <w:highlight w:val="none"/>
        </w:rPr>
      </w:pPr>
    </w:p>
    <w:p w14:paraId="619049A4">
      <w:pPr>
        <w:rPr>
          <w:color w:val="auto"/>
          <w:highlight w:val="none"/>
        </w:rPr>
      </w:pPr>
    </w:p>
    <w:p w14:paraId="6C5D2793">
      <w:pPr>
        <w:rPr>
          <w:color w:val="auto"/>
          <w:highlight w:val="none"/>
        </w:rPr>
      </w:pPr>
    </w:p>
    <w:p w14:paraId="5795DFE9">
      <w:pPr>
        <w:rPr>
          <w:color w:val="auto"/>
          <w:highlight w:val="none"/>
        </w:rPr>
      </w:pPr>
    </w:p>
    <w:p w14:paraId="10F70DC2">
      <w:pPr>
        <w:topLinePunct/>
        <w:spacing w:line="440" w:lineRule="exact"/>
        <w:jc w:val="left"/>
        <w:rPr>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18756D69">
      <w:pPr>
        <w:rPr>
          <w:rFonts w:asciiTheme="minorEastAsia" w:hAnsiTheme="minorEastAsia" w:eastAsiaTheme="minorEastAsia"/>
          <w:color w:val="auto"/>
          <w:highlight w:val="none"/>
        </w:rPr>
      </w:pPr>
    </w:p>
    <w:p w14:paraId="19302451">
      <w:pPr>
        <w:pStyle w:val="74"/>
        <w:numPr>
          <w:ilvl w:val="0"/>
          <w:numId w:val="39"/>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808" w:name="_Toc447265349"/>
      <w:bookmarkStart w:id="809" w:name="_Toc17246"/>
      <w:bookmarkStart w:id="810" w:name="_Toc475472694"/>
      <w:bookmarkStart w:id="811" w:name="_Toc447265635"/>
      <w:bookmarkStart w:id="812" w:name="_Toc17754"/>
      <w:bookmarkStart w:id="813" w:name="_Toc29556649"/>
      <w:bookmarkStart w:id="814" w:name="_Toc22394"/>
      <w:bookmarkStart w:id="815" w:name="_Toc7004"/>
      <w:bookmarkStart w:id="816" w:name="_Toc48314621"/>
      <w:r>
        <w:rPr>
          <w:rFonts w:hint="eastAsia" w:asciiTheme="minorEastAsia" w:hAnsiTheme="minorEastAsia" w:eastAsiaTheme="minorEastAsia"/>
          <w:color w:val="auto"/>
          <w:sz w:val="24"/>
          <w:szCs w:val="24"/>
          <w:highlight w:val="none"/>
        </w:rPr>
        <w:t>报价一览表</w:t>
      </w:r>
      <w:bookmarkEnd w:id="808"/>
      <w:bookmarkEnd w:id="809"/>
      <w:bookmarkEnd w:id="810"/>
      <w:bookmarkEnd w:id="811"/>
      <w:bookmarkEnd w:id="812"/>
    </w:p>
    <w:p w14:paraId="3D1E09EF">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报价一览表</w:t>
      </w:r>
    </w:p>
    <w:p w14:paraId="1BA2719E">
      <w:pPr>
        <w:widowControl/>
        <w:rPr>
          <w:rFonts w:cs="宋体" w:asciiTheme="minorEastAsia" w:hAnsiTheme="minorEastAsia" w:eastAsiaTheme="minorEastAsia"/>
          <w:color w:val="auto"/>
          <w:szCs w:val="21"/>
          <w:highlight w:val="none"/>
        </w:rPr>
      </w:pPr>
    </w:p>
    <w:p w14:paraId="15DA8E27">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p w14:paraId="0CA81F8C">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编号：</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p w14:paraId="56ED99B5">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货币单位：元人民币</w:t>
      </w:r>
    </w:p>
    <w:tbl>
      <w:tblPr>
        <w:tblStyle w:val="78"/>
        <w:tblW w:w="8394" w:type="dxa"/>
        <w:tblInd w:w="93" w:type="dxa"/>
        <w:tblLayout w:type="fixed"/>
        <w:tblCellMar>
          <w:top w:w="0" w:type="dxa"/>
          <w:left w:w="108" w:type="dxa"/>
          <w:bottom w:w="0" w:type="dxa"/>
          <w:right w:w="108" w:type="dxa"/>
        </w:tblCellMar>
      </w:tblPr>
      <w:tblGrid>
        <w:gridCol w:w="1921"/>
        <w:gridCol w:w="1741"/>
        <w:gridCol w:w="1800"/>
        <w:gridCol w:w="1466"/>
        <w:gridCol w:w="1466"/>
      </w:tblGrid>
      <w:tr w14:paraId="234D3BC0">
        <w:tblPrEx>
          <w:tblCellMar>
            <w:top w:w="0" w:type="dxa"/>
            <w:left w:w="108" w:type="dxa"/>
            <w:bottom w:w="0" w:type="dxa"/>
            <w:right w:w="108" w:type="dxa"/>
          </w:tblCellMar>
        </w:tblPrEx>
        <w:trPr>
          <w:trHeight w:val="702" w:hRule="atLeast"/>
        </w:trPr>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EFC2">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94E8">
            <w:pPr>
              <w:widowControl/>
              <w:jc w:val="center"/>
              <w:rPr>
                <w:rFonts w:ascii="宋体" w:hAnsi="宋体" w:cs="宋体"/>
                <w:b/>
                <w:bCs/>
                <w:color w:val="auto"/>
                <w:kern w:val="0"/>
                <w:szCs w:val="21"/>
                <w:highlight w:val="none"/>
              </w:rPr>
            </w:pPr>
            <w:r>
              <w:rPr>
                <w:rFonts w:hint="eastAsia" w:ascii="宋体" w:hAnsi="宋体" w:cs="宋体"/>
                <w:b/>
                <w:bCs/>
                <w:color w:val="000000"/>
                <w:kern w:val="0"/>
                <w:szCs w:val="21"/>
              </w:rPr>
              <w:t>不含税总价</w:t>
            </w:r>
            <w:r>
              <w:rPr>
                <w:rFonts w:hint="eastAsia" w:ascii="宋体" w:hAnsi="宋体" w:cs="宋体"/>
                <w:b/>
                <w:bCs/>
                <w:color w:val="000000"/>
                <w:kern w:val="0"/>
                <w:szCs w:val="21"/>
              </w:rPr>
              <w:br w:type="textWrapping"/>
            </w:r>
            <w:r>
              <w:rPr>
                <w:rFonts w:hint="eastAsia" w:ascii="宋体" w:hAnsi="宋体" w:cs="宋体"/>
                <w:b/>
                <w:bCs/>
                <w:color w:val="000000"/>
                <w:kern w:val="0"/>
                <w:szCs w:val="21"/>
              </w:rPr>
              <w:t>（元）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2099">
            <w:pPr>
              <w:widowControl/>
              <w:jc w:val="center"/>
              <w:rPr>
                <w:rFonts w:ascii="宋体" w:hAnsi="宋体" w:cs="宋体"/>
                <w:b/>
                <w:bCs/>
                <w:color w:val="auto"/>
                <w:kern w:val="0"/>
                <w:szCs w:val="21"/>
                <w:highlight w:val="none"/>
              </w:rPr>
            </w:pPr>
            <w:r>
              <w:rPr>
                <w:rFonts w:hint="eastAsia" w:ascii="宋体" w:hAnsi="宋体" w:cs="宋体"/>
                <w:b/>
                <w:bCs/>
                <w:color w:val="000000"/>
                <w:kern w:val="0"/>
                <w:szCs w:val="21"/>
              </w:rPr>
              <w:t>增值税税率</w:t>
            </w:r>
            <w:r>
              <w:rPr>
                <w:rFonts w:hint="eastAsia" w:ascii="宋体" w:hAnsi="宋体" w:cs="宋体"/>
                <w:b/>
                <w:bCs/>
                <w:color w:val="000000"/>
                <w:kern w:val="0"/>
                <w:szCs w:val="21"/>
              </w:rPr>
              <w:br w:type="textWrapping"/>
            </w:r>
            <w:r>
              <w:rPr>
                <w:rFonts w:hint="eastAsia" w:ascii="宋体" w:hAnsi="宋体" w:cs="宋体"/>
                <w:b/>
                <w:bCs/>
                <w:color w:val="000000"/>
                <w:kern w:val="0"/>
                <w:szCs w:val="21"/>
              </w:rPr>
              <w:t>（%）</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5E32">
            <w:pPr>
              <w:widowControl/>
              <w:jc w:val="center"/>
              <w:rPr>
                <w:rFonts w:ascii="宋体" w:hAnsi="宋体" w:cs="宋体"/>
                <w:b/>
                <w:bCs/>
                <w:color w:val="auto"/>
                <w:kern w:val="0"/>
                <w:szCs w:val="21"/>
                <w:highlight w:val="none"/>
              </w:rPr>
            </w:pPr>
            <w:r>
              <w:rPr>
                <w:rFonts w:hint="eastAsia" w:ascii="宋体" w:hAnsi="宋体" w:cs="宋体"/>
                <w:b/>
                <w:bCs/>
                <w:color w:val="000000"/>
                <w:kern w:val="0"/>
                <w:szCs w:val="21"/>
              </w:rPr>
              <w:t>含税总价</w:t>
            </w:r>
            <w:r>
              <w:rPr>
                <w:rFonts w:hint="eastAsia" w:ascii="宋体" w:hAnsi="宋体" w:cs="宋体"/>
                <w:b/>
                <w:bCs/>
                <w:color w:val="000000"/>
                <w:kern w:val="0"/>
                <w:szCs w:val="21"/>
              </w:rPr>
              <w:br w:type="textWrapping"/>
            </w:r>
            <w:r>
              <w:rPr>
                <w:rFonts w:hint="eastAsia" w:ascii="宋体" w:hAnsi="宋体" w:cs="宋体"/>
                <w:b/>
                <w:bCs/>
                <w:color w:val="000000"/>
                <w:kern w:val="0"/>
                <w:szCs w:val="21"/>
              </w:rPr>
              <w:t>（元）</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56F6D">
            <w:pPr>
              <w:widowControl/>
              <w:jc w:val="center"/>
              <w:rPr>
                <w:rFonts w:hint="eastAsia" w:ascii="宋体" w:hAnsi="宋体" w:eastAsia="宋体" w:cs="宋体"/>
                <w:b/>
                <w:szCs w:val="21"/>
                <w:lang w:val="en-US" w:eastAsia="zh-CN"/>
              </w:rPr>
            </w:pPr>
            <w:r>
              <w:rPr>
                <w:rFonts w:hint="eastAsia" w:ascii="宋体" w:hAnsi="宋体" w:cs="宋体"/>
                <w:b/>
                <w:szCs w:val="21"/>
                <w:lang w:val="en-US" w:eastAsia="zh-CN"/>
              </w:rPr>
              <w:t>备注</w:t>
            </w:r>
          </w:p>
        </w:tc>
      </w:tr>
      <w:tr w14:paraId="50F3159A">
        <w:tblPrEx>
          <w:tblCellMar>
            <w:top w:w="0" w:type="dxa"/>
            <w:left w:w="108" w:type="dxa"/>
            <w:bottom w:w="0" w:type="dxa"/>
            <w:right w:w="108" w:type="dxa"/>
          </w:tblCellMar>
        </w:tblPrEx>
        <w:trPr>
          <w:trHeight w:val="1932" w:hRule="atLeast"/>
        </w:trPr>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1FC9">
            <w:pPr>
              <w:widowControl/>
              <w:jc w:val="center"/>
              <w:rPr>
                <w:rFonts w:hint="eastAsia" w:ascii="宋体" w:hAnsi="宋体" w:eastAsia="宋体" w:cs="宋体"/>
                <w:color w:val="auto"/>
                <w:kern w:val="0"/>
                <w:sz w:val="22"/>
                <w:szCs w:val="22"/>
                <w:highlight w:val="none"/>
                <w:lang w:eastAsia="zh-CN"/>
              </w:rPr>
            </w:pPr>
            <w:r>
              <w:rPr>
                <w:rFonts w:hint="eastAsia" w:asciiTheme="minorEastAsia" w:hAnsiTheme="minorEastAsia" w:eastAsiaTheme="minorEastAsia"/>
                <w:color w:val="auto"/>
                <w:highlight w:val="none"/>
                <w:u w:val="single"/>
                <w:lang w:eastAsia="zh-CN"/>
              </w:rPr>
              <w:t>湖北信通通信有限公司2026-2028年荆州零星搬运服务项目</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F31A">
            <w:pPr>
              <w:widowControl/>
              <w:jc w:val="center"/>
              <w:rPr>
                <w:rFonts w:ascii="宋体" w:hAnsi="宋体" w:cs="宋体"/>
                <w:color w:val="auto"/>
                <w:kern w:val="0"/>
                <w:szCs w:val="21"/>
                <w:highlight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8861">
            <w:pPr>
              <w:widowControl/>
              <w:jc w:val="center"/>
              <w:rPr>
                <w:rFonts w:ascii="宋体" w:hAnsi="宋体" w:cs="宋体"/>
                <w:color w:val="auto"/>
                <w:kern w:val="0"/>
                <w:sz w:val="22"/>
                <w:szCs w:val="22"/>
                <w:highlight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FEB9">
            <w:pPr>
              <w:widowControl/>
              <w:jc w:val="center"/>
              <w:rPr>
                <w:rFonts w:ascii="宋体" w:hAnsi="宋体" w:cs="宋体"/>
                <w:color w:val="auto"/>
                <w:kern w:val="0"/>
                <w:sz w:val="22"/>
                <w:szCs w:val="22"/>
                <w:highlight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40CFF">
            <w:pPr>
              <w:widowControl/>
              <w:jc w:val="center"/>
              <w:rPr>
                <w:rFonts w:hint="eastAsia" w:ascii="宋体" w:hAnsi="宋体" w:eastAsia="宋体" w:cs="宋体"/>
                <w:kern w:val="2"/>
                <w:sz w:val="21"/>
                <w:szCs w:val="21"/>
                <w:lang w:val="en-US" w:eastAsia="zh-CN" w:bidi="ar-SA"/>
              </w:rPr>
            </w:pPr>
          </w:p>
        </w:tc>
      </w:tr>
    </w:tbl>
    <w:p w14:paraId="4CE8F0A1">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w:t>
      </w:r>
    </w:p>
    <w:p w14:paraId="7762B64A">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1、本项目报价须包含完成采购人要求的与本项目工作相关所产生的所有费用，后期不得增加；</w:t>
      </w:r>
    </w:p>
    <w:p w14:paraId="2B8A623F">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w:t>
      </w:r>
      <w:r>
        <w:rPr>
          <w:rFonts w:hint="eastAsia" w:cs="Times New Roman" w:asciiTheme="minorEastAsia" w:hAnsiTheme="minorEastAsia" w:eastAsiaTheme="minorEastAsia"/>
          <w:color w:val="auto"/>
          <w:szCs w:val="21"/>
        </w:rPr>
        <w:t>报价最多保留两位小数（四舍五入）。不含税总价与依据不含税单价报价计算出的结果不一致的，以不含税单价报价为准修正不含税总价。含税价与依据不含税价计算出的结果不一致的，以不含税价修正含税价</w:t>
      </w:r>
      <w:r>
        <w:rPr>
          <w:rFonts w:hint="eastAsia" w:cs="Times New Roman" w:asciiTheme="minorEastAsia" w:hAnsiTheme="minorEastAsia" w:eastAsiaTheme="minorEastAsia"/>
          <w:color w:val="auto"/>
          <w:szCs w:val="21"/>
          <w:highlight w:val="none"/>
        </w:rPr>
        <w:t>。</w:t>
      </w:r>
    </w:p>
    <w:p w14:paraId="48E8A23D">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、根据国家营改增工作要求，</w:t>
      </w:r>
      <w:r>
        <w:rPr>
          <w:rFonts w:hint="eastAsia" w:asciiTheme="minorEastAsia" w:hAnsiTheme="minorEastAsia" w:eastAsiaTheme="minorEastAsia"/>
          <w:b/>
          <w:bCs/>
          <w:color w:val="auto"/>
          <w:szCs w:val="21"/>
          <w:highlight w:val="none"/>
        </w:rPr>
        <w:t>本次采购一般纳税人的增值税税率应为“</w:t>
      </w:r>
      <w:r>
        <w:rPr>
          <w:rFonts w:hint="eastAsia" w:asciiTheme="minorEastAsia" w:hAnsiTheme="minorEastAsia" w:eastAsiaTheme="minorEastAsia"/>
          <w:b/>
          <w:bCs/>
          <w:color w:val="auto"/>
          <w:szCs w:val="21"/>
          <w:highlight w:val="none"/>
          <w:lang w:val="en-US" w:eastAsia="zh-CN"/>
        </w:rPr>
        <w:t>6%</w:t>
      </w:r>
      <w:r>
        <w:rPr>
          <w:rFonts w:hint="eastAsia" w:asciiTheme="minorEastAsia" w:hAnsiTheme="minorEastAsia" w:eastAsiaTheme="minorEastAsia"/>
          <w:b/>
          <w:bCs/>
          <w:color w:val="auto"/>
          <w:szCs w:val="21"/>
          <w:highlight w:val="none"/>
        </w:rPr>
        <w:t>”；如供应商为小规模纳税人，则应填报的税率为“3%”</w:t>
      </w:r>
      <w:r>
        <w:rPr>
          <w:rFonts w:hint="eastAsia" w:asciiTheme="minorEastAsia" w:hAnsiTheme="minorEastAsia" w:eastAsiaTheme="minorEastAsia"/>
          <w:color w:val="auto"/>
          <w:szCs w:val="21"/>
          <w:highlight w:val="none"/>
        </w:rPr>
        <w:t>，如供应商符合《税务总局关于明确增值税小规模纳税人减免增值税等政策的公告》（财政部 税务总局公告2023年第1号）文中减免增值税要求，则从其税率；若供应商所报税率不符合上述要求，按无效响应处理。</w:t>
      </w:r>
    </w:p>
    <w:p w14:paraId="24D41FF0">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4</w:t>
      </w:r>
      <w:r>
        <w:rPr>
          <w:rFonts w:hint="eastAsia" w:asciiTheme="minorEastAsia" w:hAnsiTheme="minorEastAsia" w:eastAsiaTheme="minorEastAsia"/>
          <w:color w:val="auto"/>
          <w:szCs w:val="21"/>
          <w:highlight w:val="none"/>
        </w:rPr>
        <w:t>、供应商必须按报价要求和规定格式填写此表，不得自行修改或删减报价一览表或分项报价表（如有）中的内容及格式。若进行了实质性修改或未进行实质性响应，则按无效响应处理。</w:t>
      </w:r>
    </w:p>
    <w:p w14:paraId="1E9F6F67">
      <w:pPr>
        <w:spacing w:line="44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5</w:t>
      </w:r>
      <w:r>
        <w:rPr>
          <w:rFonts w:hint="eastAsia" w:asciiTheme="minorEastAsia" w:hAnsiTheme="minorEastAsia" w:eastAsiaTheme="minorEastAsia"/>
          <w:color w:val="auto"/>
          <w:szCs w:val="21"/>
          <w:highlight w:val="none"/>
        </w:rPr>
        <w:t>、本项目设置最高响应限价，供应商报价高于最高响应限价的，其响应将被否决。</w:t>
      </w:r>
    </w:p>
    <w:p w14:paraId="79820BA8">
      <w:pPr>
        <w:spacing w:line="440" w:lineRule="exact"/>
        <w:rPr>
          <w:rFonts w:asciiTheme="minorEastAsia" w:hAnsiTheme="minorEastAsia" w:eastAsiaTheme="minorEastAsia"/>
          <w:color w:val="auto"/>
          <w:szCs w:val="21"/>
          <w:highlight w:val="none"/>
        </w:rPr>
      </w:pPr>
    </w:p>
    <w:p w14:paraId="419528C1">
      <w:pPr>
        <w:spacing w:line="440" w:lineRule="exact"/>
        <w:ind w:firstLine="1274" w:firstLineChars="607"/>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供应商名称：</w:t>
      </w:r>
      <w:r>
        <w:rPr>
          <w:rFonts w:hint="eastAsia" w:asciiTheme="minorEastAsia" w:hAnsiTheme="minorEastAsia" w:eastAsiaTheme="minorEastAsia"/>
          <w:color w:val="auto"/>
          <w:sz w:val="21"/>
          <w:szCs w:val="21"/>
          <w:highlight w:val="none"/>
          <w:u w:val="single"/>
        </w:rPr>
        <w:t xml:space="preserve">　　　　　　　　           </w:t>
      </w:r>
    </w:p>
    <w:p w14:paraId="226C093E">
      <w:pPr>
        <w:spacing w:line="440" w:lineRule="exact"/>
        <w:ind w:firstLine="1274" w:firstLineChars="607"/>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052701A6">
      <w:pPr>
        <w:spacing w:line="440" w:lineRule="exact"/>
        <w:ind w:firstLine="1274" w:firstLineChars="607"/>
        <w:jc w:val="left"/>
        <w:rPr>
          <w:rFonts w:hint="eastAsia" w:asciiTheme="minorEastAsia" w:hAnsiTheme="minorEastAsia" w:eastAsiaTheme="minorEastAsia"/>
          <w:color w:val="auto"/>
          <w:highlight w:val="none"/>
        </w:rPr>
      </w:pPr>
    </w:p>
    <w:p w14:paraId="7418AF33">
      <w:pPr>
        <w:spacing w:line="440" w:lineRule="exact"/>
        <w:ind w:firstLine="1274" w:firstLineChars="607"/>
        <w:jc w:val="left"/>
        <w:rPr>
          <w:rFonts w:hint="eastAsia" w:asciiTheme="minorEastAsia" w:hAnsiTheme="minorEastAsia" w:eastAsiaTheme="minorEastAsia"/>
          <w:color w:val="auto"/>
          <w:highlight w:val="none"/>
        </w:rPr>
      </w:pPr>
    </w:p>
    <w:p w14:paraId="0EC90D11">
      <w:pPr>
        <w:spacing w:line="440" w:lineRule="exact"/>
        <w:ind w:firstLine="1274" w:firstLineChars="607"/>
        <w:jc w:val="left"/>
        <w:rPr>
          <w:rFonts w:hint="eastAsia" w:asciiTheme="minorEastAsia" w:hAnsiTheme="minorEastAsia" w:eastAsiaTheme="minorEastAsia"/>
          <w:color w:val="auto"/>
          <w:highlight w:val="none"/>
        </w:rPr>
      </w:pPr>
    </w:p>
    <w:bookmarkEnd w:id="813"/>
    <w:bookmarkEnd w:id="814"/>
    <w:bookmarkEnd w:id="815"/>
    <w:bookmarkEnd w:id="816"/>
    <w:p w14:paraId="1E35073F">
      <w:pPr>
        <w:widowControl w:val="0"/>
        <w:numPr>
          <w:ilvl w:val="0"/>
          <w:numId w:val="39"/>
        </w:numPr>
        <w:tabs>
          <w:tab w:val="left" w:pos="588"/>
        </w:tabs>
        <w:snapToGrid w:val="0"/>
        <w:spacing w:before="120" w:after="120" w:line="440" w:lineRule="exact"/>
        <w:ind w:left="425" w:hanging="425"/>
        <w:jc w:val="left"/>
        <w:outlineLvl w:val="1"/>
        <w:rPr>
          <w:rFonts w:cs="Times New Roman" w:asciiTheme="minorEastAsia" w:hAnsiTheme="minorEastAsia" w:eastAsiaTheme="minorEastAsia"/>
          <w:b/>
          <w:bCs/>
          <w:kern w:val="2"/>
          <w:sz w:val="24"/>
          <w:szCs w:val="24"/>
          <w:lang w:val="en-US" w:eastAsia="zh-CN" w:bidi="ar-SA"/>
        </w:rPr>
      </w:pPr>
      <w:r>
        <w:rPr>
          <w:rFonts w:hint="eastAsia" w:cs="Times New Roman" w:asciiTheme="minorEastAsia" w:hAnsiTheme="minorEastAsia" w:eastAsiaTheme="minorEastAsia"/>
          <w:b/>
          <w:bCs/>
          <w:kern w:val="2"/>
          <w:sz w:val="24"/>
          <w:szCs w:val="24"/>
          <w:lang w:val="en-US" w:eastAsia="zh-CN" w:bidi="ar-SA"/>
        </w:rPr>
        <w:t>分项报价表</w:t>
      </w:r>
    </w:p>
    <w:p w14:paraId="70A31BF2">
      <w:pPr>
        <w:jc w:val="center"/>
        <w:rPr>
          <w:rFonts w:cs="宋体" w:asciiTheme="minorEastAsia" w:hAnsiTheme="minorEastAsia" w:eastAsiaTheme="minorEastAsia"/>
          <w:b/>
          <w:sz w:val="24"/>
        </w:rPr>
      </w:pPr>
      <w:r>
        <w:rPr>
          <w:rFonts w:hint="eastAsia" w:cs="宋体" w:asciiTheme="minorEastAsia" w:hAnsiTheme="minorEastAsia" w:eastAsiaTheme="minorEastAsia"/>
          <w:b/>
          <w:sz w:val="24"/>
          <w:lang w:val="en-US" w:eastAsia="zh-CN"/>
        </w:rPr>
        <w:t>分项报价</w:t>
      </w:r>
      <w:r>
        <w:rPr>
          <w:rFonts w:hint="eastAsia" w:cs="宋体" w:asciiTheme="minorEastAsia" w:hAnsiTheme="minorEastAsia" w:eastAsiaTheme="minorEastAsia"/>
          <w:b/>
          <w:sz w:val="24"/>
        </w:rPr>
        <w:t>表</w:t>
      </w:r>
    </w:p>
    <w:p w14:paraId="7B471285">
      <w:pPr>
        <w:widowControl/>
        <w:rPr>
          <w:rFonts w:cs="宋体" w:asciiTheme="minorEastAsia" w:hAnsiTheme="minorEastAsia" w:eastAsiaTheme="minorEastAsia"/>
          <w:szCs w:val="21"/>
        </w:rPr>
      </w:pPr>
    </w:p>
    <w:p w14:paraId="3D879A63">
      <w:pPr>
        <w:snapToGrid w:val="0"/>
        <w:spacing w:line="440" w:lineRule="exact"/>
        <w:rPr>
          <w:rFonts w:cs="宋体" w:asciiTheme="minorEastAsia" w:hAnsiTheme="minorEastAsia" w:eastAsiaTheme="minorEastAsia"/>
          <w:szCs w:val="21"/>
        </w:rPr>
      </w:pPr>
      <w:r>
        <w:rPr>
          <w:rFonts w:hint="eastAsia" w:cs="宋体" w:asciiTheme="minorEastAsia" w:hAnsiTheme="minorEastAsia" w:eastAsiaTheme="minorEastAsia"/>
          <w:szCs w:val="21"/>
        </w:rPr>
        <w:t>项目</w:t>
      </w:r>
      <w:r>
        <w:rPr>
          <w:rFonts w:cs="宋体" w:asciiTheme="minorEastAsia" w:hAnsiTheme="minorEastAsia" w:eastAsiaTheme="minorEastAsia"/>
          <w:szCs w:val="21"/>
        </w:rPr>
        <w:t>名称：</w:t>
      </w:r>
      <w:r>
        <w:rPr>
          <w:rFonts w:cs="宋体" w:asciiTheme="minorEastAsia" w:hAnsiTheme="minorEastAsia" w:eastAsiaTheme="minorEastAsia"/>
          <w:szCs w:val="21"/>
          <w:u w:val="single"/>
        </w:rPr>
        <w:t xml:space="preserve">                                    </w:t>
      </w:r>
      <w:r>
        <w:rPr>
          <w:rFonts w:cs="宋体" w:asciiTheme="minorEastAsia" w:hAnsiTheme="minorEastAsia" w:eastAsiaTheme="minorEastAsia"/>
          <w:szCs w:val="21"/>
        </w:rPr>
        <w:t xml:space="preserve">  </w:t>
      </w:r>
    </w:p>
    <w:p w14:paraId="757020E2">
      <w:pPr>
        <w:snapToGrid w:val="0"/>
        <w:spacing w:line="440" w:lineRule="exact"/>
        <w:rPr>
          <w:rFonts w:cs="宋体" w:asciiTheme="minorEastAsia" w:hAnsiTheme="minorEastAsia" w:eastAsiaTheme="minorEastAsia"/>
          <w:szCs w:val="21"/>
        </w:rPr>
      </w:pPr>
      <w:r>
        <w:rPr>
          <w:rFonts w:hint="eastAsia" w:cs="宋体" w:asciiTheme="minorEastAsia" w:hAnsiTheme="minorEastAsia" w:eastAsiaTheme="minorEastAsia"/>
          <w:szCs w:val="21"/>
        </w:rPr>
        <w:t>项目</w:t>
      </w:r>
      <w:r>
        <w:rPr>
          <w:rFonts w:cs="宋体" w:asciiTheme="minorEastAsia" w:hAnsiTheme="minorEastAsia" w:eastAsiaTheme="minorEastAsia"/>
          <w:szCs w:val="21"/>
        </w:rPr>
        <w:t>编号：</w:t>
      </w:r>
      <w:r>
        <w:rPr>
          <w:rFonts w:cs="宋体" w:asciiTheme="minorEastAsia" w:hAnsiTheme="minorEastAsia" w:eastAsiaTheme="minorEastAsia"/>
          <w:szCs w:val="21"/>
          <w:u w:val="single"/>
        </w:rPr>
        <w:t xml:space="preserve">              </w:t>
      </w:r>
      <w:r>
        <w:rPr>
          <w:rFonts w:hint="eastAsia" w:cs="宋体" w:asciiTheme="minorEastAsia" w:hAnsiTheme="minorEastAsia" w:eastAsiaTheme="minorEastAsia"/>
          <w:szCs w:val="21"/>
          <w:u w:val="single"/>
        </w:rPr>
        <w:t xml:space="preserve">         </w:t>
      </w:r>
      <w:r>
        <w:rPr>
          <w:rFonts w:cs="宋体" w:asciiTheme="minorEastAsia" w:hAnsiTheme="minorEastAsia" w:eastAsiaTheme="minorEastAsia"/>
          <w:szCs w:val="21"/>
          <w:u w:val="single"/>
        </w:rPr>
        <w:t xml:space="preserve">             </w:t>
      </w:r>
      <w:r>
        <w:rPr>
          <w:rFonts w:cs="宋体" w:asciiTheme="minorEastAsia" w:hAnsiTheme="minorEastAsia" w:eastAsiaTheme="minorEastAsia"/>
          <w:szCs w:val="21"/>
        </w:rPr>
        <w:t xml:space="preserve">  </w:t>
      </w:r>
    </w:p>
    <w:p w14:paraId="4FEC9A33">
      <w:pPr>
        <w:snapToGrid w:val="0"/>
        <w:spacing w:line="440" w:lineRule="exact"/>
        <w:rPr>
          <w:rFonts w:cs="宋体" w:asciiTheme="minorEastAsia" w:hAnsiTheme="minorEastAsia" w:eastAsiaTheme="minorEastAsia"/>
          <w:szCs w:val="21"/>
        </w:rPr>
      </w:pPr>
      <w:r>
        <w:rPr>
          <w:rFonts w:hint="eastAsia" w:cs="宋体" w:asciiTheme="minorEastAsia" w:hAnsiTheme="minorEastAsia" w:eastAsiaTheme="minorEastAsia"/>
          <w:szCs w:val="21"/>
        </w:rPr>
        <w:t>货币单位：元人民币</w:t>
      </w:r>
    </w:p>
    <w:tbl>
      <w:tblPr>
        <w:tblStyle w:val="78"/>
        <w:tblW w:w="84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81"/>
        <w:gridCol w:w="1424"/>
        <w:gridCol w:w="1581"/>
        <w:gridCol w:w="1919"/>
        <w:gridCol w:w="1918"/>
      </w:tblGrid>
      <w:tr w14:paraId="3E7DD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F1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服务内容、区域范围</w:t>
            </w:r>
          </w:p>
        </w:tc>
        <w:tc>
          <w:tcPr>
            <w:tcW w:w="1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2C5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预估工作量</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994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分项不含税单价最高限价（元）</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3D8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响应分项不含税单价（元）</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B15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响应分项不含税总价（元）</w:t>
            </w:r>
          </w:p>
        </w:tc>
      </w:tr>
      <w:tr w14:paraId="58CC8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FD5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（全市）人工搬运-设备搬运（单位：元/人/天）</w:t>
            </w:r>
          </w:p>
        </w:tc>
        <w:tc>
          <w:tcPr>
            <w:tcW w:w="1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A44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2245</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25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38A8F">
            <w:pPr>
              <w:jc w:val="center"/>
              <w:rPr>
                <w:rFonts w:hint="eastAsia" w:ascii="宋体" w:hAnsi="宋体" w:eastAsia="宋体" w:cs="宋体"/>
                <w:i w:val="0"/>
                <w:iCs w:val="0"/>
                <w:color w:val="000000"/>
                <w:sz w:val="22"/>
                <w:szCs w:val="22"/>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05E3">
            <w:pPr>
              <w:jc w:val="center"/>
              <w:rPr>
                <w:rFonts w:hint="eastAsia" w:ascii="宋体" w:hAnsi="宋体" w:eastAsia="宋体" w:cs="宋体"/>
                <w:i w:val="0"/>
                <w:iCs w:val="0"/>
                <w:color w:val="000000"/>
                <w:sz w:val="22"/>
                <w:szCs w:val="22"/>
                <w:u w:val="none"/>
              </w:rPr>
            </w:pPr>
          </w:p>
        </w:tc>
      </w:tr>
      <w:tr w14:paraId="73B62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915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（市内）转场搬运-设备转运（单位：元/车/天）</w:t>
            </w:r>
          </w:p>
        </w:tc>
        <w:tc>
          <w:tcPr>
            <w:tcW w:w="1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4A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1650</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25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292</w:t>
            </w:r>
          </w:p>
        </w:tc>
        <w:tc>
          <w:tcPr>
            <w:tcW w:w="0" w:type="auto"/>
            <w:tcBorders>
              <w:top w:val="nil"/>
              <w:left w:val="nil"/>
              <w:bottom w:val="nil"/>
              <w:right w:val="nil"/>
            </w:tcBorders>
            <w:shd w:val="clear" w:color="auto" w:fill="auto"/>
            <w:noWrap/>
            <w:vAlign w:val="center"/>
          </w:tcPr>
          <w:p w14:paraId="2E6EEA14">
            <w:pPr>
              <w:rPr>
                <w:rFonts w:hint="eastAsia" w:ascii="宋体" w:hAnsi="宋体" w:eastAsia="宋体" w:cs="宋体"/>
                <w:i w:val="0"/>
                <w:iCs w:val="0"/>
                <w:color w:val="000000"/>
                <w:sz w:val="22"/>
                <w:szCs w:val="22"/>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8849">
            <w:pPr>
              <w:jc w:val="center"/>
              <w:rPr>
                <w:rFonts w:hint="eastAsia" w:ascii="宋体" w:hAnsi="宋体" w:eastAsia="宋体" w:cs="宋体"/>
                <w:i w:val="0"/>
                <w:iCs w:val="0"/>
                <w:color w:val="000000"/>
                <w:sz w:val="22"/>
                <w:szCs w:val="22"/>
                <w:u w:val="none"/>
              </w:rPr>
            </w:pPr>
          </w:p>
        </w:tc>
      </w:tr>
      <w:tr w14:paraId="59AC1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4A9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（乡镇）转场-设备转运（单位：元/车/天）</w:t>
            </w:r>
          </w:p>
        </w:tc>
        <w:tc>
          <w:tcPr>
            <w:tcW w:w="1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B5A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533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338</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9028">
            <w:pPr>
              <w:jc w:val="center"/>
              <w:rPr>
                <w:rFonts w:hint="eastAsia" w:ascii="宋体" w:hAnsi="宋体" w:eastAsia="宋体" w:cs="宋体"/>
                <w:i w:val="0"/>
                <w:iCs w:val="0"/>
                <w:color w:val="000000"/>
                <w:sz w:val="22"/>
                <w:szCs w:val="22"/>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598B6">
            <w:pPr>
              <w:jc w:val="center"/>
              <w:rPr>
                <w:rFonts w:hint="eastAsia" w:ascii="宋体" w:hAnsi="宋体" w:eastAsia="宋体" w:cs="宋体"/>
                <w:i w:val="0"/>
                <w:iCs w:val="0"/>
                <w:color w:val="000000"/>
                <w:sz w:val="22"/>
                <w:szCs w:val="22"/>
                <w:u w:val="none"/>
              </w:rPr>
            </w:pPr>
          </w:p>
        </w:tc>
      </w:tr>
      <w:tr w14:paraId="7F438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5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F2F02">
            <w:pPr>
              <w:tabs>
                <w:tab w:val="left" w:pos="4799"/>
              </w:tabs>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合计不含税总价（元）</w:t>
            </w:r>
            <w:r>
              <w:rPr>
                <w:rFonts w:hint="eastAsia" w:ascii="宋体" w:hAnsi="宋体" w:eastAsia="宋体" w:cs="宋体"/>
                <w:i w:val="0"/>
                <w:iCs w:val="0"/>
                <w:color w:val="000000"/>
                <w:kern w:val="0"/>
                <w:sz w:val="22"/>
                <w:szCs w:val="22"/>
                <w:u w:val="none"/>
                <w:lang w:val="en-US" w:eastAsia="zh-CN" w:bidi="ar"/>
              </w:rPr>
              <w:tab/>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359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p>
        </w:tc>
      </w:tr>
      <w:tr w14:paraId="6423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5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C0976">
            <w:pPr>
              <w:tabs>
                <w:tab w:val="left" w:pos="4799"/>
              </w:tabs>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增值税税率（%）</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4F21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C990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5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4423E">
            <w:pPr>
              <w:tabs>
                <w:tab w:val="left" w:pos="4799"/>
              </w:tabs>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含税总价（元）</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D8C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3E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F9164">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c>
          <w:tcPr>
            <w:tcW w:w="68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417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作量计算方式：根据每笔工单的人工时长及车辆转运趟次（指采购方填写的工作时长或天数）核算，1、人工搬运费用小于等于4小时按0.5天计算，超过4小时的按1天计算。2、单次车辆转运为全程搬运打包价，含上下楼层费用、含人工、车辆运行等所有费用。</w:t>
            </w:r>
          </w:p>
        </w:tc>
      </w:tr>
    </w:tbl>
    <w:p w14:paraId="624EE1ED">
      <w:pPr>
        <w:spacing w:line="440" w:lineRule="exact"/>
        <w:rPr>
          <w:rFonts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注：</w:t>
      </w:r>
    </w:p>
    <w:p w14:paraId="360D743E">
      <w:pPr>
        <w:spacing w:line="440" w:lineRule="exact"/>
        <w:rPr>
          <w:rFonts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1、本项目报价须包含完成采购人要求的与本项目工作相关所产生的所有费用，后期不得增加；</w:t>
      </w:r>
    </w:p>
    <w:p w14:paraId="67C25A4E">
      <w:pPr>
        <w:spacing w:line="440" w:lineRule="exact"/>
        <w:rPr>
          <w:rFonts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lang w:val="en-US" w:eastAsia="zh-CN"/>
        </w:rPr>
        <w:t>2</w:t>
      </w:r>
      <w:r>
        <w:rPr>
          <w:rFonts w:hint="eastAsia" w:cs="Times New Roman" w:asciiTheme="minorEastAsia" w:hAnsiTheme="minorEastAsia" w:eastAsiaTheme="minorEastAsia"/>
          <w:color w:val="auto"/>
          <w:szCs w:val="21"/>
        </w:rPr>
        <w:t>、报价最多保留两位小数（四舍五入）。不含税总价与依据不含税单价报价计算出的结果不一致的，以不含税单价报价为准修正不含税总价。含税价与依据不含税价计算出的结果不一致的，以不含税价修正含税价。</w:t>
      </w:r>
    </w:p>
    <w:p w14:paraId="51E96D0C">
      <w:pPr>
        <w:spacing w:line="440" w:lineRule="exact"/>
        <w:rPr>
          <w:rFonts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w:t>
      </w:r>
      <w:r>
        <w:rPr>
          <w:rFonts w:hint="eastAsia" w:cs="Times New Roman" w:asciiTheme="minorEastAsia" w:hAnsiTheme="minorEastAsia" w:eastAsiaTheme="minorEastAsia"/>
          <w:color w:val="auto"/>
          <w:szCs w:val="21"/>
          <w:lang w:val="en-US" w:eastAsia="zh-CN"/>
        </w:rPr>
        <w:t>3</w:t>
      </w:r>
      <w:r>
        <w:rPr>
          <w:rFonts w:hint="eastAsia" w:cs="Times New Roman" w:asciiTheme="minorEastAsia" w:hAnsiTheme="minorEastAsia" w:eastAsiaTheme="minorEastAsia"/>
          <w:color w:val="auto"/>
          <w:szCs w:val="21"/>
        </w:rPr>
        <w:t>、根据国家营</w:t>
      </w:r>
      <w:r>
        <w:rPr>
          <w:rFonts w:hint="eastAsia" w:cs="Times New Roman" w:asciiTheme="minorEastAsia" w:hAnsiTheme="minorEastAsia" w:eastAsiaTheme="minorEastAsia"/>
          <w:b w:val="0"/>
          <w:bCs w:val="0"/>
          <w:color w:val="auto"/>
          <w:szCs w:val="21"/>
        </w:rPr>
        <w:t>改增工作要求，本次采购一般纳税人的增值税税率应为“</w:t>
      </w:r>
      <w:r>
        <w:rPr>
          <w:rFonts w:hint="eastAsia" w:cs="Times New Roman" w:asciiTheme="minorEastAsia" w:hAnsiTheme="minorEastAsia" w:eastAsiaTheme="minorEastAsia"/>
          <w:b w:val="0"/>
          <w:bCs w:val="0"/>
          <w:color w:val="auto"/>
          <w:szCs w:val="21"/>
          <w:highlight w:val="none"/>
          <w:lang w:val="en-US" w:eastAsia="zh-CN"/>
        </w:rPr>
        <w:t>6</w:t>
      </w:r>
      <w:r>
        <w:rPr>
          <w:rFonts w:hint="eastAsia" w:cs="Times New Roman" w:asciiTheme="minorEastAsia" w:hAnsiTheme="minorEastAsia" w:eastAsiaTheme="minorEastAsia"/>
          <w:b w:val="0"/>
          <w:bCs w:val="0"/>
          <w:color w:val="auto"/>
          <w:szCs w:val="21"/>
          <w:highlight w:val="none"/>
        </w:rPr>
        <w:t>%</w:t>
      </w:r>
      <w:r>
        <w:rPr>
          <w:rFonts w:hint="eastAsia" w:cs="Times New Roman" w:asciiTheme="minorEastAsia" w:hAnsiTheme="minorEastAsia" w:eastAsiaTheme="minorEastAsia"/>
          <w:b w:val="0"/>
          <w:bCs w:val="0"/>
          <w:color w:val="auto"/>
          <w:szCs w:val="21"/>
        </w:rPr>
        <w:t>”；如供应商为小规模纳税人，则应填报的税率为“3%”，如供应商符合《税务总局关于明确增值税小规模纳税人减免增值税等政策的公告》（财政部 税务总局公告2</w:t>
      </w:r>
      <w:r>
        <w:rPr>
          <w:rFonts w:hint="eastAsia" w:cs="Times New Roman" w:asciiTheme="minorEastAsia" w:hAnsiTheme="minorEastAsia" w:eastAsiaTheme="minorEastAsia"/>
          <w:color w:val="auto"/>
          <w:szCs w:val="21"/>
        </w:rPr>
        <w:t>023年第1号）文中减免增值税要求，则从其税率；若供应商所报税率不符合上述要求，按无效响应处理。</w:t>
      </w:r>
    </w:p>
    <w:p w14:paraId="4D412C98">
      <w:pPr>
        <w:spacing w:line="440" w:lineRule="exact"/>
        <w:rPr>
          <w:rFonts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lang w:val="en-US" w:eastAsia="zh-CN"/>
        </w:rPr>
        <w:t>4</w:t>
      </w:r>
      <w:r>
        <w:rPr>
          <w:rFonts w:hint="eastAsia" w:cs="Times New Roman" w:asciiTheme="minorEastAsia" w:hAnsiTheme="minorEastAsia" w:eastAsiaTheme="minorEastAsia"/>
          <w:color w:val="auto"/>
          <w:szCs w:val="21"/>
        </w:rPr>
        <w:t>、供应商必须按报价要求和规定格式填写此表，不得自行修改或删减报价一览表或分项报价表（如有）中的内容及格式。若进行了实质性修改或未进行实质性响应，则按无效响应处理。</w:t>
      </w:r>
    </w:p>
    <w:p w14:paraId="1333574C">
      <w:pPr>
        <w:spacing w:line="440" w:lineRule="exact"/>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color w:val="auto"/>
          <w:szCs w:val="21"/>
          <w:highlight w:val="none"/>
          <w:lang w:val="en-US" w:eastAsia="zh-CN"/>
        </w:rPr>
        <w:t>5</w:t>
      </w:r>
      <w:r>
        <w:rPr>
          <w:rFonts w:hint="eastAsia" w:cs="Times New Roman" w:asciiTheme="minorEastAsia" w:hAnsiTheme="minorEastAsia" w:eastAsiaTheme="minorEastAsia"/>
          <w:color w:val="auto"/>
          <w:szCs w:val="21"/>
          <w:highlight w:val="none"/>
        </w:rPr>
        <w:t>、本项目设置最高响应限价，供应商报价高于最高响</w:t>
      </w:r>
      <w:r>
        <w:rPr>
          <w:rFonts w:hint="eastAsia" w:cs="Times New Roman" w:asciiTheme="minorEastAsia" w:hAnsiTheme="minorEastAsia" w:eastAsiaTheme="minorEastAsia"/>
          <w:szCs w:val="21"/>
          <w:highlight w:val="none"/>
        </w:rPr>
        <w:t>应限价的，其响应将被否决。</w:t>
      </w:r>
    </w:p>
    <w:p w14:paraId="69EF01E4">
      <w:pPr>
        <w:spacing w:line="440" w:lineRule="exact"/>
        <w:rPr>
          <w:rFonts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highlight w:val="none"/>
          <w:lang w:val="en-US" w:eastAsia="zh-CN"/>
        </w:rPr>
        <w:t>6</w:t>
      </w:r>
      <w:r>
        <w:rPr>
          <w:rFonts w:hint="eastAsia" w:cs="Times New Roman" w:asciiTheme="minorEastAsia" w:hAnsiTheme="minorEastAsia" w:eastAsiaTheme="minorEastAsia"/>
          <w:szCs w:val="21"/>
          <w:highlight w:val="none"/>
        </w:rPr>
        <w:t>、</w:t>
      </w:r>
      <w:r>
        <w:rPr>
          <w:rFonts w:hint="eastAsia" w:cs="Times New Roman" w:asciiTheme="minorEastAsia" w:hAnsiTheme="minorEastAsia" w:eastAsiaTheme="minorEastAsia"/>
          <w:szCs w:val="21"/>
        </w:rPr>
        <w:t>不含税小计=不含税单价*数量，不含税总价=∑不含税小计</w:t>
      </w:r>
      <w:r>
        <w:rPr>
          <w:rFonts w:hint="eastAsia" w:cs="Times New Roman" w:asciiTheme="minorEastAsia" w:hAnsiTheme="minorEastAsia" w:eastAsiaTheme="minorEastAsia"/>
          <w:szCs w:val="21"/>
          <w:highlight w:val="none"/>
        </w:rPr>
        <w:t>。</w:t>
      </w:r>
    </w:p>
    <w:p w14:paraId="063207C1">
      <w:pPr>
        <w:spacing w:line="440" w:lineRule="exact"/>
        <w:rPr>
          <w:rFonts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7</w:t>
      </w:r>
      <w:r>
        <w:rPr>
          <w:rFonts w:hint="eastAsia" w:cs="Times New Roman" w:asciiTheme="minorEastAsia" w:hAnsiTheme="minorEastAsia" w:eastAsiaTheme="minorEastAsia"/>
          <w:szCs w:val="21"/>
        </w:rPr>
        <w:t>、录入中国电信电子招投标交易平台系统中价格、增值税税率须和电子响应文件中报价一览表价格、增值税税率保持一致，如不一致，且不满足报价修正条款的，以录入中国电信电子招投标交易平台系统价格和税率为准（即以唱价为准）。</w:t>
      </w:r>
    </w:p>
    <w:p w14:paraId="2826B82A">
      <w:pPr>
        <w:spacing w:line="440" w:lineRule="exact"/>
        <w:ind w:firstLine="1274" w:firstLineChars="607"/>
        <w:rPr>
          <w:rFonts w:cs="Times New Roman" w:asciiTheme="minorEastAsia" w:hAnsiTheme="minorEastAsia" w:eastAsiaTheme="minorEastAsia"/>
          <w:sz w:val="21"/>
          <w:szCs w:val="21"/>
        </w:rPr>
      </w:pPr>
      <w:r>
        <w:rPr>
          <w:rFonts w:hint="eastAsia" w:cs="Times New Roman" w:asciiTheme="minorEastAsia" w:hAnsiTheme="minorEastAsia" w:eastAsiaTheme="minorEastAsia"/>
          <w:sz w:val="21"/>
          <w:szCs w:val="21"/>
        </w:rPr>
        <w:t>供应商名称：</w:t>
      </w:r>
      <w:r>
        <w:rPr>
          <w:rFonts w:hint="eastAsia" w:cs="Times New Roman" w:asciiTheme="minorEastAsia" w:hAnsiTheme="minorEastAsia" w:eastAsiaTheme="minorEastAsia"/>
          <w:sz w:val="21"/>
          <w:szCs w:val="21"/>
          <w:u w:val="single"/>
        </w:rPr>
        <w:t xml:space="preserve">　　　　　　　　           </w:t>
      </w:r>
    </w:p>
    <w:p w14:paraId="165F1BF0">
      <w:pPr>
        <w:spacing w:line="440" w:lineRule="exact"/>
        <w:ind w:firstLine="1274" w:firstLineChars="607"/>
        <w:jc w:val="left"/>
        <w:rPr>
          <w:rFonts w:cs="Times New Roman" w:asciiTheme="minorEastAsia" w:hAnsiTheme="minorEastAsia" w:eastAsiaTheme="minorEastAsia"/>
          <w:sz w:val="24"/>
          <w:szCs w:val="21"/>
        </w:rPr>
      </w:pPr>
      <w:r>
        <w:rPr>
          <w:rFonts w:hint="eastAsia" w:cs="Times New Roman" w:asciiTheme="minorEastAsia" w:hAnsiTheme="minorEastAsia" w:eastAsiaTheme="minorEastAsia"/>
        </w:rPr>
        <w:t>日期：</w:t>
      </w:r>
      <w:r>
        <w:rPr>
          <w:rFonts w:hint="eastAsia" w:cs="Times New Roman" w:asciiTheme="minorEastAsia" w:hAnsiTheme="minorEastAsia" w:eastAsiaTheme="minorEastAsia"/>
          <w:u w:val="single"/>
        </w:rPr>
        <w:t xml:space="preserve">          </w:t>
      </w:r>
      <w:r>
        <w:rPr>
          <w:rFonts w:hint="eastAsia" w:cs="Times New Roman" w:asciiTheme="minorEastAsia" w:hAnsiTheme="minorEastAsia" w:eastAsiaTheme="minorEastAsia"/>
        </w:rPr>
        <w:t>年</w:t>
      </w:r>
      <w:r>
        <w:rPr>
          <w:rFonts w:hint="eastAsia" w:cs="Times New Roman" w:asciiTheme="minorEastAsia" w:hAnsiTheme="minorEastAsia" w:eastAsiaTheme="minorEastAsia"/>
          <w:u w:val="single"/>
        </w:rPr>
        <w:t xml:space="preserve">        </w:t>
      </w:r>
      <w:r>
        <w:rPr>
          <w:rFonts w:hint="eastAsia" w:cs="Times New Roman" w:asciiTheme="minorEastAsia" w:hAnsiTheme="minorEastAsia" w:eastAsiaTheme="minorEastAsia"/>
        </w:rPr>
        <w:t>月</w:t>
      </w:r>
      <w:r>
        <w:rPr>
          <w:rFonts w:hint="eastAsia" w:cs="Times New Roman" w:asciiTheme="minorEastAsia" w:hAnsiTheme="minorEastAsia" w:eastAsiaTheme="minorEastAsia"/>
          <w:u w:val="single"/>
        </w:rPr>
        <w:t xml:space="preserve">       </w:t>
      </w:r>
      <w:r>
        <w:rPr>
          <w:rFonts w:hint="eastAsia" w:cs="Times New Roman" w:asciiTheme="minorEastAsia" w:hAnsiTheme="minorEastAsia" w:eastAsiaTheme="minorEastAsia"/>
        </w:rPr>
        <w:t>日</w:t>
      </w:r>
    </w:p>
    <w:p w14:paraId="39669C55">
      <w:pPr>
        <w:spacing w:before="240" w:after="120"/>
        <w:rPr>
          <w:rFonts w:hint="eastAsia" w:cs="宋体" w:asciiTheme="minorEastAsia" w:hAnsiTheme="minorEastAsia" w:eastAsiaTheme="minorEastAsia"/>
          <w:b/>
          <w:bCs w:val="0"/>
          <w:kern w:val="0"/>
          <w:sz w:val="28"/>
          <w:szCs w:val="28"/>
        </w:rPr>
        <w:sectPr>
          <w:pgSz w:w="11906" w:h="16838"/>
          <w:pgMar w:top="1440" w:right="1803" w:bottom="1440" w:left="1803" w:header="851" w:footer="992" w:gutter="0"/>
          <w:pgNumType w:fmt="decimal"/>
          <w:cols w:space="0" w:num="1"/>
          <w:rtlGutter w:val="0"/>
          <w:docGrid w:type="lines" w:linePitch="319" w:charSpace="0"/>
        </w:sectPr>
      </w:pPr>
    </w:p>
    <w:p w14:paraId="3CD69F08">
      <w:pPr>
        <w:rPr>
          <w:color w:val="auto"/>
          <w:highlight w:val="none"/>
        </w:rPr>
      </w:pPr>
    </w:p>
    <w:sectPr>
      <w:pgSz w:w="11906" w:h="16838"/>
      <w:pgMar w:top="1417"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216D48C-D471-465A-9085-8940B70B6052}"/>
  </w:font>
  <w:font w:name="黑体">
    <w:panose1 w:val="02010609060101010101"/>
    <w:charset w:val="86"/>
    <w:family w:val="auto"/>
    <w:pitch w:val="default"/>
    <w:sig w:usb0="800002BF" w:usb1="38CF7CFA" w:usb2="00000016" w:usb3="00000000" w:csb0="00040001" w:csb1="00000000"/>
    <w:embedRegular r:id="rId2" w:fontKey="{EB4CBC1C-D9A1-4917-9103-9C3BF38FBC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embedRegular r:id="rId3" w:fontKey="{F566C61A-87BC-4611-8136-0C4657F641A5}"/>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5FB7E42D-2A15-47BB-8FD9-031834507F04}"/>
  </w:font>
  <w:font w:name="仿宋">
    <w:panose1 w:val="02010609060101010101"/>
    <w:charset w:val="86"/>
    <w:family w:val="modern"/>
    <w:pitch w:val="default"/>
    <w:sig w:usb0="800002BF" w:usb1="38CF7CFA" w:usb2="00000016" w:usb3="00000000" w:csb0="00040001" w:csb1="00000000"/>
    <w:embedRegular r:id="rId5" w:fontKey="{BA6F95E1-B57A-48A2-8F1C-B0FC988D3D9C}"/>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embedRegular r:id="rId6" w:fontKey="{E3290A20-0754-4AF6-9935-608F329C30A4}"/>
  </w:font>
  <w:font w:name="长城仿宋">
    <w:altName w:val="仿宋"/>
    <w:panose1 w:val="00000000000000000000"/>
    <w:charset w:val="00"/>
    <w:family w:val="auto"/>
    <w:pitch w:val="default"/>
    <w:sig w:usb0="00000000" w:usb1="00000000" w:usb2="00000000" w:usb3="00000000" w:csb0="00000000" w:csb1="00000000"/>
  </w:font>
  <w:font w:name="TimesNewRomanPSMT">
    <w:altName w:val="宋体"/>
    <w:panose1 w:val="00000000000000000000"/>
    <w:charset w:val="00"/>
    <w:family w:val="roman"/>
    <w:pitch w:val="default"/>
    <w:sig w:usb0="00000000" w:usb1="00000000" w:usb2="00000010" w:usb3="00000000" w:csb0="00040001" w:csb1="00000000"/>
  </w:font>
  <w:font w:name="方正黑体简体">
    <w:altName w:val="黑体"/>
    <w:panose1 w:val="00000000000000000000"/>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5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华文中宋">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0000000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Microsoft Yahei Font">
    <w:altName w:val="Segoe Print"/>
    <w:panose1 w:val="00000000000000000000"/>
    <w:charset w:val="00"/>
    <w:family w:val="auto"/>
    <w:pitch w:val="default"/>
    <w:sig w:usb0="00000000" w:usb1="00000000" w:usb2="00000000" w:usb3="00000000" w:csb0="00000000" w:csb1="00000000"/>
    <w:embedRegular r:id="rId7" w:fontKey="{4CF8D95D-F22E-4565-A702-75BB11DE3211}"/>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embedRegular r:id="rId8" w:fontKey="{A49CCAC7-BA83-47F6-A87F-DD68E6B4D444}"/>
  </w:font>
  <w:font w:name="方正仿宋_GB2312">
    <w:panose1 w:val="02000000000000000000"/>
    <w:charset w:val="86"/>
    <w:family w:val="auto"/>
    <w:pitch w:val="default"/>
    <w:sig w:usb0="A00002BF" w:usb1="184F6CFA" w:usb2="00000012" w:usb3="00000000" w:csb0="00040001" w:csb1="00000000"/>
    <w:embedRegular r:id="rId9" w:fontKey="{0B894622-B551-48FC-A352-851870C83F1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1774"/>
    </w:sdtPr>
    <w:sdtContent>
      <w:p w14:paraId="7B8AC1ED">
        <w:pPr>
          <w:pStyle w:val="50"/>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1002"/>
    </w:sdtPr>
    <w:sdtContent>
      <w:p w14:paraId="1400D64D">
        <w:pPr>
          <w:pStyle w:val="50"/>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31</w:t>
        </w:r>
        <w:r>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02"/>
    </w:sdtPr>
    <w:sdtContent>
      <w:p w14:paraId="6E62F62B">
        <w:pPr>
          <w:pStyle w:val="50"/>
          <w:jc w:val="center"/>
        </w:pPr>
        <w:r>
          <w:fldChar w:fldCharType="begin"/>
        </w:r>
        <w:r>
          <w:instrText xml:space="preserve">PAGE   \* MERGEFORMAT</w:instrText>
        </w:r>
        <w:r>
          <w:fldChar w:fldCharType="separate"/>
        </w:r>
        <w:r>
          <w:rPr>
            <w:lang w:val="zh-CN"/>
          </w:rPr>
          <w:t>7</w:t>
        </w:r>
        <w:r>
          <w:rPr>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1444734"/>
    </w:sdtPr>
    <w:sdtContent>
      <w:p w14:paraId="5487E24B">
        <w:pPr>
          <w:pStyle w:val="50"/>
          <w:jc w:val="center"/>
        </w:pPr>
        <w:r>
          <w:fldChar w:fldCharType="begin"/>
        </w:r>
        <w:r>
          <w:instrText xml:space="preserve">PAGE   \* MERGEFORMAT</w:instrText>
        </w:r>
        <w:r>
          <w:fldChar w:fldCharType="separate"/>
        </w:r>
        <w:r>
          <w:rPr>
            <w:lang w:val="zh-CN"/>
          </w:rPr>
          <w:t>58</w:t>
        </w:r>
        <w:r>
          <w:fldChar w:fldCharType="end"/>
        </w:r>
      </w:p>
    </w:sdtContent>
  </w:sdt>
  <w:p w14:paraId="53F63C4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C87B1">
    <w:pPr>
      <w:pStyle w:val="51"/>
      <w:jc w:val="left"/>
    </w:pPr>
    <w:r>
      <w:rPr>
        <w:sz w:val="18"/>
      </w:rPr>
      <w:pict>
        <v:shape id="_x0000_s2071" o:spid="_x0000_s2071" o:spt="136" type="#_x0000_t136" style="position:absolute;left:0pt;height:61.45pt;width:539.8pt;mso-position-horizontal:center;mso-position-horizontal-relative:margin;mso-position-vertical:center;mso-position-vertical-relative:margin;rotation:-2949120f;z-index:-251646976;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17884">
    <w:pPr>
      <w:pStyle w:val="51"/>
    </w:pPr>
    <w:r>
      <w:pict>
        <v:shape id="PowerPlusWaterMarkObject259948725" o:spid="_x0000_s2072" o:spt="136" type="#_x0000_t136" style="position:absolute;left:0pt;height:53.2pt;width:532.2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湖北信通通信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C849">
    <w:pPr>
      <w:pStyle w:val="51"/>
    </w:pPr>
    <w:r>
      <w:pict>
        <v:shape id="PowerPlusWaterMarkObject259948724" o:spid="_x0000_s2070" o:spt="136" type="#_x0000_t136" style="position:absolute;left:0pt;height:53.2pt;width:532.2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湖北信通通信有限公司"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E121D">
    <w:pPr>
      <w:pStyle w:val="51"/>
      <w:jc w:val="left"/>
    </w:pPr>
    <w:r>
      <w:rPr>
        <w:sz w:val="18"/>
      </w:rPr>
      <w:pict>
        <v:shape id="PowerPlusWaterMarkObject358237" o:spid="_x0000_s2068" o:spt="136" type="#_x0000_t136" style="position:absolute;left:0pt;height:61.45pt;width:539.8pt;mso-position-horizontal:center;mso-position-horizontal-relative:margin;mso-position-vertical:center;mso-position-vertical-relative:margin;rotation:-2949120f;z-index:-251652096;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6C840">
    <w:pPr>
      <w:pStyle w:val="51"/>
      <w:jc w:val="left"/>
    </w:pPr>
  </w:p>
  <w:p w14:paraId="5C62F917">
    <w:r>
      <w:rPr>
        <w:sz w:val="21"/>
      </w:rPr>
      <w:pict>
        <v:shape id="PowerPlusWaterMarkObject368893" o:spid="_x0000_s2069" o:spt="136" type="#_x0000_t136" style="position:absolute;left:0pt;height:61.45pt;width:539.8pt;mso-position-horizontal:center;mso-position-horizontal-relative:margin;mso-position-vertical:center;mso-position-vertical-relative:margin;rotation:-2949120f;z-index:-251651072;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CB9648"/>
    <w:multiLevelType w:val="singleLevel"/>
    <w:tmpl w:val="B6CB9648"/>
    <w:lvl w:ilvl="0" w:tentative="0">
      <w:start w:val="1"/>
      <w:numFmt w:val="decimal"/>
      <w:lvlText w:val="%1."/>
      <w:lvlJc w:val="left"/>
      <w:pPr>
        <w:tabs>
          <w:tab w:val="left" w:pos="312"/>
        </w:tabs>
      </w:pPr>
    </w:lvl>
  </w:abstractNum>
  <w:abstractNum w:abstractNumId="1">
    <w:nsid w:val="FFFFFF83"/>
    <w:multiLevelType w:val="singleLevel"/>
    <w:tmpl w:val="FFFFFF83"/>
    <w:lvl w:ilvl="0" w:tentative="0">
      <w:start w:val="1"/>
      <w:numFmt w:val="bullet"/>
      <w:pStyle w:val="36"/>
      <w:lvlText w:val=""/>
      <w:lvlJc w:val="left"/>
      <w:pPr>
        <w:tabs>
          <w:tab w:val="left" w:pos="780"/>
        </w:tabs>
        <w:ind w:left="780" w:leftChars="200" w:hanging="360" w:hangingChars="200"/>
      </w:pPr>
      <w:rPr>
        <w:rFonts w:hint="default" w:ascii="Wingdings" w:hAnsi="Wingdings"/>
      </w:rPr>
    </w:lvl>
  </w:abstractNum>
  <w:abstractNum w:abstractNumId="2">
    <w:nsid w:val="00000002"/>
    <w:multiLevelType w:val="multilevel"/>
    <w:tmpl w:val="00000002"/>
    <w:lvl w:ilvl="0" w:tentative="0">
      <w:start w:val="1"/>
      <w:numFmt w:val="chineseCountingThousand"/>
      <w:suff w:val="nothing"/>
      <w:lvlText w:val="第%1部分  "/>
      <w:lvlJc w:val="left"/>
      <w:pPr>
        <w:ind w:left="9050" w:hanging="954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chineseCountingThousand"/>
      <w:suff w:val="nothing"/>
      <w:lvlText w:val="%2、"/>
      <w:lvlJc w:val="left"/>
      <w:pPr>
        <w:ind w:left="230" w:firstLine="0"/>
      </w:pPr>
      <w:rPr>
        <w:rFonts w:hint="eastAsia"/>
      </w:rPr>
    </w:lvl>
    <w:lvl w:ilvl="2" w:tentative="0">
      <w:start w:val="1"/>
      <w:numFmt w:val="decimal"/>
      <w:suff w:val="nothing"/>
      <w:lvlText w:val="%3、  "/>
      <w:lvlJc w:val="left"/>
      <w:pPr>
        <w:ind w:left="230" w:firstLine="0"/>
      </w:pPr>
      <w:rPr>
        <w:rFonts w:hint="eastAsia"/>
      </w:rPr>
    </w:lvl>
    <w:lvl w:ilvl="3" w:tentative="0">
      <w:start w:val="1"/>
      <w:numFmt w:val="decimal"/>
      <w:pStyle w:val="672"/>
      <w:lvlText w:val="%3.%4、"/>
      <w:lvlJc w:val="left"/>
      <w:pPr>
        <w:tabs>
          <w:tab w:val="left" w:pos="290"/>
        </w:tabs>
        <w:ind w:left="290" w:hanging="420"/>
      </w:pPr>
      <w:rPr>
        <w:rFonts w:hint="eastAsia"/>
      </w:rPr>
    </w:lvl>
    <w:lvl w:ilvl="4" w:tentative="0">
      <w:start w:val="1"/>
      <w:numFmt w:val="chineseCountingThousand"/>
      <w:lvlText w:val="(%5)"/>
      <w:lvlJc w:val="left"/>
      <w:pPr>
        <w:tabs>
          <w:tab w:val="left" w:pos="-70"/>
        </w:tabs>
        <w:ind w:left="-70" w:hanging="42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suff w:val="nothing"/>
      <w:lvlText w:val="%6%5"/>
      <w:lvlJc w:val="left"/>
      <w:pPr>
        <w:ind w:left="-490" w:firstLine="0"/>
      </w:pPr>
      <w:rPr>
        <w:rFonts w:hint="eastAsia"/>
      </w:rPr>
    </w:lvl>
    <w:lvl w:ilvl="6" w:tentative="0">
      <w:start w:val="1"/>
      <w:numFmt w:val="none"/>
      <w:suff w:val="nothing"/>
      <w:lvlText w:val=""/>
      <w:lvlJc w:val="left"/>
      <w:pPr>
        <w:ind w:left="-490" w:firstLine="0"/>
      </w:pPr>
      <w:rPr>
        <w:rFonts w:hint="eastAsia"/>
      </w:rPr>
    </w:lvl>
    <w:lvl w:ilvl="7" w:tentative="0">
      <w:start w:val="1"/>
      <w:numFmt w:val="none"/>
      <w:suff w:val="nothing"/>
      <w:lvlText w:val=""/>
      <w:lvlJc w:val="left"/>
      <w:pPr>
        <w:ind w:left="-490" w:firstLine="0"/>
      </w:pPr>
      <w:rPr>
        <w:rFonts w:hint="eastAsia"/>
      </w:rPr>
    </w:lvl>
    <w:lvl w:ilvl="8" w:tentative="0">
      <w:start w:val="1"/>
      <w:numFmt w:val="none"/>
      <w:suff w:val="nothing"/>
      <w:lvlText w:val=""/>
      <w:lvlJc w:val="left"/>
      <w:pPr>
        <w:ind w:left="-490" w:firstLine="0"/>
      </w:pPr>
      <w:rPr>
        <w:rFonts w:hint="eastAsia"/>
      </w:rPr>
    </w:lvl>
  </w:abstractNum>
  <w:abstractNum w:abstractNumId="3">
    <w:nsid w:val="00000046"/>
    <w:multiLevelType w:val="singleLevel"/>
    <w:tmpl w:val="00000046"/>
    <w:lvl w:ilvl="0" w:tentative="0">
      <w:start w:val="1"/>
      <w:numFmt w:val="bullet"/>
      <w:pStyle w:val="671"/>
      <w:lvlText w:val=""/>
      <w:lvlJc w:val="left"/>
      <w:pPr>
        <w:tabs>
          <w:tab w:val="left" w:pos="360"/>
        </w:tabs>
        <w:ind w:left="360" w:hanging="360"/>
      </w:pPr>
      <w:rPr>
        <w:rFonts w:hint="default" w:ascii="Wingdings" w:hAnsi="Wingdings"/>
      </w:rPr>
    </w:lvl>
  </w:abstractNum>
  <w:abstractNum w:abstractNumId="4">
    <w:nsid w:val="04D50113"/>
    <w:multiLevelType w:val="multilevel"/>
    <w:tmpl w:val="04D50113"/>
    <w:lvl w:ilvl="0" w:tentative="0">
      <w:start w:val="1"/>
      <w:numFmt w:val="decimal"/>
      <w:pStyle w:val="569"/>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056D5293"/>
    <w:multiLevelType w:val="multilevel"/>
    <w:tmpl w:val="056D5293"/>
    <w:lvl w:ilvl="0" w:tentative="0">
      <w:start w:val="1"/>
      <w:numFmt w:val="bullet"/>
      <w:lvlText w:val=""/>
      <w:lvlJc w:val="left"/>
      <w:pPr>
        <w:ind w:left="840" w:hanging="420"/>
      </w:pPr>
      <w:rPr>
        <w:rFonts w:hint="default" w:ascii="Wingdings" w:hAnsi="Wingdings"/>
      </w:rPr>
    </w:lvl>
    <w:lvl w:ilvl="1" w:tentative="0">
      <w:start w:val="1"/>
      <w:numFmt w:val="bullet"/>
      <w:pStyle w:val="392"/>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05CC020D"/>
    <w:multiLevelType w:val="multilevel"/>
    <w:tmpl w:val="05CC020D"/>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7">
    <w:nsid w:val="061F7D56"/>
    <w:multiLevelType w:val="multilevel"/>
    <w:tmpl w:val="061F7D56"/>
    <w:lvl w:ilvl="0" w:tentative="0">
      <w:start w:val="1"/>
      <w:numFmt w:val="decimal"/>
      <w:lvlText w:val="%1)"/>
      <w:lvlJc w:val="left"/>
      <w:pPr>
        <w:ind w:left="900" w:hanging="420"/>
      </w:pPr>
      <w:rPr>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pStyle w:val="619"/>
      <w:lvlText w:val="%5)"/>
      <w:lvlJc w:val="left"/>
      <w:pPr>
        <w:ind w:left="2580" w:hanging="420"/>
      </w:pPr>
    </w:lvl>
    <w:lvl w:ilvl="5" w:tentative="0">
      <w:start w:val="1"/>
      <w:numFmt w:val="lowerRoman"/>
      <w:pStyle w:val="636"/>
      <w:lvlText w:val="%6."/>
      <w:lvlJc w:val="right"/>
      <w:pPr>
        <w:ind w:left="3000" w:hanging="420"/>
      </w:pPr>
    </w:lvl>
    <w:lvl w:ilvl="6" w:tentative="0">
      <w:start w:val="1"/>
      <w:numFmt w:val="decimal"/>
      <w:pStyle w:val="639"/>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12F16C64"/>
    <w:multiLevelType w:val="multilevel"/>
    <w:tmpl w:val="12F16C64"/>
    <w:lvl w:ilvl="0" w:tentative="0">
      <w:start w:val="1"/>
      <w:numFmt w:val="bullet"/>
      <w:pStyle w:val="372"/>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154A6C66"/>
    <w:multiLevelType w:val="multilevel"/>
    <w:tmpl w:val="154A6C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82D19A0"/>
    <w:multiLevelType w:val="multilevel"/>
    <w:tmpl w:val="182D19A0"/>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68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2">
    <w:nsid w:val="1FED7CF5"/>
    <w:multiLevelType w:val="multilevel"/>
    <w:tmpl w:val="1FED7CF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24CA0FA1"/>
    <w:multiLevelType w:val="multilevel"/>
    <w:tmpl w:val="24CA0FA1"/>
    <w:lvl w:ilvl="0" w:tentative="0">
      <w:start w:val="1"/>
      <w:numFmt w:val="decimal"/>
      <w:pStyle w:val="42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pStyle w:val="623"/>
      <w:lvlText w:val="%7."/>
      <w:lvlJc w:val="left"/>
      <w:pPr>
        <w:ind w:left="3420" w:hanging="420"/>
      </w:pPr>
    </w:lvl>
    <w:lvl w:ilvl="7" w:tentative="0">
      <w:start w:val="1"/>
      <w:numFmt w:val="lowerLetter"/>
      <w:pStyle w:val="611"/>
      <w:lvlText w:val="%8)"/>
      <w:lvlJc w:val="left"/>
      <w:pPr>
        <w:ind w:left="3840" w:hanging="420"/>
      </w:pPr>
    </w:lvl>
    <w:lvl w:ilvl="8" w:tentative="0">
      <w:start w:val="1"/>
      <w:numFmt w:val="lowerRoman"/>
      <w:pStyle w:val="662"/>
      <w:lvlText w:val="%9."/>
      <w:lvlJc w:val="right"/>
      <w:pPr>
        <w:ind w:left="4260" w:hanging="420"/>
      </w:pPr>
    </w:lvl>
  </w:abstractNum>
  <w:abstractNum w:abstractNumId="14">
    <w:nsid w:val="24D774CB"/>
    <w:multiLevelType w:val="multilevel"/>
    <w:tmpl w:val="24D774CB"/>
    <w:lvl w:ilvl="0" w:tentative="0">
      <w:start w:val="1"/>
      <w:numFmt w:val="decimal"/>
      <w:lvlText w:val="第%1节."/>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677"/>
      <w:lvlText w:val="%1.%2.%3.%4.%5."/>
      <w:lvlJc w:val="left"/>
      <w:pPr>
        <w:tabs>
          <w:tab w:val="left" w:pos="992"/>
        </w:tabs>
        <w:ind w:left="992" w:hanging="992"/>
      </w:pPr>
      <w:rPr>
        <w:rFonts w:hint="eastAsia"/>
      </w:rPr>
    </w:lvl>
    <w:lvl w:ilvl="5" w:tentative="0">
      <w:start w:val="1"/>
      <w:numFmt w:val="decimal"/>
      <w:pStyle w:val="678"/>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5">
    <w:nsid w:val="26694C0E"/>
    <w:multiLevelType w:val="multilevel"/>
    <w:tmpl w:val="26694C0E"/>
    <w:lvl w:ilvl="0" w:tentative="0">
      <w:start w:val="1"/>
      <w:numFmt w:val="bullet"/>
      <w:pStyle w:val="371"/>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267D30CE"/>
    <w:multiLevelType w:val="multilevel"/>
    <w:tmpl w:val="267D30CE"/>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A172C1B"/>
    <w:multiLevelType w:val="singleLevel"/>
    <w:tmpl w:val="2A172C1B"/>
    <w:lvl w:ilvl="0" w:tentative="0">
      <w:start w:val="4"/>
      <w:numFmt w:val="chineseCounting"/>
      <w:suff w:val="space"/>
      <w:lvlText w:val="第%1章"/>
      <w:lvlJc w:val="left"/>
      <w:rPr>
        <w:rFonts w:hint="eastAsia"/>
      </w:rPr>
    </w:lvl>
  </w:abstractNum>
  <w:abstractNum w:abstractNumId="18">
    <w:nsid w:val="2AA957BB"/>
    <w:multiLevelType w:val="multilevel"/>
    <w:tmpl w:val="2AA957BB"/>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292"/>
      </w:pPr>
      <w:rPr>
        <w:rFonts w:hint="eastAsia"/>
      </w:rPr>
    </w:lvl>
    <w:lvl w:ilvl="2" w:tentative="0">
      <w:start w:val="1"/>
      <w:numFmt w:val="decimal"/>
      <w:lvlText w:val="%1.%2.%3"/>
      <w:lvlJc w:val="left"/>
      <w:pPr>
        <w:tabs>
          <w:tab w:val="left" w:pos="720"/>
        </w:tabs>
        <w:ind w:left="720" w:hanging="153"/>
      </w:pPr>
      <w:rPr>
        <w:rFonts w:hint="eastAsia"/>
      </w:rPr>
    </w:lvl>
    <w:lvl w:ilvl="3" w:tentative="0">
      <w:start w:val="1"/>
      <w:numFmt w:val="bullet"/>
      <w:pStyle w:val="357"/>
      <w:lvlText w:val=""/>
      <w:lvlJc w:val="left"/>
      <w:pPr>
        <w:tabs>
          <w:tab w:val="left" w:pos="1271"/>
        </w:tabs>
        <w:ind w:left="1271" w:hanging="420"/>
      </w:pPr>
      <w:rPr>
        <w:rFonts w:hint="default" w:ascii="Wingdings" w:hAnsi="Wingdings"/>
      </w:rPr>
    </w:lvl>
    <w:lvl w:ilvl="4" w:tentative="0">
      <w:start w:val="1"/>
      <w:numFmt w:val="decimal"/>
      <w:lvlText w:val="%1.%2.%3.%4.%5"/>
      <w:lvlJc w:val="left"/>
      <w:pPr>
        <w:tabs>
          <w:tab w:val="left" w:pos="1008"/>
        </w:tabs>
        <w:ind w:left="1008" w:firstLine="126"/>
      </w:pPr>
      <w:rPr>
        <w:rFonts w:hint="eastAsia"/>
        <w:b/>
      </w:rPr>
    </w:lvl>
    <w:lvl w:ilvl="5" w:tentative="0">
      <w:start w:val="1"/>
      <w:numFmt w:val="decimal"/>
      <w:lvlText w:val="%1.%2.%3.%4.%5.%6"/>
      <w:lvlJc w:val="left"/>
      <w:pPr>
        <w:tabs>
          <w:tab w:val="left" w:pos="1152"/>
        </w:tabs>
        <w:ind w:left="1152" w:firstLine="266"/>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9">
    <w:nsid w:val="2CB96BE2"/>
    <w:multiLevelType w:val="multilevel"/>
    <w:tmpl w:val="2CB96BE2"/>
    <w:lvl w:ilvl="0" w:tentative="0">
      <w:start w:val="1"/>
      <w:numFmt w:val="decimal"/>
      <w:lvlText w:val="%1."/>
      <w:lvlJc w:val="left"/>
      <w:pPr>
        <w:ind w:left="840" w:hanging="420"/>
      </w:pPr>
      <w:rPr>
        <w:rFonts w:hint="eastAsia"/>
        <w:b w:val="0"/>
        <w:i w:val="0"/>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2EEA77EA"/>
    <w:multiLevelType w:val="multilevel"/>
    <w:tmpl w:val="2EEA77EA"/>
    <w:lvl w:ilvl="0" w:tentative="0">
      <w:start w:val="1"/>
      <w:numFmt w:val="decimal"/>
      <w:pStyle w:val="21"/>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31442E6F"/>
    <w:multiLevelType w:val="multilevel"/>
    <w:tmpl w:val="31442E6F"/>
    <w:lvl w:ilvl="0" w:tentative="0">
      <w:start w:val="1"/>
      <w:numFmt w:val="lowerLetter"/>
      <w:pStyle w:val="46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35040E8B"/>
    <w:multiLevelType w:val="multilevel"/>
    <w:tmpl w:val="35040E8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3C1A7CF4"/>
    <w:multiLevelType w:val="multilevel"/>
    <w:tmpl w:val="3C1A7CF4"/>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D9D72B6"/>
    <w:multiLevelType w:val="multilevel"/>
    <w:tmpl w:val="3D9D72B6"/>
    <w:lvl w:ilvl="0" w:tentative="0">
      <w:start w:val="1"/>
      <w:numFmt w:val="decimal"/>
      <w:lvlText w:val="%1、"/>
      <w:lvlJc w:val="left"/>
      <w:pPr>
        <w:tabs>
          <w:tab w:val="left" w:pos="495"/>
        </w:tabs>
        <w:ind w:left="495" w:hanging="495"/>
      </w:pPr>
      <w:rPr>
        <w:rFonts w:ascii="Calibri" w:hAnsi="Calibri" w:eastAsia="宋体" w:cs="Times New Roman"/>
      </w:rPr>
    </w:lvl>
    <w:lvl w:ilvl="1" w:tentative="0">
      <w:start w:val="4"/>
      <w:numFmt w:val="decimal"/>
      <w:lvlText w:val="%1.%2"/>
      <w:lvlJc w:val="left"/>
      <w:pPr>
        <w:tabs>
          <w:tab w:val="left" w:pos="495"/>
        </w:tabs>
        <w:ind w:left="495" w:hanging="49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396"/>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25">
    <w:nsid w:val="3E9B7F1A"/>
    <w:multiLevelType w:val="multilevel"/>
    <w:tmpl w:val="3E9B7F1A"/>
    <w:lvl w:ilvl="0" w:tentative="0">
      <w:start w:val="1"/>
      <w:numFmt w:val="bullet"/>
      <w:pStyle w:val="374"/>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6">
    <w:nsid w:val="3FC7786C"/>
    <w:multiLevelType w:val="multilevel"/>
    <w:tmpl w:val="3FC7786C"/>
    <w:lvl w:ilvl="0" w:tentative="0">
      <w:start w:val="1"/>
      <w:numFmt w:val="lowerLetter"/>
      <w:lvlText w:val="%1)"/>
      <w:lvlJc w:val="left"/>
      <w:pPr>
        <w:ind w:left="900" w:hanging="420"/>
      </w:pPr>
    </w:lvl>
    <w:lvl w:ilvl="1" w:tentative="0">
      <w:start w:val="1"/>
      <w:numFmt w:val="lowerLetter"/>
      <w:pStyle w:val="624"/>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403447D4"/>
    <w:multiLevelType w:val="multilevel"/>
    <w:tmpl w:val="403447D4"/>
    <w:lvl w:ilvl="0" w:tentative="0">
      <w:start w:val="1"/>
      <w:numFmt w:val="lowerLetter"/>
      <w:pStyle w:val="630"/>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472A5C44"/>
    <w:multiLevelType w:val="multilevel"/>
    <w:tmpl w:val="472A5C4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pStyle w:val="616"/>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4AC775F4"/>
    <w:multiLevelType w:val="multilevel"/>
    <w:tmpl w:val="4AC775F4"/>
    <w:lvl w:ilvl="0" w:tentative="0">
      <w:start w:val="1"/>
      <w:numFmt w:val="decimal"/>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30">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133"/>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1">
    <w:nsid w:val="53F359B1"/>
    <w:multiLevelType w:val="multilevel"/>
    <w:tmpl w:val="53F359B1"/>
    <w:lvl w:ilvl="0" w:tentative="0">
      <w:start w:val="1"/>
      <w:numFmt w:val="bullet"/>
      <w:pStyle w:val="19"/>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2">
    <w:nsid w:val="553F243A"/>
    <w:multiLevelType w:val="multilevel"/>
    <w:tmpl w:val="553F243A"/>
    <w:lvl w:ilvl="0" w:tentative="0">
      <w:start w:val="1"/>
      <w:numFmt w:val="decimal"/>
      <w:pStyle w:val="185"/>
      <w:suff w:val="nothing"/>
      <w:lvlText w:val="%1    "/>
      <w:lvlJc w:val="left"/>
      <w:pPr>
        <w:ind w:left="432" w:hanging="432"/>
      </w:pPr>
      <w:rPr>
        <w:rFonts w:hint="default" w:ascii="Times New Roman" w:hAnsi="Times New Roman" w:eastAsia="宋体"/>
        <w:b/>
        <w:i w:val="0"/>
      </w:rPr>
    </w:lvl>
    <w:lvl w:ilvl="1" w:tentative="0">
      <w:start w:val="1"/>
      <w:numFmt w:val="decimal"/>
      <w:pStyle w:val="186"/>
      <w:suff w:val="nothing"/>
      <w:lvlText w:val="%1.%2    "/>
      <w:lvlJc w:val="left"/>
      <w:pPr>
        <w:ind w:left="576" w:hanging="576"/>
      </w:pPr>
      <w:rPr>
        <w:rFonts w:hint="default" w:ascii="Times New Roman" w:hAnsi="Times New Roman" w:eastAsia="宋体"/>
        <w:b/>
        <w:i w:val="0"/>
      </w:rPr>
    </w:lvl>
    <w:lvl w:ilvl="2" w:tentative="0">
      <w:start w:val="1"/>
      <w:numFmt w:val="decimal"/>
      <w:suff w:val="nothing"/>
      <w:lvlText w:val="%1.%2.%3    "/>
      <w:lvlJc w:val="left"/>
      <w:pPr>
        <w:ind w:left="2340" w:hanging="720"/>
      </w:pPr>
      <w:rPr>
        <w:rFonts w:hint="default" w:ascii="Times New Roman" w:hAnsi="Times New Roman" w:eastAsia="宋体"/>
      </w:rPr>
    </w:lvl>
    <w:lvl w:ilvl="3" w:tentative="0">
      <w:start w:val="1"/>
      <w:numFmt w:val="decimal"/>
      <w:suff w:val="nothing"/>
      <w:lvlText w:val="%1.%2.%3.%4    "/>
      <w:lvlJc w:val="left"/>
      <w:pPr>
        <w:ind w:left="864" w:hanging="864"/>
      </w:pPr>
      <w:rPr>
        <w:rFonts w:hint="default" w:ascii="Times New Roman" w:hAnsi="Times New Roman" w:eastAsia="宋体"/>
        <w:b w:val="0"/>
        <w:i w:val="0"/>
        <w:sz w:val="24"/>
        <w:szCs w:val="24"/>
      </w:rPr>
    </w:lvl>
    <w:lvl w:ilvl="4" w:tentative="0">
      <w:start w:val="1"/>
      <w:numFmt w:val="decimal"/>
      <w:suff w:val="nothing"/>
      <w:lvlText w:val="%1.%2.%3.%4.%5  "/>
      <w:lvlJc w:val="left"/>
      <w:pPr>
        <w:ind w:left="1008" w:hanging="1008"/>
      </w:pPr>
      <w:rPr>
        <w:rFonts w:hint="eastAsia"/>
      </w:rPr>
    </w:lvl>
    <w:lvl w:ilvl="5" w:tentative="0">
      <w:start w:val="1"/>
      <w:numFmt w:val="decimal"/>
      <w:lvlRestart w:val="2"/>
      <w:suff w:val="nothing"/>
      <w:lvlText w:val="图%1.%2-%6    "/>
      <w:lvlJc w:val="left"/>
      <w:pPr>
        <w:ind w:left="1152" w:hanging="1152"/>
      </w:pPr>
      <w:rPr>
        <w:rFonts w:hint="default" w:ascii="Times New Roman" w:hAnsi="Times New Roman" w:eastAsia="宋体"/>
      </w:rPr>
    </w:lvl>
    <w:lvl w:ilvl="6" w:tentative="0">
      <w:start w:val="1"/>
      <w:numFmt w:val="decimal"/>
      <w:lvlRestart w:val="2"/>
      <w:suff w:val="nothing"/>
      <w:lvlText w:val="表%1.%2-%7    "/>
      <w:lvlJc w:val="left"/>
      <w:pPr>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3">
    <w:nsid w:val="58E8074C"/>
    <w:multiLevelType w:val="multilevel"/>
    <w:tmpl w:val="58E8074C"/>
    <w:lvl w:ilvl="0" w:tentative="0">
      <w:start w:val="1"/>
      <w:numFmt w:val="decimal"/>
      <w:pStyle w:val="687"/>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4">
    <w:nsid w:val="63335EB9"/>
    <w:multiLevelType w:val="multilevel"/>
    <w:tmpl w:val="63335EB9"/>
    <w:lvl w:ilvl="0" w:tentative="0">
      <w:start w:val="1"/>
      <w:numFmt w:val="bullet"/>
      <w:pStyle w:val="3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5">
    <w:nsid w:val="63DE7ADE"/>
    <w:multiLevelType w:val="multilevel"/>
    <w:tmpl w:val="63DE7ADE"/>
    <w:lvl w:ilvl="0" w:tentative="0">
      <w:start w:val="1"/>
      <w:numFmt w:val="decimal"/>
      <w:lvlText w:val="%1."/>
      <w:lvlJc w:val="left"/>
      <w:pPr>
        <w:ind w:left="63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6">
    <w:nsid w:val="64FB4BFD"/>
    <w:multiLevelType w:val="multilevel"/>
    <w:tmpl w:val="64FB4BF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669958D2"/>
    <w:multiLevelType w:val="multilevel"/>
    <w:tmpl w:val="669958D2"/>
    <w:lvl w:ilvl="0" w:tentative="0">
      <w:start w:val="1"/>
      <w:numFmt w:val="decimal"/>
      <w:pStyle w:val="57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9">
    <w:nsid w:val="67562C2F"/>
    <w:multiLevelType w:val="multilevel"/>
    <w:tmpl w:val="67562C2F"/>
    <w:lvl w:ilvl="0" w:tentative="0">
      <w:start w:val="1"/>
      <w:numFmt w:val="decimal"/>
      <w:lvlText w:val="%1."/>
      <w:lvlJc w:val="left"/>
      <w:pPr>
        <w:ind w:left="900" w:hanging="420"/>
      </w:pPr>
    </w:lvl>
    <w:lvl w:ilvl="1" w:tentative="0">
      <w:start w:val="1"/>
      <w:numFmt w:val="lowerLetter"/>
      <w:pStyle w:val="602"/>
      <w:lvlText w:val="%2)"/>
      <w:lvlJc w:val="left"/>
      <w:pPr>
        <w:ind w:left="1320" w:hanging="420"/>
      </w:pPr>
    </w:lvl>
    <w:lvl w:ilvl="2" w:tentative="0">
      <w:start w:val="1"/>
      <w:numFmt w:val="lowerRoman"/>
      <w:pStyle w:val="610"/>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69DF544E"/>
    <w:multiLevelType w:val="multilevel"/>
    <w:tmpl w:val="69DF544E"/>
    <w:lvl w:ilvl="0" w:tentative="0">
      <w:start w:val="1"/>
      <w:numFmt w:val="bullet"/>
      <w:pStyle w:val="397"/>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1">
    <w:nsid w:val="6AB026BF"/>
    <w:multiLevelType w:val="multilevel"/>
    <w:tmpl w:val="6AB026BF"/>
    <w:lvl w:ilvl="0" w:tentative="0">
      <w:start w:val="1"/>
      <w:numFmt w:val="bullet"/>
      <w:pStyle w:val="4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2">
    <w:nsid w:val="6CEA2025"/>
    <w:multiLevelType w:val="multilevel"/>
    <w:tmpl w:val="6CEA2025"/>
    <w:lvl w:ilvl="0" w:tentative="0">
      <w:start w:val="1"/>
      <w:numFmt w:val="none"/>
      <w:pStyle w:val="351"/>
      <w:suff w:val="nothing"/>
      <w:lvlText w:val="%1"/>
      <w:lvlJc w:val="left"/>
      <w:pPr>
        <w:ind w:left="0" w:firstLine="0"/>
      </w:pPr>
      <w:rPr>
        <w:rFonts w:hint="default" w:ascii="Times New Roman" w:hAnsi="Times New Roman"/>
        <w:b/>
        <w:i w:val="0"/>
        <w:sz w:val="21"/>
      </w:rPr>
    </w:lvl>
    <w:lvl w:ilvl="1" w:tentative="0">
      <w:start w:val="1"/>
      <w:numFmt w:val="decimal"/>
      <w:pStyle w:val="342"/>
      <w:suff w:val="nothing"/>
      <w:lvlText w:val="%1%2　"/>
      <w:lvlJc w:val="left"/>
      <w:pPr>
        <w:ind w:left="180" w:firstLine="0"/>
      </w:pPr>
      <w:rPr>
        <w:rFonts w:hint="eastAsia" w:ascii="黑体" w:hAnsi="Times New Roman" w:eastAsia="黑体"/>
        <w:b/>
        <w:i w:val="0"/>
        <w:sz w:val="24"/>
        <w:szCs w:val="24"/>
      </w:rPr>
    </w:lvl>
    <w:lvl w:ilvl="2" w:tentative="0">
      <w:start w:val="1"/>
      <w:numFmt w:val="decimal"/>
      <w:pStyle w:val="341"/>
      <w:suff w:val="nothing"/>
      <w:lvlText w:val="%1%2.%3　"/>
      <w:lvlJc w:val="left"/>
      <w:pPr>
        <w:ind w:left="720" w:firstLine="0"/>
      </w:pPr>
      <w:rPr>
        <w:rFonts w:hint="eastAsia" w:ascii="黑体" w:hAnsi="Times New Roman" w:eastAsia="黑体"/>
        <w:b w:val="0"/>
        <w:i w:val="0"/>
        <w:sz w:val="21"/>
      </w:rPr>
    </w:lvl>
    <w:lvl w:ilvl="3" w:tentative="0">
      <w:start w:val="1"/>
      <w:numFmt w:val="decimal"/>
      <w:pStyle w:val="340"/>
      <w:suff w:val="nothing"/>
      <w:lvlText w:val="%1%2.4.%4　"/>
      <w:lvlJc w:val="left"/>
      <w:pPr>
        <w:ind w:left="420" w:firstLine="0"/>
      </w:pPr>
      <w:rPr>
        <w:rFonts w:hint="eastAsia" w:ascii="黑体" w:hAnsi="Times New Roman" w:eastAsia="黑体"/>
        <w:b w:val="0"/>
        <w:i w:val="0"/>
        <w:sz w:val="21"/>
      </w:rPr>
    </w:lvl>
    <w:lvl w:ilvl="4" w:tentative="0">
      <w:start w:val="1"/>
      <w:numFmt w:val="decimal"/>
      <w:pStyle w:val="339"/>
      <w:suff w:val="nothing"/>
      <w:lvlText w:val="5.%12.5.%5　"/>
      <w:lvlJc w:val="left"/>
      <w:pPr>
        <w:ind w:left="420" w:firstLine="0"/>
      </w:pPr>
      <w:rPr>
        <w:rFonts w:hint="eastAsia" w:ascii="黑体" w:hAnsi="Times New Roman" w:eastAsia="黑体"/>
        <w:b w:val="0"/>
        <w:i w:val="0"/>
        <w:sz w:val="21"/>
      </w:rPr>
    </w:lvl>
    <w:lvl w:ilvl="5" w:tentative="0">
      <w:start w:val="1"/>
      <w:numFmt w:val="decimal"/>
      <w:pStyle w:val="344"/>
      <w:suff w:val="nothing"/>
      <w:lvlText w:val="%1%2.%3.%4.%5.%6　"/>
      <w:lvlJc w:val="left"/>
      <w:pPr>
        <w:ind w:left="0" w:firstLine="0"/>
      </w:pPr>
      <w:rPr>
        <w:rFonts w:hint="eastAsia" w:ascii="黑体" w:hAnsi="Times New Roman" w:eastAsia="黑体"/>
        <w:b w:val="0"/>
        <w:i w:val="0"/>
        <w:sz w:val="21"/>
      </w:rPr>
    </w:lvl>
    <w:lvl w:ilvl="6" w:tentative="0">
      <w:start w:val="1"/>
      <w:numFmt w:val="decimal"/>
      <w:pStyle w:val="36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3">
    <w:nsid w:val="76C07F7C"/>
    <w:multiLevelType w:val="multilevel"/>
    <w:tmpl w:val="76C07F7C"/>
    <w:lvl w:ilvl="0" w:tentative="0">
      <w:start w:val="1"/>
      <w:numFmt w:val="bullet"/>
      <w:pStyle w:val="401"/>
      <w:lvlText w:val=""/>
      <w:lvlJc w:val="left"/>
      <w:pPr>
        <w:tabs>
          <w:tab w:val="left" w:pos="851"/>
        </w:tabs>
        <w:ind w:left="851" w:hanging="346"/>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4">
    <w:nsid w:val="7CFF1DD7"/>
    <w:multiLevelType w:val="multilevel"/>
    <w:tmpl w:val="7CFF1DD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7F2D4821"/>
    <w:multiLevelType w:val="multilevel"/>
    <w:tmpl w:val="7F2D4821"/>
    <w:lvl w:ilvl="0" w:tentative="0">
      <w:start w:val="1"/>
      <w:numFmt w:val="decimal"/>
      <w:pStyle w:val="65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7FA36634"/>
    <w:multiLevelType w:val="multilevel"/>
    <w:tmpl w:val="7FA3663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7FBB6BBD"/>
    <w:multiLevelType w:val="multilevel"/>
    <w:tmpl w:val="7FBB6BBD"/>
    <w:lvl w:ilvl="0" w:tentative="0">
      <w:start w:val="1"/>
      <w:numFmt w:val="decimal"/>
      <w:pStyle w:val="196"/>
      <w:lvlText w:val="图%1"/>
      <w:lvlJc w:val="center"/>
      <w:pPr>
        <w:tabs>
          <w:tab w:val="left" w:pos="1701"/>
        </w:tabs>
        <w:ind w:left="1701" w:hanging="340"/>
      </w:pPr>
      <w:rPr>
        <w:rFonts w:hint="eastAsia" w:ascii="Times New Roman" w:hAnsi="Times New Roman" w:eastAsia="宋体"/>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1"/>
  </w:num>
  <w:num w:numId="2">
    <w:abstractNumId w:val="20"/>
  </w:num>
  <w:num w:numId="3">
    <w:abstractNumId w:val="34"/>
  </w:num>
  <w:num w:numId="4">
    <w:abstractNumId w:val="1"/>
  </w:num>
  <w:num w:numId="5">
    <w:abstractNumId w:val="41"/>
  </w:num>
  <w:num w:numId="6">
    <w:abstractNumId w:val="30"/>
  </w:num>
  <w:num w:numId="7">
    <w:abstractNumId w:val="32"/>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8"/>
  </w:num>
  <w:num w:numId="11">
    <w:abstractNumId w:val="15"/>
  </w:num>
  <w:num w:numId="12">
    <w:abstractNumId w:val="9"/>
  </w:num>
  <w:num w:numId="13">
    <w:abstractNumId w:val="25"/>
  </w:num>
  <w:num w:numId="14">
    <w:abstractNumId w:val="5"/>
  </w:num>
  <w:num w:numId="15">
    <w:abstractNumId w:val="24"/>
  </w:num>
  <w:num w:numId="16">
    <w:abstractNumId w:val="40"/>
  </w:num>
  <w:num w:numId="17">
    <w:abstractNumId w:val="43"/>
  </w:num>
  <w:num w:numId="18">
    <w:abstractNumId w:val="13"/>
  </w:num>
  <w:num w:numId="19">
    <w:abstractNumId w:val="21"/>
  </w:num>
  <w:num w:numId="20">
    <w:abstractNumId w:val="4"/>
  </w:num>
  <w:num w:numId="21">
    <w:abstractNumId w:val="37"/>
  </w:num>
  <w:num w:numId="22">
    <w:abstractNumId w:val="39"/>
  </w:num>
  <w:num w:numId="23">
    <w:abstractNumId w:val="28"/>
  </w:num>
  <w:num w:numId="24">
    <w:abstractNumId w:val="7"/>
  </w:num>
  <w:num w:numId="25">
    <w:abstractNumId w:val="26"/>
  </w:num>
  <w:num w:numId="26">
    <w:abstractNumId w:val="27"/>
  </w:num>
  <w:num w:numId="27">
    <w:abstractNumId w:val="45"/>
  </w:num>
  <w:num w:numId="28">
    <w:abstractNumId w:val="3"/>
  </w:num>
  <w:num w:numId="29">
    <w:abstractNumId w:val="2"/>
  </w:num>
  <w:num w:numId="30">
    <w:abstractNumId w:val="14"/>
    <w:lvlOverride w:ilvl="0">
      <w:lvl w:ilvl="0" w:tentative="1">
        <w:start w:val="0"/>
        <w:numFmt w:val="decimal"/>
        <w:lvlText w:val=""/>
        <w:lvlJc w:val="left"/>
      </w:lvl>
    </w:lvlOverride>
    <w:lvlOverride w:ilvl="1">
      <w:lvl w:ilvl="1" w:tentative="1">
        <w:start w:val="0"/>
        <w:numFmt w:val="decimal"/>
        <w:lvlText w:val=""/>
        <w:lvlJc w:val="left"/>
      </w:lvl>
    </w:lvlOverride>
    <w:lvlOverride w:ilvl="2">
      <w:lvl w:ilvl="2" w:tentative="1">
        <w:start w:val="1"/>
        <w:numFmt w:val="decimal"/>
        <w:lvlText w:val="%1.%2.%3."/>
        <w:lvlJc w:val="left"/>
        <w:pPr>
          <w:tabs>
            <w:tab w:val="left" w:pos="709"/>
          </w:tabs>
          <w:ind w:left="709" w:hanging="709"/>
        </w:pPr>
        <w:rPr>
          <w:rFonts w:hint="eastAsia"/>
        </w:rPr>
      </w:lvl>
    </w:lvlOverride>
    <w:lvlOverride w:ilvl="3">
      <w:lvl w:ilvl="3" w:tentative="1">
        <w:start w:val="1"/>
        <w:numFmt w:val="decimal"/>
        <w:lvlText w:val="%1.%2.%3.%4."/>
        <w:lvlJc w:val="left"/>
        <w:pPr>
          <w:tabs>
            <w:tab w:val="left" w:pos="851"/>
          </w:tabs>
          <w:ind w:left="851" w:hanging="851"/>
        </w:pPr>
        <w:rPr>
          <w:rFonts w:hint="eastAsia"/>
        </w:rPr>
      </w:lvl>
    </w:lvlOverride>
  </w:num>
  <w:num w:numId="31">
    <w:abstractNumId w:val="33"/>
  </w:num>
  <w:num w:numId="32">
    <w:abstractNumId w:val="11"/>
  </w:num>
  <w:num w:numId="33">
    <w:abstractNumId w:val="29"/>
  </w:num>
  <w:num w:numId="34">
    <w:abstractNumId w:val="10"/>
  </w:num>
  <w:num w:numId="35">
    <w:abstractNumId w:val="36"/>
  </w:num>
  <w:num w:numId="36">
    <w:abstractNumId w:val="6"/>
  </w:num>
  <w:num w:numId="37">
    <w:abstractNumId w:val="46"/>
  </w:num>
  <w:num w:numId="38">
    <w:abstractNumId w:val="17"/>
  </w:num>
  <w:num w:numId="39">
    <w:abstractNumId w:val="35"/>
  </w:num>
  <w:num w:numId="40">
    <w:abstractNumId w:val="38"/>
  </w:num>
  <w:num w:numId="41">
    <w:abstractNumId w:val="8"/>
  </w:num>
  <w:num w:numId="42">
    <w:abstractNumId w:val="16"/>
  </w:num>
  <w:num w:numId="43">
    <w:abstractNumId w:val="12"/>
  </w:num>
  <w:num w:numId="44">
    <w:abstractNumId w:val="44"/>
  </w:num>
  <w:num w:numId="45">
    <w:abstractNumId w:val="19"/>
  </w:num>
  <w:num w:numId="46">
    <w:abstractNumId w:val="22"/>
  </w:num>
  <w:num w:numId="47">
    <w:abstractNumId w:val="0"/>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embedTrueTypeFonts/>
  <w:saveSubsetFonts/>
  <w:bordersDoNotSurroundHeader w:val="0"/>
  <w:bordersDoNotSurroundFooter w:val="0"/>
  <w:hideSpellingErrors/>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xZjUyYjU2Y2M1ZDU0YTQ4YzM4NDE5NWU3NjQ5ZjIifQ=="/>
  </w:docVars>
  <w:rsids>
    <w:rsidRoot w:val="006D1E24"/>
    <w:rsid w:val="00001213"/>
    <w:rsid w:val="00001D14"/>
    <w:rsid w:val="000047D0"/>
    <w:rsid w:val="00004907"/>
    <w:rsid w:val="00005469"/>
    <w:rsid w:val="00005869"/>
    <w:rsid w:val="0000597B"/>
    <w:rsid w:val="00006B07"/>
    <w:rsid w:val="00006BEE"/>
    <w:rsid w:val="000071DC"/>
    <w:rsid w:val="00010968"/>
    <w:rsid w:val="000129AA"/>
    <w:rsid w:val="00016CB3"/>
    <w:rsid w:val="0001723C"/>
    <w:rsid w:val="00020580"/>
    <w:rsid w:val="00020D9C"/>
    <w:rsid w:val="00020E44"/>
    <w:rsid w:val="00020EAA"/>
    <w:rsid w:val="0002129D"/>
    <w:rsid w:val="00021878"/>
    <w:rsid w:val="00021A11"/>
    <w:rsid w:val="0002308E"/>
    <w:rsid w:val="0002398D"/>
    <w:rsid w:val="0002468F"/>
    <w:rsid w:val="00024A8D"/>
    <w:rsid w:val="000262B3"/>
    <w:rsid w:val="00027253"/>
    <w:rsid w:val="00027794"/>
    <w:rsid w:val="000278FD"/>
    <w:rsid w:val="00027DA1"/>
    <w:rsid w:val="00032D72"/>
    <w:rsid w:val="00033ED9"/>
    <w:rsid w:val="000344B4"/>
    <w:rsid w:val="00035AF0"/>
    <w:rsid w:val="00036221"/>
    <w:rsid w:val="0003775A"/>
    <w:rsid w:val="0004206C"/>
    <w:rsid w:val="0004255D"/>
    <w:rsid w:val="000430E6"/>
    <w:rsid w:val="000445C6"/>
    <w:rsid w:val="00045A63"/>
    <w:rsid w:val="000475AB"/>
    <w:rsid w:val="00047CB9"/>
    <w:rsid w:val="00047E9C"/>
    <w:rsid w:val="0005063E"/>
    <w:rsid w:val="000507FE"/>
    <w:rsid w:val="00051CBD"/>
    <w:rsid w:val="0005332E"/>
    <w:rsid w:val="000538AD"/>
    <w:rsid w:val="000560BC"/>
    <w:rsid w:val="000575D6"/>
    <w:rsid w:val="00057C72"/>
    <w:rsid w:val="0006029F"/>
    <w:rsid w:val="00061B23"/>
    <w:rsid w:val="00062473"/>
    <w:rsid w:val="00062A74"/>
    <w:rsid w:val="00062B10"/>
    <w:rsid w:val="00062DD6"/>
    <w:rsid w:val="00063079"/>
    <w:rsid w:val="00066342"/>
    <w:rsid w:val="00072527"/>
    <w:rsid w:val="00073059"/>
    <w:rsid w:val="00073E0B"/>
    <w:rsid w:val="000776A3"/>
    <w:rsid w:val="00077F33"/>
    <w:rsid w:val="000810B3"/>
    <w:rsid w:val="00081C20"/>
    <w:rsid w:val="0008220C"/>
    <w:rsid w:val="0008322D"/>
    <w:rsid w:val="000839CB"/>
    <w:rsid w:val="00087C01"/>
    <w:rsid w:val="000901AA"/>
    <w:rsid w:val="0009041E"/>
    <w:rsid w:val="00091987"/>
    <w:rsid w:val="00091A8A"/>
    <w:rsid w:val="00092670"/>
    <w:rsid w:val="00094678"/>
    <w:rsid w:val="00096432"/>
    <w:rsid w:val="00096BF6"/>
    <w:rsid w:val="00096D4D"/>
    <w:rsid w:val="0009720F"/>
    <w:rsid w:val="000975BF"/>
    <w:rsid w:val="000A0EF5"/>
    <w:rsid w:val="000A0F15"/>
    <w:rsid w:val="000A112B"/>
    <w:rsid w:val="000A1448"/>
    <w:rsid w:val="000A2258"/>
    <w:rsid w:val="000A6869"/>
    <w:rsid w:val="000A71E6"/>
    <w:rsid w:val="000B256E"/>
    <w:rsid w:val="000B411A"/>
    <w:rsid w:val="000B55EC"/>
    <w:rsid w:val="000B68DB"/>
    <w:rsid w:val="000B6EB8"/>
    <w:rsid w:val="000B731B"/>
    <w:rsid w:val="000C09BF"/>
    <w:rsid w:val="000C1E9B"/>
    <w:rsid w:val="000C37EF"/>
    <w:rsid w:val="000C4D25"/>
    <w:rsid w:val="000C5F40"/>
    <w:rsid w:val="000C61DD"/>
    <w:rsid w:val="000C6FAE"/>
    <w:rsid w:val="000D090B"/>
    <w:rsid w:val="000D0F58"/>
    <w:rsid w:val="000D1110"/>
    <w:rsid w:val="000D1501"/>
    <w:rsid w:val="000D2C0F"/>
    <w:rsid w:val="000D2C2A"/>
    <w:rsid w:val="000D3739"/>
    <w:rsid w:val="000D43D9"/>
    <w:rsid w:val="000D5954"/>
    <w:rsid w:val="000D5B17"/>
    <w:rsid w:val="000D709E"/>
    <w:rsid w:val="000E045B"/>
    <w:rsid w:val="000E1C06"/>
    <w:rsid w:val="000E1EB7"/>
    <w:rsid w:val="000E28EF"/>
    <w:rsid w:val="000E2DD2"/>
    <w:rsid w:val="000E4B58"/>
    <w:rsid w:val="000E4EDF"/>
    <w:rsid w:val="000E5F8C"/>
    <w:rsid w:val="000E65C0"/>
    <w:rsid w:val="000E68A1"/>
    <w:rsid w:val="000E7CC4"/>
    <w:rsid w:val="000F00A8"/>
    <w:rsid w:val="000F0928"/>
    <w:rsid w:val="000F115E"/>
    <w:rsid w:val="000F206E"/>
    <w:rsid w:val="000F6114"/>
    <w:rsid w:val="000F6AD7"/>
    <w:rsid w:val="000F6C5A"/>
    <w:rsid w:val="00100EEB"/>
    <w:rsid w:val="00102BE9"/>
    <w:rsid w:val="00102CEA"/>
    <w:rsid w:val="00104246"/>
    <w:rsid w:val="001051DB"/>
    <w:rsid w:val="00105889"/>
    <w:rsid w:val="001058CD"/>
    <w:rsid w:val="00105A7C"/>
    <w:rsid w:val="00107748"/>
    <w:rsid w:val="00107807"/>
    <w:rsid w:val="00107E05"/>
    <w:rsid w:val="00110A63"/>
    <w:rsid w:val="001112C1"/>
    <w:rsid w:val="00114674"/>
    <w:rsid w:val="001162FF"/>
    <w:rsid w:val="00116C70"/>
    <w:rsid w:val="00117868"/>
    <w:rsid w:val="00117882"/>
    <w:rsid w:val="00120CA5"/>
    <w:rsid w:val="001306E5"/>
    <w:rsid w:val="001352F8"/>
    <w:rsid w:val="001353AF"/>
    <w:rsid w:val="001354E7"/>
    <w:rsid w:val="0013604E"/>
    <w:rsid w:val="00136152"/>
    <w:rsid w:val="0013621D"/>
    <w:rsid w:val="00136343"/>
    <w:rsid w:val="00141291"/>
    <w:rsid w:val="001413DE"/>
    <w:rsid w:val="001435BB"/>
    <w:rsid w:val="00143677"/>
    <w:rsid w:val="001464EC"/>
    <w:rsid w:val="0014751D"/>
    <w:rsid w:val="001476AF"/>
    <w:rsid w:val="00147B74"/>
    <w:rsid w:val="001505E6"/>
    <w:rsid w:val="0015087D"/>
    <w:rsid w:val="001521DF"/>
    <w:rsid w:val="001558A9"/>
    <w:rsid w:val="001558E8"/>
    <w:rsid w:val="001559C5"/>
    <w:rsid w:val="00156AD9"/>
    <w:rsid w:val="001570BE"/>
    <w:rsid w:val="001571D8"/>
    <w:rsid w:val="00160D74"/>
    <w:rsid w:val="00161363"/>
    <w:rsid w:val="00164E3D"/>
    <w:rsid w:val="00165030"/>
    <w:rsid w:val="001659D3"/>
    <w:rsid w:val="00166895"/>
    <w:rsid w:val="001712B8"/>
    <w:rsid w:val="00173B11"/>
    <w:rsid w:val="00173C41"/>
    <w:rsid w:val="00174F8F"/>
    <w:rsid w:val="00176386"/>
    <w:rsid w:val="00180FCE"/>
    <w:rsid w:val="00182766"/>
    <w:rsid w:val="001830EA"/>
    <w:rsid w:val="001845D4"/>
    <w:rsid w:val="001848F1"/>
    <w:rsid w:val="00184F2C"/>
    <w:rsid w:val="001851E3"/>
    <w:rsid w:val="00186411"/>
    <w:rsid w:val="00186424"/>
    <w:rsid w:val="0018646D"/>
    <w:rsid w:val="00187043"/>
    <w:rsid w:val="0019032F"/>
    <w:rsid w:val="00190B58"/>
    <w:rsid w:val="00193C2A"/>
    <w:rsid w:val="00195240"/>
    <w:rsid w:val="00196397"/>
    <w:rsid w:val="001965CE"/>
    <w:rsid w:val="001972CF"/>
    <w:rsid w:val="00197936"/>
    <w:rsid w:val="001A1730"/>
    <w:rsid w:val="001A2F27"/>
    <w:rsid w:val="001A3EB7"/>
    <w:rsid w:val="001A4C6B"/>
    <w:rsid w:val="001A7B9F"/>
    <w:rsid w:val="001A7C37"/>
    <w:rsid w:val="001B0424"/>
    <w:rsid w:val="001B1299"/>
    <w:rsid w:val="001B1E47"/>
    <w:rsid w:val="001B2099"/>
    <w:rsid w:val="001B2883"/>
    <w:rsid w:val="001B3F0F"/>
    <w:rsid w:val="001B79BF"/>
    <w:rsid w:val="001C162C"/>
    <w:rsid w:val="001C1E3D"/>
    <w:rsid w:val="001C2649"/>
    <w:rsid w:val="001C2B03"/>
    <w:rsid w:val="001C363E"/>
    <w:rsid w:val="001C3F5C"/>
    <w:rsid w:val="001C4A6F"/>
    <w:rsid w:val="001C5464"/>
    <w:rsid w:val="001C560E"/>
    <w:rsid w:val="001C59FC"/>
    <w:rsid w:val="001C5D49"/>
    <w:rsid w:val="001C70F8"/>
    <w:rsid w:val="001C715D"/>
    <w:rsid w:val="001C7C48"/>
    <w:rsid w:val="001D0DDC"/>
    <w:rsid w:val="001D1275"/>
    <w:rsid w:val="001D201F"/>
    <w:rsid w:val="001D433D"/>
    <w:rsid w:val="001D4DB5"/>
    <w:rsid w:val="001D618A"/>
    <w:rsid w:val="001D6D30"/>
    <w:rsid w:val="001D6E23"/>
    <w:rsid w:val="001E0048"/>
    <w:rsid w:val="001E06A7"/>
    <w:rsid w:val="001E15DC"/>
    <w:rsid w:val="001E259D"/>
    <w:rsid w:val="001E2A0A"/>
    <w:rsid w:val="001E39E7"/>
    <w:rsid w:val="001E41CF"/>
    <w:rsid w:val="001E55ED"/>
    <w:rsid w:val="001E6213"/>
    <w:rsid w:val="001E7788"/>
    <w:rsid w:val="001F1BB7"/>
    <w:rsid w:val="001F258D"/>
    <w:rsid w:val="001F2F59"/>
    <w:rsid w:val="001F4F2C"/>
    <w:rsid w:val="001F4F38"/>
    <w:rsid w:val="001F5418"/>
    <w:rsid w:val="001F74E8"/>
    <w:rsid w:val="002010F2"/>
    <w:rsid w:val="0020132B"/>
    <w:rsid w:val="002017B3"/>
    <w:rsid w:val="0020216F"/>
    <w:rsid w:val="002041E5"/>
    <w:rsid w:val="00205154"/>
    <w:rsid w:val="00205C2E"/>
    <w:rsid w:val="00210392"/>
    <w:rsid w:val="002109CC"/>
    <w:rsid w:val="00213454"/>
    <w:rsid w:val="002140A1"/>
    <w:rsid w:val="00217911"/>
    <w:rsid w:val="00220AB2"/>
    <w:rsid w:val="00221FF3"/>
    <w:rsid w:val="0022246C"/>
    <w:rsid w:val="00222817"/>
    <w:rsid w:val="00222BB3"/>
    <w:rsid w:val="00225310"/>
    <w:rsid w:val="002255BE"/>
    <w:rsid w:val="00227F04"/>
    <w:rsid w:val="00227F7C"/>
    <w:rsid w:val="00230261"/>
    <w:rsid w:val="00230FBA"/>
    <w:rsid w:val="002310DF"/>
    <w:rsid w:val="002315C9"/>
    <w:rsid w:val="00231762"/>
    <w:rsid w:val="00232E61"/>
    <w:rsid w:val="00233265"/>
    <w:rsid w:val="002338BC"/>
    <w:rsid w:val="00233FFE"/>
    <w:rsid w:val="0023406D"/>
    <w:rsid w:val="00234EA4"/>
    <w:rsid w:val="0023604B"/>
    <w:rsid w:val="00236DB2"/>
    <w:rsid w:val="00237520"/>
    <w:rsid w:val="00240B23"/>
    <w:rsid w:val="0024210A"/>
    <w:rsid w:val="002428C1"/>
    <w:rsid w:val="002434D9"/>
    <w:rsid w:val="0024395B"/>
    <w:rsid w:val="00244FFC"/>
    <w:rsid w:val="002459C2"/>
    <w:rsid w:val="00246597"/>
    <w:rsid w:val="00247396"/>
    <w:rsid w:val="00247911"/>
    <w:rsid w:val="00250163"/>
    <w:rsid w:val="00254C4F"/>
    <w:rsid w:val="00254DD5"/>
    <w:rsid w:val="002552C5"/>
    <w:rsid w:val="00257772"/>
    <w:rsid w:val="00257D6C"/>
    <w:rsid w:val="00260CC4"/>
    <w:rsid w:val="00260E4A"/>
    <w:rsid w:val="00261D39"/>
    <w:rsid w:val="00261FDE"/>
    <w:rsid w:val="00263504"/>
    <w:rsid w:val="00263D8B"/>
    <w:rsid w:val="00264F8F"/>
    <w:rsid w:val="0026596A"/>
    <w:rsid w:val="00265D3C"/>
    <w:rsid w:val="0026631A"/>
    <w:rsid w:val="00266376"/>
    <w:rsid w:val="0026656B"/>
    <w:rsid w:val="00266F33"/>
    <w:rsid w:val="0027044A"/>
    <w:rsid w:val="002704B8"/>
    <w:rsid w:val="002707A3"/>
    <w:rsid w:val="00270803"/>
    <w:rsid w:val="00271B49"/>
    <w:rsid w:val="00272C88"/>
    <w:rsid w:val="002742EC"/>
    <w:rsid w:val="00276632"/>
    <w:rsid w:val="00276C1D"/>
    <w:rsid w:val="00277C54"/>
    <w:rsid w:val="00280A92"/>
    <w:rsid w:val="00280E8F"/>
    <w:rsid w:val="00281520"/>
    <w:rsid w:val="0028282F"/>
    <w:rsid w:val="002842DF"/>
    <w:rsid w:val="002864CD"/>
    <w:rsid w:val="00287A8C"/>
    <w:rsid w:val="00291EFA"/>
    <w:rsid w:val="00293222"/>
    <w:rsid w:val="00294153"/>
    <w:rsid w:val="002942FF"/>
    <w:rsid w:val="00294F89"/>
    <w:rsid w:val="00295D81"/>
    <w:rsid w:val="00296112"/>
    <w:rsid w:val="002A310C"/>
    <w:rsid w:val="002A411E"/>
    <w:rsid w:val="002A4B48"/>
    <w:rsid w:val="002A5F03"/>
    <w:rsid w:val="002A637A"/>
    <w:rsid w:val="002A6E2F"/>
    <w:rsid w:val="002B06D1"/>
    <w:rsid w:val="002B1672"/>
    <w:rsid w:val="002B3064"/>
    <w:rsid w:val="002B4238"/>
    <w:rsid w:val="002B6B8F"/>
    <w:rsid w:val="002C01C6"/>
    <w:rsid w:val="002C0B56"/>
    <w:rsid w:val="002C12FE"/>
    <w:rsid w:val="002C134E"/>
    <w:rsid w:val="002C17E2"/>
    <w:rsid w:val="002C1F77"/>
    <w:rsid w:val="002C2734"/>
    <w:rsid w:val="002C319B"/>
    <w:rsid w:val="002C3215"/>
    <w:rsid w:val="002C364D"/>
    <w:rsid w:val="002C3771"/>
    <w:rsid w:val="002C5B95"/>
    <w:rsid w:val="002C61C4"/>
    <w:rsid w:val="002C6C4D"/>
    <w:rsid w:val="002C72D6"/>
    <w:rsid w:val="002D0C0F"/>
    <w:rsid w:val="002D11AF"/>
    <w:rsid w:val="002D22BA"/>
    <w:rsid w:val="002D3DD7"/>
    <w:rsid w:val="002D4B18"/>
    <w:rsid w:val="002D557F"/>
    <w:rsid w:val="002D5862"/>
    <w:rsid w:val="002D6A11"/>
    <w:rsid w:val="002D74A6"/>
    <w:rsid w:val="002D7600"/>
    <w:rsid w:val="002D794D"/>
    <w:rsid w:val="002E0B19"/>
    <w:rsid w:val="002E26AA"/>
    <w:rsid w:val="002E2A86"/>
    <w:rsid w:val="002E31E7"/>
    <w:rsid w:val="002E32AA"/>
    <w:rsid w:val="002E360E"/>
    <w:rsid w:val="002E4559"/>
    <w:rsid w:val="002E6413"/>
    <w:rsid w:val="002E6A25"/>
    <w:rsid w:val="002E6B3F"/>
    <w:rsid w:val="002E71A2"/>
    <w:rsid w:val="002F037F"/>
    <w:rsid w:val="002F0F26"/>
    <w:rsid w:val="002F1759"/>
    <w:rsid w:val="002F1872"/>
    <w:rsid w:val="002F2670"/>
    <w:rsid w:val="002F3276"/>
    <w:rsid w:val="002F4305"/>
    <w:rsid w:val="002F63E3"/>
    <w:rsid w:val="002F67EF"/>
    <w:rsid w:val="002F73D1"/>
    <w:rsid w:val="003005E7"/>
    <w:rsid w:val="00300CCB"/>
    <w:rsid w:val="00301BA9"/>
    <w:rsid w:val="00302C99"/>
    <w:rsid w:val="00305CA7"/>
    <w:rsid w:val="00306010"/>
    <w:rsid w:val="0030679D"/>
    <w:rsid w:val="00306817"/>
    <w:rsid w:val="00306EB1"/>
    <w:rsid w:val="00310C54"/>
    <w:rsid w:val="003111A9"/>
    <w:rsid w:val="003116CF"/>
    <w:rsid w:val="003125EE"/>
    <w:rsid w:val="00313C13"/>
    <w:rsid w:val="00314673"/>
    <w:rsid w:val="0031491C"/>
    <w:rsid w:val="003149E8"/>
    <w:rsid w:val="00314BA8"/>
    <w:rsid w:val="00315201"/>
    <w:rsid w:val="003163F6"/>
    <w:rsid w:val="00316621"/>
    <w:rsid w:val="003169BF"/>
    <w:rsid w:val="0031734A"/>
    <w:rsid w:val="00317B40"/>
    <w:rsid w:val="00320956"/>
    <w:rsid w:val="00321111"/>
    <w:rsid w:val="00321CF8"/>
    <w:rsid w:val="003223E5"/>
    <w:rsid w:val="00322D96"/>
    <w:rsid w:val="00323FFE"/>
    <w:rsid w:val="00324A2E"/>
    <w:rsid w:val="00324A8F"/>
    <w:rsid w:val="00324FEF"/>
    <w:rsid w:val="00325342"/>
    <w:rsid w:val="00325834"/>
    <w:rsid w:val="00326C34"/>
    <w:rsid w:val="00327E98"/>
    <w:rsid w:val="00330F44"/>
    <w:rsid w:val="00331E14"/>
    <w:rsid w:val="003330C2"/>
    <w:rsid w:val="0033543C"/>
    <w:rsid w:val="003356DC"/>
    <w:rsid w:val="00336072"/>
    <w:rsid w:val="00337135"/>
    <w:rsid w:val="00337D5A"/>
    <w:rsid w:val="003426B3"/>
    <w:rsid w:val="00342C93"/>
    <w:rsid w:val="003439F6"/>
    <w:rsid w:val="00344797"/>
    <w:rsid w:val="00347031"/>
    <w:rsid w:val="0034778F"/>
    <w:rsid w:val="0035058F"/>
    <w:rsid w:val="00350628"/>
    <w:rsid w:val="00354821"/>
    <w:rsid w:val="00355398"/>
    <w:rsid w:val="003567DA"/>
    <w:rsid w:val="00356B01"/>
    <w:rsid w:val="0035700C"/>
    <w:rsid w:val="00357682"/>
    <w:rsid w:val="003608D4"/>
    <w:rsid w:val="00360E24"/>
    <w:rsid w:val="00361F81"/>
    <w:rsid w:val="003620DF"/>
    <w:rsid w:val="00362B77"/>
    <w:rsid w:val="00362DB4"/>
    <w:rsid w:val="0036458A"/>
    <w:rsid w:val="00364F15"/>
    <w:rsid w:val="00366E48"/>
    <w:rsid w:val="00367944"/>
    <w:rsid w:val="00367A29"/>
    <w:rsid w:val="00372139"/>
    <w:rsid w:val="00372D5B"/>
    <w:rsid w:val="00373F68"/>
    <w:rsid w:val="0037478D"/>
    <w:rsid w:val="00375A09"/>
    <w:rsid w:val="00381A65"/>
    <w:rsid w:val="00381BC0"/>
    <w:rsid w:val="00381F10"/>
    <w:rsid w:val="003820C6"/>
    <w:rsid w:val="00385140"/>
    <w:rsid w:val="00385470"/>
    <w:rsid w:val="00385648"/>
    <w:rsid w:val="00385A32"/>
    <w:rsid w:val="0038639A"/>
    <w:rsid w:val="00386842"/>
    <w:rsid w:val="003869B6"/>
    <w:rsid w:val="003875AC"/>
    <w:rsid w:val="00390254"/>
    <w:rsid w:val="0039040B"/>
    <w:rsid w:val="00391035"/>
    <w:rsid w:val="00393C71"/>
    <w:rsid w:val="00394DFC"/>
    <w:rsid w:val="003964EB"/>
    <w:rsid w:val="00397BE2"/>
    <w:rsid w:val="00397F97"/>
    <w:rsid w:val="003A12E8"/>
    <w:rsid w:val="003A2C0F"/>
    <w:rsid w:val="003A38EB"/>
    <w:rsid w:val="003A500C"/>
    <w:rsid w:val="003A6589"/>
    <w:rsid w:val="003A6D6C"/>
    <w:rsid w:val="003A7C89"/>
    <w:rsid w:val="003B02F5"/>
    <w:rsid w:val="003B0616"/>
    <w:rsid w:val="003B09CC"/>
    <w:rsid w:val="003B0EAC"/>
    <w:rsid w:val="003B1BFF"/>
    <w:rsid w:val="003B34FF"/>
    <w:rsid w:val="003B3C91"/>
    <w:rsid w:val="003B3CC3"/>
    <w:rsid w:val="003B4CC5"/>
    <w:rsid w:val="003B6288"/>
    <w:rsid w:val="003B654E"/>
    <w:rsid w:val="003C0EF7"/>
    <w:rsid w:val="003C1BB8"/>
    <w:rsid w:val="003C2639"/>
    <w:rsid w:val="003C296B"/>
    <w:rsid w:val="003C3666"/>
    <w:rsid w:val="003C3983"/>
    <w:rsid w:val="003C3A0F"/>
    <w:rsid w:val="003C5E38"/>
    <w:rsid w:val="003C69B8"/>
    <w:rsid w:val="003D0817"/>
    <w:rsid w:val="003D1264"/>
    <w:rsid w:val="003D1E15"/>
    <w:rsid w:val="003D2E0D"/>
    <w:rsid w:val="003D2EE1"/>
    <w:rsid w:val="003E2D73"/>
    <w:rsid w:val="003E4DE2"/>
    <w:rsid w:val="003E5604"/>
    <w:rsid w:val="003E5EC5"/>
    <w:rsid w:val="003E6406"/>
    <w:rsid w:val="003E6E96"/>
    <w:rsid w:val="003E717C"/>
    <w:rsid w:val="003E73B2"/>
    <w:rsid w:val="003F0AA3"/>
    <w:rsid w:val="003F0C44"/>
    <w:rsid w:val="003F16B7"/>
    <w:rsid w:val="003F198D"/>
    <w:rsid w:val="003F2FAE"/>
    <w:rsid w:val="003F3580"/>
    <w:rsid w:val="003F360D"/>
    <w:rsid w:val="003F5459"/>
    <w:rsid w:val="003F61DE"/>
    <w:rsid w:val="003F6DE6"/>
    <w:rsid w:val="003F6F4B"/>
    <w:rsid w:val="003F7856"/>
    <w:rsid w:val="00400B3E"/>
    <w:rsid w:val="0040109A"/>
    <w:rsid w:val="00401A3C"/>
    <w:rsid w:val="00403219"/>
    <w:rsid w:val="00404896"/>
    <w:rsid w:val="00404931"/>
    <w:rsid w:val="004062F8"/>
    <w:rsid w:val="00407986"/>
    <w:rsid w:val="00407F26"/>
    <w:rsid w:val="00410A62"/>
    <w:rsid w:val="0041104B"/>
    <w:rsid w:val="004120A8"/>
    <w:rsid w:val="004159C7"/>
    <w:rsid w:val="004169D2"/>
    <w:rsid w:val="00416AF9"/>
    <w:rsid w:val="0042098E"/>
    <w:rsid w:val="0042206F"/>
    <w:rsid w:val="00422D64"/>
    <w:rsid w:val="00424D9D"/>
    <w:rsid w:val="00425096"/>
    <w:rsid w:val="00425128"/>
    <w:rsid w:val="00426094"/>
    <w:rsid w:val="004263D0"/>
    <w:rsid w:val="00426B48"/>
    <w:rsid w:val="004306C9"/>
    <w:rsid w:val="00430AE4"/>
    <w:rsid w:val="00431CC2"/>
    <w:rsid w:val="00431EED"/>
    <w:rsid w:val="00432010"/>
    <w:rsid w:val="004324BA"/>
    <w:rsid w:val="00432F10"/>
    <w:rsid w:val="00435618"/>
    <w:rsid w:val="00435ACD"/>
    <w:rsid w:val="00436072"/>
    <w:rsid w:val="004362FE"/>
    <w:rsid w:val="004367A0"/>
    <w:rsid w:val="004413F0"/>
    <w:rsid w:val="00441FA6"/>
    <w:rsid w:val="00445F8C"/>
    <w:rsid w:val="004466DF"/>
    <w:rsid w:val="00450223"/>
    <w:rsid w:val="004505C7"/>
    <w:rsid w:val="00454D2C"/>
    <w:rsid w:val="0045530D"/>
    <w:rsid w:val="00455481"/>
    <w:rsid w:val="004562AC"/>
    <w:rsid w:val="004567D8"/>
    <w:rsid w:val="00456C5A"/>
    <w:rsid w:val="00456CE8"/>
    <w:rsid w:val="0045728D"/>
    <w:rsid w:val="004613BF"/>
    <w:rsid w:val="00461967"/>
    <w:rsid w:val="00462C34"/>
    <w:rsid w:val="0046375D"/>
    <w:rsid w:val="00463CF7"/>
    <w:rsid w:val="0046422B"/>
    <w:rsid w:val="0046568F"/>
    <w:rsid w:val="00465C75"/>
    <w:rsid w:val="00466635"/>
    <w:rsid w:val="0046735C"/>
    <w:rsid w:val="00467BC1"/>
    <w:rsid w:val="004706A5"/>
    <w:rsid w:val="00470BBF"/>
    <w:rsid w:val="0047141F"/>
    <w:rsid w:val="00474A74"/>
    <w:rsid w:val="00475B75"/>
    <w:rsid w:val="0048060D"/>
    <w:rsid w:val="00483139"/>
    <w:rsid w:val="00483E73"/>
    <w:rsid w:val="004840AF"/>
    <w:rsid w:val="00484D35"/>
    <w:rsid w:val="004850BB"/>
    <w:rsid w:val="004857FE"/>
    <w:rsid w:val="00485FDC"/>
    <w:rsid w:val="00486C53"/>
    <w:rsid w:val="0048715D"/>
    <w:rsid w:val="004876D5"/>
    <w:rsid w:val="004908F9"/>
    <w:rsid w:val="004915CA"/>
    <w:rsid w:val="00492A9C"/>
    <w:rsid w:val="00493539"/>
    <w:rsid w:val="00494DEE"/>
    <w:rsid w:val="004951C8"/>
    <w:rsid w:val="00496633"/>
    <w:rsid w:val="004969D6"/>
    <w:rsid w:val="004A0973"/>
    <w:rsid w:val="004A09A6"/>
    <w:rsid w:val="004A1032"/>
    <w:rsid w:val="004A194C"/>
    <w:rsid w:val="004A23A1"/>
    <w:rsid w:val="004A5604"/>
    <w:rsid w:val="004A596D"/>
    <w:rsid w:val="004A711E"/>
    <w:rsid w:val="004A7B6C"/>
    <w:rsid w:val="004A7D86"/>
    <w:rsid w:val="004B03F6"/>
    <w:rsid w:val="004B05F2"/>
    <w:rsid w:val="004B0624"/>
    <w:rsid w:val="004B0CAD"/>
    <w:rsid w:val="004B1DA7"/>
    <w:rsid w:val="004B5064"/>
    <w:rsid w:val="004B72D6"/>
    <w:rsid w:val="004B76F5"/>
    <w:rsid w:val="004C0425"/>
    <w:rsid w:val="004C1A32"/>
    <w:rsid w:val="004C1CF8"/>
    <w:rsid w:val="004C35CD"/>
    <w:rsid w:val="004C3BF4"/>
    <w:rsid w:val="004C44E7"/>
    <w:rsid w:val="004C454B"/>
    <w:rsid w:val="004C5103"/>
    <w:rsid w:val="004C6623"/>
    <w:rsid w:val="004C6D0E"/>
    <w:rsid w:val="004C7609"/>
    <w:rsid w:val="004C774F"/>
    <w:rsid w:val="004D07CA"/>
    <w:rsid w:val="004D1731"/>
    <w:rsid w:val="004D22F4"/>
    <w:rsid w:val="004D2528"/>
    <w:rsid w:val="004D27D7"/>
    <w:rsid w:val="004D3245"/>
    <w:rsid w:val="004D54BE"/>
    <w:rsid w:val="004D618E"/>
    <w:rsid w:val="004D670B"/>
    <w:rsid w:val="004D7C84"/>
    <w:rsid w:val="004E0925"/>
    <w:rsid w:val="004E14E5"/>
    <w:rsid w:val="004E1970"/>
    <w:rsid w:val="004E24FF"/>
    <w:rsid w:val="004E3223"/>
    <w:rsid w:val="004E49BC"/>
    <w:rsid w:val="004E66BC"/>
    <w:rsid w:val="004E70C5"/>
    <w:rsid w:val="004E72AA"/>
    <w:rsid w:val="004E7D6B"/>
    <w:rsid w:val="004F025A"/>
    <w:rsid w:val="004F0945"/>
    <w:rsid w:val="004F0E18"/>
    <w:rsid w:val="004F1BAD"/>
    <w:rsid w:val="004F20DF"/>
    <w:rsid w:val="004F2F03"/>
    <w:rsid w:val="004F3F70"/>
    <w:rsid w:val="004F6DAE"/>
    <w:rsid w:val="005029DE"/>
    <w:rsid w:val="00504884"/>
    <w:rsid w:val="00505356"/>
    <w:rsid w:val="005062CC"/>
    <w:rsid w:val="005065C5"/>
    <w:rsid w:val="00507854"/>
    <w:rsid w:val="00511A06"/>
    <w:rsid w:val="00512735"/>
    <w:rsid w:val="00514617"/>
    <w:rsid w:val="005146C5"/>
    <w:rsid w:val="00515EB1"/>
    <w:rsid w:val="005161EF"/>
    <w:rsid w:val="0051687E"/>
    <w:rsid w:val="00516EDF"/>
    <w:rsid w:val="005200A4"/>
    <w:rsid w:val="005204B3"/>
    <w:rsid w:val="00520559"/>
    <w:rsid w:val="00520659"/>
    <w:rsid w:val="005227F2"/>
    <w:rsid w:val="005242CA"/>
    <w:rsid w:val="00525636"/>
    <w:rsid w:val="00526C6D"/>
    <w:rsid w:val="00530B70"/>
    <w:rsid w:val="00530CB7"/>
    <w:rsid w:val="00531093"/>
    <w:rsid w:val="005316DA"/>
    <w:rsid w:val="0053236F"/>
    <w:rsid w:val="00534354"/>
    <w:rsid w:val="0053445B"/>
    <w:rsid w:val="005348FF"/>
    <w:rsid w:val="00535D4C"/>
    <w:rsid w:val="005362CC"/>
    <w:rsid w:val="00540228"/>
    <w:rsid w:val="00542051"/>
    <w:rsid w:val="00542212"/>
    <w:rsid w:val="00542516"/>
    <w:rsid w:val="005430F4"/>
    <w:rsid w:val="0054328C"/>
    <w:rsid w:val="00543B4F"/>
    <w:rsid w:val="00543CA0"/>
    <w:rsid w:val="00543E79"/>
    <w:rsid w:val="00546157"/>
    <w:rsid w:val="005468F0"/>
    <w:rsid w:val="005473AE"/>
    <w:rsid w:val="00547546"/>
    <w:rsid w:val="005514A7"/>
    <w:rsid w:val="00553505"/>
    <w:rsid w:val="00553969"/>
    <w:rsid w:val="005547C4"/>
    <w:rsid w:val="005600F5"/>
    <w:rsid w:val="005605AE"/>
    <w:rsid w:val="00561E23"/>
    <w:rsid w:val="0056390B"/>
    <w:rsid w:val="00564D16"/>
    <w:rsid w:val="00565324"/>
    <w:rsid w:val="0056789E"/>
    <w:rsid w:val="005709E1"/>
    <w:rsid w:val="00573013"/>
    <w:rsid w:val="00573490"/>
    <w:rsid w:val="005738E9"/>
    <w:rsid w:val="00575101"/>
    <w:rsid w:val="005771B3"/>
    <w:rsid w:val="0057736F"/>
    <w:rsid w:val="005774C5"/>
    <w:rsid w:val="005809A2"/>
    <w:rsid w:val="00580D19"/>
    <w:rsid w:val="0058173A"/>
    <w:rsid w:val="00581A41"/>
    <w:rsid w:val="00581B71"/>
    <w:rsid w:val="0058259F"/>
    <w:rsid w:val="00583ADB"/>
    <w:rsid w:val="00583F29"/>
    <w:rsid w:val="00583FB6"/>
    <w:rsid w:val="00584533"/>
    <w:rsid w:val="005849F1"/>
    <w:rsid w:val="0058563C"/>
    <w:rsid w:val="00586CD1"/>
    <w:rsid w:val="00590013"/>
    <w:rsid w:val="00590C46"/>
    <w:rsid w:val="00590F3E"/>
    <w:rsid w:val="005921CB"/>
    <w:rsid w:val="0059389E"/>
    <w:rsid w:val="005943CD"/>
    <w:rsid w:val="005959F1"/>
    <w:rsid w:val="005A0E2D"/>
    <w:rsid w:val="005A0F69"/>
    <w:rsid w:val="005A1C47"/>
    <w:rsid w:val="005A60EA"/>
    <w:rsid w:val="005B157C"/>
    <w:rsid w:val="005B1F45"/>
    <w:rsid w:val="005B257B"/>
    <w:rsid w:val="005B2DA9"/>
    <w:rsid w:val="005B45CF"/>
    <w:rsid w:val="005B5096"/>
    <w:rsid w:val="005B51B6"/>
    <w:rsid w:val="005B55EF"/>
    <w:rsid w:val="005B6BB6"/>
    <w:rsid w:val="005C0710"/>
    <w:rsid w:val="005C299E"/>
    <w:rsid w:val="005C5B43"/>
    <w:rsid w:val="005D1B18"/>
    <w:rsid w:val="005D26BE"/>
    <w:rsid w:val="005D4C85"/>
    <w:rsid w:val="005D6187"/>
    <w:rsid w:val="005D6BDC"/>
    <w:rsid w:val="005D6EE0"/>
    <w:rsid w:val="005D6FA4"/>
    <w:rsid w:val="005D77AA"/>
    <w:rsid w:val="005E14E9"/>
    <w:rsid w:val="005E2223"/>
    <w:rsid w:val="005E2F6E"/>
    <w:rsid w:val="005E2FF9"/>
    <w:rsid w:val="005E32FF"/>
    <w:rsid w:val="005E60FB"/>
    <w:rsid w:val="005E63CD"/>
    <w:rsid w:val="005E68C1"/>
    <w:rsid w:val="005E6942"/>
    <w:rsid w:val="005E7C2F"/>
    <w:rsid w:val="005F0A5A"/>
    <w:rsid w:val="005F148D"/>
    <w:rsid w:val="005F1BA7"/>
    <w:rsid w:val="005F216C"/>
    <w:rsid w:val="005F23ED"/>
    <w:rsid w:val="005F2A80"/>
    <w:rsid w:val="005F2F82"/>
    <w:rsid w:val="005F3889"/>
    <w:rsid w:val="005F4BAA"/>
    <w:rsid w:val="005F6314"/>
    <w:rsid w:val="00601F67"/>
    <w:rsid w:val="00602632"/>
    <w:rsid w:val="0060299F"/>
    <w:rsid w:val="00602C2D"/>
    <w:rsid w:val="006041B3"/>
    <w:rsid w:val="0060594D"/>
    <w:rsid w:val="00606456"/>
    <w:rsid w:val="00606B8B"/>
    <w:rsid w:val="00610E5B"/>
    <w:rsid w:val="00611A39"/>
    <w:rsid w:val="00611CC4"/>
    <w:rsid w:val="00612B87"/>
    <w:rsid w:val="00612F64"/>
    <w:rsid w:val="0061347B"/>
    <w:rsid w:val="006136FF"/>
    <w:rsid w:val="006146A5"/>
    <w:rsid w:val="00615E3B"/>
    <w:rsid w:val="00616166"/>
    <w:rsid w:val="00616E1D"/>
    <w:rsid w:val="00616F5E"/>
    <w:rsid w:val="006173FB"/>
    <w:rsid w:val="006174BE"/>
    <w:rsid w:val="006208A9"/>
    <w:rsid w:val="00621649"/>
    <w:rsid w:val="00623B52"/>
    <w:rsid w:val="006256CE"/>
    <w:rsid w:val="00625C11"/>
    <w:rsid w:val="00627D4C"/>
    <w:rsid w:val="006300D3"/>
    <w:rsid w:val="00631CAC"/>
    <w:rsid w:val="006336B2"/>
    <w:rsid w:val="00633E3E"/>
    <w:rsid w:val="00635155"/>
    <w:rsid w:val="00635B32"/>
    <w:rsid w:val="00637355"/>
    <w:rsid w:val="00637451"/>
    <w:rsid w:val="00637FAB"/>
    <w:rsid w:val="006414E6"/>
    <w:rsid w:val="00641881"/>
    <w:rsid w:val="00642959"/>
    <w:rsid w:val="00643401"/>
    <w:rsid w:val="0064383C"/>
    <w:rsid w:val="006467E6"/>
    <w:rsid w:val="006479D9"/>
    <w:rsid w:val="006501BA"/>
    <w:rsid w:val="00653169"/>
    <w:rsid w:val="006541CF"/>
    <w:rsid w:val="006558F9"/>
    <w:rsid w:val="00656F1A"/>
    <w:rsid w:val="00661287"/>
    <w:rsid w:val="00662E01"/>
    <w:rsid w:val="00662F8A"/>
    <w:rsid w:val="00666FD0"/>
    <w:rsid w:val="00667E25"/>
    <w:rsid w:val="0067004E"/>
    <w:rsid w:val="00673E6C"/>
    <w:rsid w:val="0067475C"/>
    <w:rsid w:val="00674A18"/>
    <w:rsid w:val="0067638A"/>
    <w:rsid w:val="00677E41"/>
    <w:rsid w:val="00680D0B"/>
    <w:rsid w:val="00681030"/>
    <w:rsid w:val="0068123F"/>
    <w:rsid w:val="0068278C"/>
    <w:rsid w:val="00683C73"/>
    <w:rsid w:val="00683ED3"/>
    <w:rsid w:val="00683EFE"/>
    <w:rsid w:val="00685750"/>
    <w:rsid w:val="006868C0"/>
    <w:rsid w:val="006912DA"/>
    <w:rsid w:val="00692DA8"/>
    <w:rsid w:val="00692FAB"/>
    <w:rsid w:val="00693415"/>
    <w:rsid w:val="00694AAE"/>
    <w:rsid w:val="00695BE5"/>
    <w:rsid w:val="0069643C"/>
    <w:rsid w:val="006973BB"/>
    <w:rsid w:val="006979BF"/>
    <w:rsid w:val="00697E9A"/>
    <w:rsid w:val="006A0F74"/>
    <w:rsid w:val="006A11CB"/>
    <w:rsid w:val="006A281F"/>
    <w:rsid w:val="006A3661"/>
    <w:rsid w:val="006A61E8"/>
    <w:rsid w:val="006A6A90"/>
    <w:rsid w:val="006A7D4A"/>
    <w:rsid w:val="006B2B3A"/>
    <w:rsid w:val="006B2D49"/>
    <w:rsid w:val="006B47FC"/>
    <w:rsid w:val="006B4EB3"/>
    <w:rsid w:val="006B5212"/>
    <w:rsid w:val="006B6D28"/>
    <w:rsid w:val="006B7EE6"/>
    <w:rsid w:val="006C0976"/>
    <w:rsid w:val="006C2209"/>
    <w:rsid w:val="006C327F"/>
    <w:rsid w:val="006C3457"/>
    <w:rsid w:val="006C35DB"/>
    <w:rsid w:val="006C3739"/>
    <w:rsid w:val="006C377E"/>
    <w:rsid w:val="006C3DAC"/>
    <w:rsid w:val="006C4C6F"/>
    <w:rsid w:val="006C5785"/>
    <w:rsid w:val="006C57D3"/>
    <w:rsid w:val="006C6244"/>
    <w:rsid w:val="006C6F1E"/>
    <w:rsid w:val="006C7204"/>
    <w:rsid w:val="006D1E24"/>
    <w:rsid w:val="006D3574"/>
    <w:rsid w:val="006D3969"/>
    <w:rsid w:val="006D73B0"/>
    <w:rsid w:val="006D7905"/>
    <w:rsid w:val="006E1230"/>
    <w:rsid w:val="006E1810"/>
    <w:rsid w:val="006E2F76"/>
    <w:rsid w:val="006E4787"/>
    <w:rsid w:val="006E4FF8"/>
    <w:rsid w:val="006F1DF7"/>
    <w:rsid w:val="006F2060"/>
    <w:rsid w:val="006F510F"/>
    <w:rsid w:val="006F5361"/>
    <w:rsid w:val="006F702F"/>
    <w:rsid w:val="006F7374"/>
    <w:rsid w:val="006F7985"/>
    <w:rsid w:val="006F79E9"/>
    <w:rsid w:val="00700386"/>
    <w:rsid w:val="00700D9B"/>
    <w:rsid w:val="00701E8C"/>
    <w:rsid w:val="00704F0D"/>
    <w:rsid w:val="0070651A"/>
    <w:rsid w:val="007067F8"/>
    <w:rsid w:val="007076CD"/>
    <w:rsid w:val="00711072"/>
    <w:rsid w:val="007116E4"/>
    <w:rsid w:val="00711852"/>
    <w:rsid w:val="00711D5E"/>
    <w:rsid w:val="00714CAB"/>
    <w:rsid w:val="00714DD9"/>
    <w:rsid w:val="00714F6F"/>
    <w:rsid w:val="0071680E"/>
    <w:rsid w:val="007207A0"/>
    <w:rsid w:val="0072099F"/>
    <w:rsid w:val="00720FD1"/>
    <w:rsid w:val="007218C3"/>
    <w:rsid w:val="00723382"/>
    <w:rsid w:val="00724243"/>
    <w:rsid w:val="007243F8"/>
    <w:rsid w:val="007253A5"/>
    <w:rsid w:val="007265E8"/>
    <w:rsid w:val="00732D8D"/>
    <w:rsid w:val="00732E42"/>
    <w:rsid w:val="007339EE"/>
    <w:rsid w:val="007341CF"/>
    <w:rsid w:val="0073456F"/>
    <w:rsid w:val="00735F38"/>
    <w:rsid w:val="00740747"/>
    <w:rsid w:val="00741E54"/>
    <w:rsid w:val="00743228"/>
    <w:rsid w:val="00743CFC"/>
    <w:rsid w:val="00746EE9"/>
    <w:rsid w:val="00747DE1"/>
    <w:rsid w:val="00751AE2"/>
    <w:rsid w:val="00751E7D"/>
    <w:rsid w:val="00752CD1"/>
    <w:rsid w:val="00753151"/>
    <w:rsid w:val="00753505"/>
    <w:rsid w:val="0075594E"/>
    <w:rsid w:val="0076103F"/>
    <w:rsid w:val="00761AE4"/>
    <w:rsid w:val="0076273A"/>
    <w:rsid w:val="00763061"/>
    <w:rsid w:val="007639A3"/>
    <w:rsid w:val="00765F43"/>
    <w:rsid w:val="00766B60"/>
    <w:rsid w:val="007704C1"/>
    <w:rsid w:val="0077122F"/>
    <w:rsid w:val="007716B6"/>
    <w:rsid w:val="00771F86"/>
    <w:rsid w:val="007728A2"/>
    <w:rsid w:val="007744AD"/>
    <w:rsid w:val="00774C21"/>
    <w:rsid w:val="0077500A"/>
    <w:rsid w:val="00775FBF"/>
    <w:rsid w:val="007767A1"/>
    <w:rsid w:val="007808EE"/>
    <w:rsid w:val="0078188A"/>
    <w:rsid w:val="00782FEE"/>
    <w:rsid w:val="007867A7"/>
    <w:rsid w:val="007877D5"/>
    <w:rsid w:val="007905F8"/>
    <w:rsid w:val="00791CFD"/>
    <w:rsid w:val="007929B4"/>
    <w:rsid w:val="00795C77"/>
    <w:rsid w:val="00795D40"/>
    <w:rsid w:val="00795F74"/>
    <w:rsid w:val="00796CCB"/>
    <w:rsid w:val="00796F83"/>
    <w:rsid w:val="007A1A6B"/>
    <w:rsid w:val="007A1A9F"/>
    <w:rsid w:val="007A3005"/>
    <w:rsid w:val="007A361F"/>
    <w:rsid w:val="007A47AA"/>
    <w:rsid w:val="007A4AA7"/>
    <w:rsid w:val="007A4B28"/>
    <w:rsid w:val="007A5619"/>
    <w:rsid w:val="007A5F97"/>
    <w:rsid w:val="007A66C1"/>
    <w:rsid w:val="007A6778"/>
    <w:rsid w:val="007A6AE8"/>
    <w:rsid w:val="007A75FE"/>
    <w:rsid w:val="007A78A8"/>
    <w:rsid w:val="007B02BB"/>
    <w:rsid w:val="007B0491"/>
    <w:rsid w:val="007B057B"/>
    <w:rsid w:val="007B111A"/>
    <w:rsid w:val="007B3149"/>
    <w:rsid w:val="007B3927"/>
    <w:rsid w:val="007B3E46"/>
    <w:rsid w:val="007B5036"/>
    <w:rsid w:val="007B5C28"/>
    <w:rsid w:val="007B6419"/>
    <w:rsid w:val="007B703A"/>
    <w:rsid w:val="007B7131"/>
    <w:rsid w:val="007B751D"/>
    <w:rsid w:val="007B78A9"/>
    <w:rsid w:val="007C07A8"/>
    <w:rsid w:val="007C0EB9"/>
    <w:rsid w:val="007C222A"/>
    <w:rsid w:val="007C279B"/>
    <w:rsid w:val="007C3369"/>
    <w:rsid w:val="007C4C1C"/>
    <w:rsid w:val="007C50F5"/>
    <w:rsid w:val="007C56B0"/>
    <w:rsid w:val="007C7480"/>
    <w:rsid w:val="007D06BE"/>
    <w:rsid w:val="007D2DF8"/>
    <w:rsid w:val="007D3E77"/>
    <w:rsid w:val="007D4699"/>
    <w:rsid w:val="007D46EE"/>
    <w:rsid w:val="007D4C85"/>
    <w:rsid w:val="007D5A53"/>
    <w:rsid w:val="007D5DEB"/>
    <w:rsid w:val="007D772E"/>
    <w:rsid w:val="007E0769"/>
    <w:rsid w:val="007E07DE"/>
    <w:rsid w:val="007E1C75"/>
    <w:rsid w:val="007E2620"/>
    <w:rsid w:val="007E2D82"/>
    <w:rsid w:val="007E3FB4"/>
    <w:rsid w:val="007E4206"/>
    <w:rsid w:val="007E652B"/>
    <w:rsid w:val="007E722B"/>
    <w:rsid w:val="007E7E11"/>
    <w:rsid w:val="007F103E"/>
    <w:rsid w:val="007F169F"/>
    <w:rsid w:val="007F19E1"/>
    <w:rsid w:val="007F306F"/>
    <w:rsid w:val="007F5511"/>
    <w:rsid w:val="007F6996"/>
    <w:rsid w:val="0080007B"/>
    <w:rsid w:val="00800580"/>
    <w:rsid w:val="008009FF"/>
    <w:rsid w:val="0080180B"/>
    <w:rsid w:val="0080185D"/>
    <w:rsid w:val="0080246B"/>
    <w:rsid w:val="008025A4"/>
    <w:rsid w:val="0080277F"/>
    <w:rsid w:val="00805764"/>
    <w:rsid w:val="0080646B"/>
    <w:rsid w:val="008065B3"/>
    <w:rsid w:val="00807F04"/>
    <w:rsid w:val="00810E84"/>
    <w:rsid w:val="008114A7"/>
    <w:rsid w:val="00812802"/>
    <w:rsid w:val="008163A1"/>
    <w:rsid w:val="00816614"/>
    <w:rsid w:val="00816620"/>
    <w:rsid w:val="00816A33"/>
    <w:rsid w:val="00816D2B"/>
    <w:rsid w:val="0082058B"/>
    <w:rsid w:val="0082162F"/>
    <w:rsid w:val="00821EF8"/>
    <w:rsid w:val="00822871"/>
    <w:rsid w:val="00823BAD"/>
    <w:rsid w:val="00823E1F"/>
    <w:rsid w:val="008269F9"/>
    <w:rsid w:val="0082728A"/>
    <w:rsid w:val="00830214"/>
    <w:rsid w:val="0083028E"/>
    <w:rsid w:val="00830B76"/>
    <w:rsid w:val="00832641"/>
    <w:rsid w:val="0083474E"/>
    <w:rsid w:val="00837ECC"/>
    <w:rsid w:val="00840885"/>
    <w:rsid w:val="00840B09"/>
    <w:rsid w:val="0084207A"/>
    <w:rsid w:val="008422B9"/>
    <w:rsid w:val="0084394D"/>
    <w:rsid w:val="00843D83"/>
    <w:rsid w:val="00843EA6"/>
    <w:rsid w:val="00846062"/>
    <w:rsid w:val="0084705D"/>
    <w:rsid w:val="00852484"/>
    <w:rsid w:val="008525D4"/>
    <w:rsid w:val="00852D1A"/>
    <w:rsid w:val="0085473C"/>
    <w:rsid w:val="00855FA8"/>
    <w:rsid w:val="0085623E"/>
    <w:rsid w:val="00856C56"/>
    <w:rsid w:val="00860C7B"/>
    <w:rsid w:val="00863311"/>
    <w:rsid w:val="008646E4"/>
    <w:rsid w:val="00864B0D"/>
    <w:rsid w:val="00864D35"/>
    <w:rsid w:val="00866C16"/>
    <w:rsid w:val="00866F72"/>
    <w:rsid w:val="00866FEA"/>
    <w:rsid w:val="0086784F"/>
    <w:rsid w:val="008722E5"/>
    <w:rsid w:val="008741E8"/>
    <w:rsid w:val="00874AAE"/>
    <w:rsid w:val="00875517"/>
    <w:rsid w:val="0087571F"/>
    <w:rsid w:val="00875B19"/>
    <w:rsid w:val="00875D54"/>
    <w:rsid w:val="00875DD7"/>
    <w:rsid w:val="008778A2"/>
    <w:rsid w:val="0088000D"/>
    <w:rsid w:val="00880BE2"/>
    <w:rsid w:val="00880DBE"/>
    <w:rsid w:val="008812A8"/>
    <w:rsid w:val="00881D91"/>
    <w:rsid w:val="008837BA"/>
    <w:rsid w:val="008849BF"/>
    <w:rsid w:val="00884D46"/>
    <w:rsid w:val="00884F19"/>
    <w:rsid w:val="00885116"/>
    <w:rsid w:val="008873F4"/>
    <w:rsid w:val="00887F75"/>
    <w:rsid w:val="00890BCD"/>
    <w:rsid w:val="008918CC"/>
    <w:rsid w:val="00891A72"/>
    <w:rsid w:val="008923AB"/>
    <w:rsid w:val="00893237"/>
    <w:rsid w:val="00893678"/>
    <w:rsid w:val="00894590"/>
    <w:rsid w:val="0089678B"/>
    <w:rsid w:val="00896C8A"/>
    <w:rsid w:val="0089709E"/>
    <w:rsid w:val="00897382"/>
    <w:rsid w:val="008979E0"/>
    <w:rsid w:val="008A1733"/>
    <w:rsid w:val="008A2538"/>
    <w:rsid w:val="008A2CFD"/>
    <w:rsid w:val="008A477C"/>
    <w:rsid w:val="008A5842"/>
    <w:rsid w:val="008A5E0A"/>
    <w:rsid w:val="008B1249"/>
    <w:rsid w:val="008B52C3"/>
    <w:rsid w:val="008B6145"/>
    <w:rsid w:val="008B6C81"/>
    <w:rsid w:val="008C02BF"/>
    <w:rsid w:val="008C178B"/>
    <w:rsid w:val="008C1BC7"/>
    <w:rsid w:val="008C2A4D"/>
    <w:rsid w:val="008C3840"/>
    <w:rsid w:val="008C65C2"/>
    <w:rsid w:val="008C76AC"/>
    <w:rsid w:val="008C7EC1"/>
    <w:rsid w:val="008D03E0"/>
    <w:rsid w:val="008D0E03"/>
    <w:rsid w:val="008D0E19"/>
    <w:rsid w:val="008D1946"/>
    <w:rsid w:val="008D248A"/>
    <w:rsid w:val="008D3074"/>
    <w:rsid w:val="008D3AC0"/>
    <w:rsid w:val="008D5083"/>
    <w:rsid w:val="008D531F"/>
    <w:rsid w:val="008D668E"/>
    <w:rsid w:val="008D7C95"/>
    <w:rsid w:val="008E1C56"/>
    <w:rsid w:val="008E3BE6"/>
    <w:rsid w:val="008E454B"/>
    <w:rsid w:val="008E55BB"/>
    <w:rsid w:val="008E701F"/>
    <w:rsid w:val="008E7C3F"/>
    <w:rsid w:val="008F0D98"/>
    <w:rsid w:val="008F1918"/>
    <w:rsid w:val="008F4E02"/>
    <w:rsid w:val="008F56EC"/>
    <w:rsid w:val="008F5B84"/>
    <w:rsid w:val="008F622A"/>
    <w:rsid w:val="008F798D"/>
    <w:rsid w:val="00900307"/>
    <w:rsid w:val="0090060E"/>
    <w:rsid w:val="00901EEB"/>
    <w:rsid w:val="00902408"/>
    <w:rsid w:val="0090275E"/>
    <w:rsid w:val="009040A6"/>
    <w:rsid w:val="009045E4"/>
    <w:rsid w:val="00904B2B"/>
    <w:rsid w:val="00905370"/>
    <w:rsid w:val="00906415"/>
    <w:rsid w:val="00907378"/>
    <w:rsid w:val="009077FF"/>
    <w:rsid w:val="00910188"/>
    <w:rsid w:val="00911BA0"/>
    <w:rsid w:val="00911D21"/>
    <w:rsid w:val="009124D2"/>
    <w:rsid w:val="00912AC3"/>
    <w:rsid w:val="00913CF6"/>
    <w:rsid w:val="00916E62"/>
    <w:rsid w:val="0092084A"/>
    <w:rsid w:val="009208E9"/>
    <w:rsid w:val="00920B88"/>
    <w:rsid w:val="0092379B"/>
    <w:rsid w:val="00923D39"/>
    <w:rsid w:val="00925B0D"/>
    <w:rsid w:val="009304CD"/>
    <w:rsid w:val="00930754"/>
    <w:rsid w:val="009314B7"/>
    <w:rsid w:val="00932FA6"/>
    <w:rsid w:val="00935FCA"/>
    <w:rsid w:val="00937277"/>
    <w:rsid w:val="00937A0A"/>
    <w:rsid w:val="00940095"/>
    <w:rsid w:val="0094017E"/>
    <w:rsid w:val="00941505"/>
    <w:rsid w:val="0094331E"/>
    <w:rsid w:val="00944A8E"/>
    <w:rsid w:val="00945F08"/>
    <w:rsid w:val="00947309"/>
    <w:rsid w:val="0094774A"/>
    <w:rsid w:val="00952287"/>
    <w:rsid w:val="009562E2"/>
    <w:rsid w:val="00956D15"/>
    <w:rsid w:val="00957742"/>
    <w:rsid w:val="00957A74"/>
    <w:rsid w:val="0096095A"/>
    <w:rsid w:val="009633FD"/>
    <w:rsid w:val="00963ED1"/>
    <w:rsid w:val="00965DEC"/>
    <w:rsid w:val="00966853"/>
    <w:rsid w:val="00966B34"/>
    <w:rsid w:val="00967FC1"/>
    <w:rsid w:val="00972253"/>
    <w:rsid w:val="00974C0C"/>
    <w:rsid w:val="00974FE6"/>
    <w:rsid w:val="00976D44"/>
    <w:rsid w:val="00980775"/>
    <w:rsid w:val="00980F02"/>
    <w:rsid w:val="00983604"/>
    <w:rsid w:val="00984F6F"/>
    <w:rsid w:val="0098572E"/>
    <w:rsid w:val="0098690A"/>
    <w:rsid w:val="009876B2"/>
    <w:rsid w:val="00991447"/>
    <w:rsid w:val="00993428"/>
    <w:rsid w:val="00993680"/>
    <w:rsid w:val="0099395C"/>
    <w:rsid w:val="00994596"/>
    <w:rsid w:val="0099463C"/>
    <w:rsid w:val="00994D79"/>
    <w:rsid w:val="0099717A"/>
    <w:rsid w:val="009A03B3"/>
    <w:rsid w:val="009A0DAC"/>
    <w:rsid w:val="009A184D"/>
    <w:rsid w:val="009A1CAA"/>
    <w:rsid w:val="009A2F08"/>
    <w:rsid w:val="009A5DB0"/>
    <w:rsid w:val="009A61D3"/>
    <w:rsid w:val="009A7438"/>
    <w:rsid w:val="009B1E34"/>
    <w:rsid w:val="009B236A"/>
    <w:rsid w:val="009B2CB0"/>
    <w:rsid w:val="009B33ED"/>
    <w:rsid w:val="009B3539"/>
    <w:rsid w:val="009B5B9A"/>
    <w:rsid w:val="009B6748"/>
    <w:rsid w:val="009B77C4"/>
    <w:rsid w:val="009C0737"/>
    <w:rsid w:val="009C0BC2"/>
    <w:rsid w:val="009C1319"/>
    <w:rsid w:val="009C28CC"/>
    <w:rsid w:val="009C37E7"/>
    <w:rsid w:val="009C436E"/>
    <w:rsid w:val="009C4C6C"/>
    <w:rsid w:val="009C4F33"/>
    <w:rsid w:val="009C5812"/>
    <w:rsid w:val="009C6B87"/>
    <w:rsid w:val="009C722B"/>
    <w:rsid w:val="009C7D8D"/>
    <w:rsid w:val="009D0914"/>
    <w:rsid w:val="009D1CC4"/>
    <w:rsid w:val="009D231E"/>
    <w:rsid w:val="009D289C"/>
    <w:rsid w:val="009D2B2D"/>
    <w:rsid w:val="009D3253"/>
    <w:rsid w:val="009D4A1E"/>
    <w:rsid w:val="009D4D93"/>
    <w:rsid w:val="009D57F1"/>
    <w:rsid w:val="009D5FDA"/>
    <w:rsid w:val="009D7270"/>
    <w:rsid w:val="009D7299"/>
    <w:rsid w:val="009D7598"/>
    <w:rsid w:val="009D791A"/>
    <w:rsid w:val="009E1453"/>
    <w:rsid w:val="009E274F"/>
    <w:rsid w:val="009E2AE4"/>
    <w:rsid w:val="009E4595"/>
    <w:rsid w:val="009E53F5"/>
    <w:rsid w:val="009E6B4E"/>
    <w:rsid w:val="009E7330"/>
    <w:rsid w:val="009F0956"/>
    <w:rsid w:val="009F0DDF"/>
    <w:rsid w:val="009F1158"/>
    <w:rsid w:val="009F2931"/>
    <w:rsid w:val="009F2DF8"/>
    <w:rsid w:val="009F34D1"/>
    <w:rsid w:val="009F488B"/>
    <w:rsid w:val="009F5A31"/>
    <w:rsid w:val="009F60E9"/>
    <w:rsid w:val="009F6275"/>
    <w:rsid w:val="009F7F8B"/>
    <w:rsid w:val="00A00023"/>
    <w:rsid w:val="00A03872"/>
    <w:rsid w:val="00A03EAC"/>
    <w:rsid w:val="00A05C83"/>
    <w:rsid w:val="00A06708"/>
    <w:rsid w:val="00A0678A"/>
    <w:rsid w:val="00A06AE7"/>
    <w:rsid w:val="00A0760D"/>
    <w:rsid w:val="00A125A3"/>
    <w:rsid w:val="00A127DC"/>
    <w:rsid w:val="00A13633"/>
    <w:rsid w:val="00A14013"/>
    <w:rsid w:val="00A146D0"/>
    <w:rsid w:val="00A14ED3"/>
    <w:rsid w:val="00A15101"/>
    <w:rsid w:val="00A15649"/>
    <w:rsid w:val="00A1712F"/>
    <w:rsid w:val="00A17508"/>
    <w:rsid w:val="00A204B0"/>
    <w:rsid w:val="00A21041"/>
    <w:rsid w:val="00A238B5"/>
    <w:rsid w:val="00A238D7"/>
    <w:rsid w:val="00A240BB"/>
    <w:rsid w:val="00A24819"/>
    <w:rsid w:val="00A24B66"/>
    <w:rsid w:val="00A25E35"/>
    <w:rsid w:val="00A2705E"/>
    <w:rsid w:val="00A30FAC"/>
    <w:rsid w:val="00A3195D"/>
    <w:rsid w:val="00A31A42"/>
    <w:rsid w:val="00A321DA"/>
    <w:rsid w:val="00A339BF"/>
    <w:rsid w:val="00A341E7"/>
    <w:rsid w:val="00A34F9C"/>
    <w:rsid w:val="00A37813"/>
    <w:rsid w:val="00A406BF"/>
    <w:rsid w:val="00A4202B"/>
    <w:rsid w:val="00A42EF3"/>
    <w:rsid w:val="00A44BCB"/>
    <w:rsid w:val="00A45888"/>
    <w:rsid w:val="00A50242"/>
    <w:rsid w:val="00A50EB0"/>
    <w:rsid w:val="00A526BC"/>
    <w:rsid w:val="00A5378D"/>
    <w:rsid w:val="00A5379D"/>
    <w:rsid w:val="00A53AA9"/>
    <w:rsid w:val="00A54998"/>
    <w:rsid w:val="00A55ECE"/>
    <w:rsid w:val="00A56311"/>
    <w:rsid w:val="00A56965"/>
    <w:rsid w:val="00A56AF6"/>
    <w:rsid w:val="00A56D8D"/>
    <w:rsid w:val="00A60223"/>
    <w:rsid w:val="00A60A79"/>
    <w:rsid w:val="00A613AC"/>
    <w:rsid w:val="00A62071"/>
    <w:rsid w:val="00A621D1"/>
    <w:rsid w:val="00A63436"/>
    <w:rsid w:val="00A6371D"/>
    <w:rsid w:val="00A65011"/>
    <w:rsid w:val="00A6565C"/>
    <w:rsid w:val="00A65855"/>
    <w:rsid w:val="00A66FA9"/>
    <w:rsid w:val="00A67B71"/>
    <w:rsid w:val="00A70DC6"/>
    <w:rsid w:val="00A70DC8"/>
    <w:rsid w:val="00A72208"/>
    <w:rsid w:val="00A7330B"/>
    <w:rsid w:val="00A73942"/>
    <w:rsid w:val="00A73B0D"/>
    <w:rsid w:val="00A73B72"/>
    <w:rsid w:val="00A748C4"/>
    <w:rsid w:val="00A74ADB"/>
    <w:rsid w:val="00A76C84"/>
    <w:rsid w:val="00A81304"/>
    <w:rsid w:val="00A8228E"/>
    <w:rsid w:val="00A8332F"/>
    <w:rsid w:val="00A838B9"/>
    <w:rsid w:val="00A84359"/>
    <w:rsid w:val="00A84B9D"/>
    <w:rsid w:val="00A85BD4"/>
    <w:rsid w:val="00A8604B"/>
    <w:rsid w:val="00A86199"/>
    <w:rsid w:val="00A86B2C"/>
    <w:rsid w:val="00A87A2C"/>
    <w:rsid w:val="00A925C1"/>
    <w:rsid w:val="00A92B52"/>
    <w:rsid w:val="00A931DC"/>
    <w:rsid w:val="00A9446A"/>
    <w:rsid w:val="00A960E3"/>
    <w:rsid w:val="00AA1554"/>
    <w:rsid w:val="00AA25C2"/>
    <w:rsid w:val="00AA2EB2"/>
    <w:rsid w:val="00AA3C2D"/>
    <w:rsid w:val="00AA3E4E"/>
    <w:rsid w:val="00AA40AD"/>
    <w:rsid w:val="00AA5125"/>
    <w:rsid w:val="00AA5754"/>
    <w:rsid w:val="00AA7105"/>
    <w:rsid w:val="00AA74A7"/>
    <w:rsid w:val="00AB0009"/>
    <w:rsid w:val="00AB06D9"/>
    <w:rsid w:val="00AB143E"/>
    <w:rsid w:val="00AB3F74"/>
    <w:rsid w:val="00AB47A2"/>
    <w:rsid w:val="00AB67F2"/>
    <w:rsid w:val="00AB693A"/>
    <w:rsid w:val="00AB720C"/>
    <w:rsid w:val="00AB7453"/>
    <w:rsid w:val="00AB7B5E"/>
    <w:rsid w:val="00AC0372"/>
    <w:rsid w:val="00AC0396"/>
    <w:rsid w:val="00AC103C"/>
    <w:rsid w:val="00AC2066"/>
    <w:rsid w:val="00AC44FE"/>
    <w:rsid w:val="00AC4788"/>
    <w:rsid w:val="00AC4E67"/>
    <w:rsid w:val="00AC50FF"/>
    <w:rsid w:val="00AC529B"/>
    <w:rsid w:val="00AC6D59"/>
    <w:rsid w:val="00AC7960"/>
    <w:rsid w:val="00AD1D93"/>
    <w:rsid w:val="00AD2E8A"/>
    <w:rsid w:val="00AD392E"/>
    <w:rsid w:val="00AD4488"/>
    <w:rsid w:val="00AD4BDB"/>
    <w:rsid w:val="00AD51A7"/>
    <w:rsid w:val="00AD67FC"/>
    <w:rsid w:val="00AD775E"/>
    <w:rsid w:val="00AD7D70"/>
    <w:rsid w:val="00AD7DCD"/>
    <w:rsid w:val="00AE07F9"/>
    <w:rsid w:val="00AE156D"/>
    <w:rsid w:val="00AE1969"/>
    <w:rsid w:val="00AE2241"/>
    <w:rsid w:val="00AE38B4"/>
    <w:rsid w:val="00AE3FFF"/>
    <w:rsid w:val="00AE4D02"/>
    <w:rsid w:val="00AE6F1B"/>
    <w:rsid w:val="00AE72F3"/>
    <w:rsid w:val="00AF077D"/>
    <w:rsid w:val="00AF1494"/>
    <w:rsid w:val="00AF172F"/>
    <w:rsid w:val="00AF295D"/>
    <w:rsid w:val="00AF3F35"/>
    <w:rsid w:val="00AF5435"/>
    <w:rsid w:val="00AF6800"/>
    <w:rsid w:val="00B00D84"/>
    <w:rsid w:val="00B03088"/>
    <w:rsid w:val="00B0321C"/>
    <w:rsid w:val="00B032A1"/>
    <w:rsid w:val="00B03593"/>
    <w:rsid w:val="00B057AA"/>
    <w:rsid w:val="00B06B80"/>
    <w:rsid w:val="00B1001D"/>
    <w:rsid w:val="00B10793"/>
    <w:rsid w:val="00B11587"/>
    <w:rsid w:val="00B13203"/>
    <w:rsid w:val="00B13301"/>
    <w:rsid w:val="00B13CB7"/>
    <w:rsid w:val="00B14062"/>
    <w:rsid w:val="00B15ACE"/>
    <w:rsid w:val="00B21C42"/>
    <w:rsid w:val="00B23073"/>
    <w:rsid w:val="00B23364"/>
    <w:rsid w:val="00B2362D"/>
    <w:rsid w:val="00B23EA6"/>
    <w:rsid w:val="00B24183"/>
    <w:rsid w:val="00B249FB"/>
    <w:rsid w:val="00B25905"/>
    <w:rsid w:val="00B331B7"/>
    <w:rsid w:val="00B33670"/>
    <w:rsid w:val="00B3411C"/>
    <w:rsid w:val="00B342EB"/>
    <w:rsid w:val="00B3659D"/>
    <w:rsid w:val="00B36ABD"/>
    <w:rsid w:val="00B36CC5"/>
    <w:rsid w:val="00B37948"/>
    <w:rsid w:val="00B405CE"/>
    <w:rsid w:val="00B42DAF"/>
    <w:rsid w:val="00B42DCA"/>
    <w:rsid w:val="00B4553A"/>
    <w:rsid w:val="00B45993"/>
    <w:rsid w:val="00B4723C"/>
    <w:rsid w:val="00B50566"/>
    <w:rsid w:val="00B513D5"/>
    <w:rsid w:val="00B53FB6"/>
    <w:rsid w:val="00B5426F"/>
    <w:rsid w:val="00B544CC"/>
    <w:rsid w:val="00B54BA5"/>
    <w:rsid w:val="00B57FC2"/>
    <w:rsid w:val="00B606C1"/>
    <w:rsid w:val="00B607F1"/>
    <w:rsid w:val="00B614B8"/>
    <w:rsid w:val="00B62DE5"/>
    <w:rsid w:val="00B64926"/>
    <w:rsid w:val="00B65A77"/>
    <w:rsid w:val="00B65D23"/>
    <w:rsid w:val="00B65F6E"/>
    <w:rsid w:val="00B66093"/>
    <w:rsid w:val="00B66839"/>
    <w:rsid w:val="00B668A7"/>
    <w:rsid w:val="00B6695F"/>
    <w:rsid w:val="00B70F37"/>
    <w:rsid w:val="00B71D6D"/>
    <w:rsid w:val="00B74869"/>
    <w:rsid w:val="00B74CD6"/>
    <w:rsid w:val="00B773B1"/>
    <w:rsid w:val="00B777AE"/>
    <w:rsid w:val="00B77F15"/>
    <w:rsid w:val="00B81098"/>
    <w:rsid w:val="00B83C6E"/>
    <w:rsid w:val="00B84026"/>
    <w:rsid w:val="00B8467B"/>
    <w:rsid w:val="00B84949"/>
    <w:rsid w:val="00B8546D"/>
    <w:rsid w:val="00B86232"/>
    <w:rsid w:val="00B86930"/>
    <w:rsid w:val="00B87253"/>
    <w:rsid w:val="00B8770F"/>
    <w:rsid w:val="00B90C8C"/>
    <w:rsid w:val="00B92BAF"/>
    <w:rsid w:val="00B93FC6"/>
    <w:rsid w:val="00B94317"/>
    <w:rsid w:val="00B9448A"/>
    <w:rsid w:val="00B9501D"/>
    <w:rsid w:val="00B959E5"/>
    <w:rsid w:val="00BA0B0F"/>
    <w:rsid w:val="00BA1D56"/>
    <w:rsid w:val="00BA2C08"/>
    <w:rsid w:val="00BA35E7"/>
    <w:rsid w:val="00BA387C"/>
    <w:rsid w:val="00BA3B5F"/>
    <w:rsid w:val="00BA3EE7"/>
    <w:rsid w:val="00BA4248"/>
    <w:rsid w:val="00BA5355"/>
    <w:rsid w:val="00BA5602"/>
    <w:rsid w:val="00BA560E"/>
    <w:rsid w:val="00BA5662"/>
    <w:rsid w:val="00BA5874"/>
    <w:rsid w:val="00BA6128"/>
    <w:rsid w:val="00BA6C5E"/>
    <w:rsid w:val="00BB041A"/>
    <w:rsid w:val="00BB0BA6"/>
    <w:rsid w:val="00BB1691"/>
    <w:rsid w:val="00BB19BA"/>
    <w:rsid w:val="00BB42E0"/>
    <w:rsid w:val="00BB47DE"/>
    <w:rsid w:val="00BB6429"/>
    <w:rsid w:val="00BB7CE5"/>
    <w:rsid w:val="00BC0741"/>
    <w:rsid w:val="00BC2519"/>
    <w:rsid w:val="00BC2876"/>
    <w:rsid w:val="00BC51F4"/>
    <w:rsid w:val="00BC6621"/>
    <w:rsid w:val="00BD106C"/>
    <w:rsid w:val="00BD16AF"/>
    <w:rsid w:val="00BD17D2"/>
    <w:rsid w:val="00BD3984"/>
    <w:rsid w:val="00BD39A2"/>
    <w:rsid w:val="00BD3A1C"/>
    <w:rsid w:val="00BD3D32"/>
    <w:rsid w:val="00BD5F89"/>
    <w:rsid w:val="00BD70C9"/>
    <w:rsid w:val="00BE163C"/>
    <w:rsid w:val="00BE2078"/>
    <w:rsid w:val="00BE20E4"/>
    <w:rsid w:val="00BE2884"/>
    <w:rsid w:val="00BE5740"/>
    <w:rsid w:val="00BE63E9"/>
    <w:rsid w:val="00BE6936"/>
    <w:rsid w:val="00BE6F46"/>
    <w:rsid w:val="00BE75CE"/>
    <w:rsid w:val="00BE78B4"/>
    <w:rsid w:val="00BF1792"/>
    <w:rsid w:val="00BF22C3"/>
    <w:rsid w:val="00BF2371"/>
    <w:rsid w:val="00BF3BA8"/>
    <w:rsid w:val="00BF4038"/>
    <w:rsid w:val="00BF4C4F"/>
    <w:rsid w:val="00BF6455"/>
    <w:rsid w:val="00BF7A38"/>
    <w:rsid w:val="00C00EB6"/>
    <w:rsid w:val="00C0187E"/>
    <w:rsid w:val="00C02323"/>
    <w:rsid w:val="00C02CDF"/>
    <w:rsid w:val="00C036BD"/>
    <w:rsid w:val="00C03758"/>
    <w:rsid w:val="00C0651D"/>
    <w:rsid w:val="00C06652"/>
    <w:rsid w:val="00C07A8D"/>
    <w:rsid w:val="00C10007"/>
    <w:rsid w:val="00C10D37"/>
    <w:rsid w:val="00C119CD"/>
    <w:rsid w:val="00C12D62"/>
    <w:rsid w:val="00C136EC"/>
    <w:rsid w:val="00C139F4"/>
    <w:rsid w:val="00C1455E"/>
    <w:rsid w:val="00C20AA6"/>
    <w:rsid w:val="00C228D1"/>
    <w:rsid w:val="00C22D6C"/>
    <w:rsid w:val="00C23B89"/>
    <w:rsid w:val="00C249E9"/>
    <w:rsid w:val="00C24E26"/>
    <w:rsid w:val="00C25075"/>
    <w:rsid w:val="00C26CB0"/>
    <w:rsid w:val="00C2738A"/>
    <w:rsid w:val="00C305AE"/>
    <w:rsid w:val="00C30E25"/>
    <w:rsid w:val="00C3104B"/>
    <w:rsid w:val="00C31B6E"/>
    <w:rsid w:val="00C32CCD"/>
    <w:rsid w:val="00C348E0"/>
    <w:rsid w:val="00C34AE6"/>
    <w:rsid w:val="00C350EB"/>
    <w:rsid w:val="00C3531C"/>
    <w:rsid w:val="00C353A4"/>
    <w:rsid w:val="00C36DFB"/>
    <w:rsid w:val="00C40455"/>
    <w:rsid w:val="00C40A14"/>
    <w:rsid w:val="00C40F7C"/>
    <w:rsid w:val="00C43444"/>
    <w:rsid w:val="00C44F39"/>
    <w:rsid w:val="00C46E3F"/>
    <w:rsid w:val="00C47153"/>
    <w:rsid w:val="00C4789D"/>
    <w:rsid w:val="00C47A25"/>
    <w:rsid w:val="00C53E65"/>
    <w:rsid w:val="00C55ECA"/>
    <w:rsid w:val="00C60C50"/>
    <w:rsid w:val="00C63A64"/>
    <w:rsid w:val="00C6586D"/>
    <w:rsid w:val="00C6592D"/>
    <w:rsid w:val="00C66C63"/>
    <w:rsid w:val="00C7007A"/>
    <w:rsid w:val="00C70909"/>
    <w:rsid w:val="00C71A39"/>
    <w:rsid w:val="00C72E98"/>
    <w:rsid w:val="00C740BE"/>
    <w:rsid w:val="00C759F7"/>
    <w:rsid w:val="00C763ED"/>
    <w:rsid w:val="00C768D7"/>
    <w:rsid w:val="00C76998"/>
    <w:rsid w:val="00C8089B"/>
    <w:rsid w:val="00C81656"/>
    <w:rsid w:val="00C8175D"/>
    <w:rsid w:val="00C81948"/>
    <w:rsid w:val="00C823BB"/>
    <w:rsid w:val="00C8504B"/>
    <w:rsid w:val="00C85518"/>
    <w:rsid w:val="00C855D9"/>
    <w:rsid w:val="00C85897"/>
    <w:rsid w:val="00C9015F"/>
    <w:rsid w:val="00C9123A"/>
    <w:rsid w:val="00C91390"/>
    <w:rsid w:val="00C9164E"/>
    <w:rsid w:val="00C92FA0"/>
    <w:rsid w:val="00C94864"/>
    <w:rsid w:val="00C97925"/>
    <w:rsid w:val="00CA0113"/>
    <w:rsid w:val="00CA17A2"/>
    <w:rsid w:val="00CA17DD"/>
    <w:rsid w:val="00CA1B79"/>
    <w:rsid w:val="00CA21D8"/>
    <w:rsid w:val="00CA2E53"/>
    <w:rsid w:val="00CA3233"/>
    <w:rsid w:val="00CA5C62"/>
    <w:rsid w:val="00CB109F"/>
    <w:rsid w:val="00CB17F5"/>
    <w:rsid w:val="00CB2C18"/>
    <w:rsid w:val="00CB35C5"/>
    <w:rsid w:val="00CB3C62"/>
    <w:rsid w:val="00CB532C"/>
    <w:rsid w:val="00CB5C83"/>
    <w:rsid w:val="00CC1AA1"/>
    <w:rsid w:val="00CC20D0"/>
    <w:rsid w:val="00CC216A"/>
    <w:rsid w:val="00CC2798"/>
    <w:rsid w:val="00CC6075"/>
    <w:rsid w:val="00CC65C9"/>
    <w:rsid w:val="00CC7467"/>
    <w:rsid w:val="00CC7FE0"/>
    <w:rsid w:val="00CD0103"/>
    <w:rsid w:val="00CD0B51"/>
    <w:rsid w:val="00CD0E17"/>
    <w:rsid w:val="00CD1659"/>
    <w:rsid w:val="00CD31BA"/>
    <w:rsid w:val="00CD3BC0"/>
    <w:rsid w:val="00CD56EF"/>
    <w:rsid w:val="00CD66E2"/>
    <w:rsid w:val="00CD7486"/>
    <w:rsid w:val="00CE0105"/>
    <w:rsid w:val="00CE2007"/>
    <w:rsid w:val="00CE2065"/>
    <w:rsid w:val="00CE25F0"/>
    <w:rsid w:val="00CE47BC"/>
    <w:rsid w:val="00CE48F9"/>
    <w:rsid w:val="00CE4D9B"/>
    <w:rsid w:val="00CE4FE3"/>
    <w:rsid w:val="00CE5A8C"/>
    <w:rsid w:val="00CE5ABD"/>
    <w:rsid w:val="00CF1ADB"/>
    <w:rsid w:val="00CF219D"/>
    <w:rsid w:val="00CF2348"/>
    <w:rsid w:val="00CF36EF"/>
    <w:rsid w:val="00CF3761"/>
    <w:rsid w:val="00CF55A0"/>
    <w:rsid w:val="00D000AA"/>
    <w:rsid w:val="00D01053"/>
    <w:rsid w:val="00D01BC1"/>
    <w:rsid w:val="00D03291"/>
    <w:rsid w:val="00D05260"/>
    <w:rsid w:val="00D0633E"/>
    <w:rsid w:val="00D06B19"/>
    <w:rsid w:val="00D11316"/>
    <w:rsid w:val="00D11353"/>
    <w:rsid w:val="00D13E2E"/>
    <w:rsid w:val="00D13E87"/>
    <w:rsid w:val="00D13EAB"/>
    <w:rsid w:val="00D14875"/>
    <w:rsid w:val="00D162D9"/>
    <w:rsid w:val="00D16EEF"/>
    <w:rsid w:val="00D178E8"/>
    <w:rsid w:val="00D200E4"/>
    <w:rsid w:val="00D206BE"/>
    <w:rsid w:val="00D214B8"/>
    <w:rsid w:val="00D21516"/>
    <w:rsid w:val="00D235B2"/>
    <w:rsid w:val="00D23854"/>
    <w:rsid w:val="00D240E4"/>
    <w:rsid w:val="00D250AD"/>
    <w:rsid w:val="00D258BB"/>
    <w:rsid w:val="00D25F76"/>
    <w:rsid w:val="00D30107"/>
    <w:rsid w:val="00D3075E"/>
    <w:rsid w:val="00D309A9"/>
    <w:rsid w:val="00D30A5B"/>
    <w:rsid w:val="00D30D5A"/>
    <w:rsid w:val="00D31049"/>
    <w:rsid w:val="00D329CE"/>
    <w:rsid w:val="00D33B71"/>
    <w:rsid w:val="00D346D4"/>
    <w:rsid w:val="00D35CAD"/>
    <w:rsid w:val="00D36FBF"/>
    <w:rsid w:val="00D425D7"/>
    <w:rsid w:val="00D43824"/>
    <w:rsid w:val="00D43AD9"/>
    <w:rsid w:val="00D44CBE"/>
    <w:rsid w:val="00D44F8B"/>
    <w:rsid w:val="00D45617"/>
    <w:rsid w:val="00D45F6F"/>
    <w:rsid w:val="00D4668A"/>
    <w:rsid w:val="00D467E9"/>
    <w:rsid w:val="00D5014D"/>
    <w:rsid w:val="00D50483"/>
    <w:rsid w:val="00D510DA"/>
    <w:rsid w:val="00D5214B"/>
    <w:rsid w:val="00D52AF0"/>
    <w:rsid w:val="00D52E3B"/>
    <w:rsid w:val="00D53511"/>
    <w:rsid w:val="00D5402C"/>
    <w:rsid w:val="00D54CDA"/>
    <w:rsid w:val="00D557DF"/>
    <w:rsid w:val="00D55825"/>
    <w:rsid w:val="00D55906"/>
    <w:rsid w:val="00D56BB1"/>
    <w:rsid w:val="00D56BD5"/>
    <w:rsid w:val="00D5785F"/>
    <w:rsid w:val="00D6111F"/>
    <w:rsid w:val="00D62B98"/>
    <w:rsid w:val="00D62CEE"/>
    <w:rsid w:val="00D6546D"/>
    <w:rsid w:val="00D65C9D"/>
    <w:rsid w:val="00D65D0D"/>
    <w:rsid w:val="00D706CF"/>
    <w:rsid w:val="00D70C31"/>
    <w:rsid w:val="00D71C07"/>
    <w:rsid w:val="00D727D8"/>
    <w:rsid w:val="00D73B08"/>
    <w:rsid w:val="00D745D1"/>
    <w:rsid w:val="00D74728"/>
    <w:rsid w:val="00D74CBB"/>
    <w:rsid w:val="00D75E7A"/>
    <w:rsid w:val="00D7765B"/>
    <w:rsid w:val="00D80619"/>
    <w:rsid w:val="00D8104F"/>
    <w:rsid w:val="00D81EEC"/>
    <w:rsid w:val="00D8293E"/>
    <w:rsid w:val="00D829CE"/>
    <w:rsid w:val="00D83166"/>
    <w:rsid w:val="00D837E6"/>
    <w:rsid w:val="00D873F0"/>
    <w:rsid w:val="00D90D41"/>
    <w:rsid w:val="00D922B2"/>
    <w:rsid w:val="00D9288B"/>
    <w:rsid w:val="00D93922"/>
    <w:rsid w:val="00D96405"/>
    <w:rsid w:val="00D96A88"/>
    <w:rsid w:val="00D96C52"/>
    <w:rsid w:val="00D97153"/>
    <w:rsid w:val="00D9750E"/>
    <w:rsid w:val="00DA0534"/>
    <w:rsid w:val="00DA1EB6"/>
    <w:rsid w:val="00DA3A7C"/>
    <w:rsid w:val="00DA4525"/>
    <w:rsid w:val="00DA45E9"/>
    <w:rsid w:val="00DA4876"/>
    <w:rsid w:val="00DA560D"/>
    <w:rsid w:val="00DA6ABD"/>
    <w:rsid w:val="00DA6DF5"/>
    <w:rsid w:val="00DB2BC7"/>
    <w:rsid w:val="00DB312B"/>
    <w:rsid w:val="00DB337C"/>
    <w:rsid w:val="00DB6102"/>
    <w:rsid w:val="00DB6D48"/>
    <w:rsid w:val="00DB7C3C"/>
    <w:rsid w:val="00DB7D9F"/>
    <w:rsid w:val="00DC12A4"/>
    <w:rsid w:val="00DC2E29"/>
    <w:rsid w:val="00DC7726"/>
    <w:rsid w:val="00DC7815"/>
    <w:rsid w:val="00DD032D"/>
    <w:rsid w:val="00DD2FBB"/>
    <w:rsid w:val="00DD493C"/>
    <w:rsid w:val="00DD4B67"/>
    <w:rsid w:val="00DD72E5"/>
    <w:rsid w:val="00DD7E11"/>
    <w:rsid w:val="00DE1488"/>
    <w:rsid w:val="00DE164F"/>
    <w:rsid w:val="00DE18A6"/>
    <w:rsid w:val="00DE29FE"/>
    <w:rsid w:val="00DE33B3"/>
    <w:rsid w:val="00DE4016"/>
    <w:rsid w:val="00DE4A08"/>
    <w:rsid w:val="00DE763A"/>
    <w:rsid w:val="00DE7B53"/>
    <w:rsid w:val="00DF1032"/>
    <w:rsid w:val="00DF1573"/>
    <w:rsid w:val="00DF2AE1"/>
    <w:rsid w:val="00DF2B48"/>
    <w:rsid w:val="00DF2C5A"/>
    <w:rsid w:val="00DF35C1"/>
    <w:rsid w:val="00DF4333"/>
    <w:rsid w:val="00DF6A02"/>
    <w:rsid w:val="00E01EFE"/>
    <w:rsid w:val="00E030D0"/>
    <w:rsid w:val="00E043E7"/>
    <w:rsid w:val="00E04F45"/>
    <w:rsid w:val="00E050C5"/>
    <w:rsid w:val="00E05491"/>
    <w:rsid w:val="00E06598"/>
    <w:rsid w:val="00E067A6"/>
    <w:rsid w:val="00E07460"/>
    <w:rsid w:val="00E1015E"/>
    <w:rsid w:val="00E11260"/>
    <w:rsid w:val="00E128C3"/>
    <w:rsid w:val="00E1429A"/>
    <w:rsid w:val="00E15E72"/>
    <w:rsid w:val="00E161D2"/>
    <w:rsid w:val="00E169F4"/>
    <w:rsid w:val="00E16F9E"/>
    <w:rsid w:val="00E2235F"/>
    <w:rsid w:val="00E228B8"/>
    <w:rsid w:val="00E22D44"/>
    <w:rsid w:val="00E24B56"/>
    <w:rsid w:val="00E25A4C"/>
    <w:rsid w:val="00E26656"/>
    <w:rsid w:val="00E27E06"/>
    <w:rsid w:val="00E30389"/>
    <w:rsid w:val="00E32226"/>
    <w:rsid w:val="00E348C3"/>
    <w:rsid w:val="00E36558"/>
    <w:rsid w:val="00E37456"/>
    <w:rsid w:val="00E4087D"/>
    <w:rsid w:val="00E417BC"/>
    <w:rsid w:val="00E438B9"/>
    <w:rsid w:val="00E46003"/>
    <w:rsid w:val="00E4780A"/>
    <w:rsid w:val="00E47A29"/>
    <w:rsid w:val="00E50C51"/>
    <w:rsid w:val="00E53BAA"/>
    <w:rsid w:val="00E545E4"/>
    <w:rsid w:val="00E549AE"/>
    <w:rsid w:val="00E55810"/>
    <w:rsid w:val="00E5623D"/>
    <w:rsid w:val="00E567A2"/>
    <w:rsid w:val="00E60AA3"/>
    <w:rsid w:val="00E60E3C"/>
    <w:rsid w:val="00E60F1C"/>
    <w:rsid w:val="00E61D18"/>
    <w:rsid w:val="00E61EC7"/>
    <w:rsid w:val="00E62D2C"/>
    <w:rsid w:val="00E63CF3"/>
    <w:rsid w:val="00E64A75"/>
    <w:rsid w:val="00E6516A"/>
    <w:rsid w:val="00E67927"/>
    <w:rsid w:val="00E67E9F"/>
    <w:rsid w:val="00E70D9B"/>
    <w:rsid w:val="00E70E94"/>
    <w:rsid w:val="00E70EA2"/>
    <w:rsid w:val="00E715FF"/>
    <w:rsid w:val="00E72CEC"/>
    <w:rsid w:val="00E72E52"/>
    <w:rsid w:val="00E762DD"/>
    <w:rsid w:val="00E76ADB"/>
    <w:rsid w:val="00E76EC2"/>
    <w:rsid w:val="00E8015D"/>
    <w:rsid w:val="00E8023A"/>
    <w:rsid w:val="00E80E53"/>
    <w:rsid w:val="00E83433"/>
    <w:rsid w:val="00E83653"/>
    <w:rsid w:val="00E84333"/>
    <w:rsid w:val="00E85BEA"/>
    <w:rsid w:val="00E860D9"/>
    <w:rsid w:val="00E86514"/>
    <w:rsid w:val="00E8697F"/>
    <w:rsid w:val="00E87F91"/>
    <w:rsid w:val="00E90D5D"/>
    <w:rsid w:val="00E917FB"/>
    <w:rsid w:val="00E91E2D"/>
    <w:rsid w:val="00E9220A"/>
    <w:rsid w:val="00E92A8D"/>
    <w:rsid w:val="00E943A2"/>
    <w:rsid w:val="00E952FD"/>
    <w:rsid w:val="00E95B3E"/>
    <w:rsid w:val="00E95E81"/>
    <w:rsid w:val="00E96A8D"/>
    <w:rsid w:val="00E96D33"/>
    <w:rsid w:val="00EA0A2F"/>
    <w:rsid w:val="00EA1279"/>
    <w:rsid w:val="00EA1457"/>
    <w:rsid w:val="00EA2C4C"/>
    <w:rsid w:val="00EA30A6"/>
    <w:rsid w:val="00EA4063"/>
    <w:rsid w:val="00EA46D6"/>
    <w:rsid w:val="00EA4E24"/>
    <w:rsid w:val="00EA5160"/>
    <w:rsid w:val="00EA5B3F"/>
    <w:rsid w:val="00EA69B6"/>
    <w:rsid w:val="00EA6CC8"/>
    <w:rsid w:val="00EA798A"/>
    <w:rsid w:val="00EB09E8"/>
    <w:rsid w:val="00EB3AEF"/>
    <w:rsid w:val="00EB48A8"/>
    <w:rsid w:val="00EB549C"/>
    <w:rsid w:val="00EB5E79"/>
    <w:rsid w:val="00EC01A9"/>
    <w:rsid w:val="00EC30CC"/>
    <w:rsid w:val="00EC3688"/>
    <w:rsid w:val="00EC604A"/>
    <w:rsid w:val="00EC7E71"/>
    <w:rsid w:val="00ED03A9"/>
    <w:rsid w:val="00ED0EE6"/>
    <w:rsid w:val="00ED21E7"/>
    <w:rsid w:val="00ED3481"/>
    <w:rsid w:val="00ED50A5"/>
    <w:rsid w:val="00ED6214"/>
    <w:rsid w:val="00ED646E"/>
    <w:rsid w:val="00ED7205"/>
    <w:rsid w:val="00ED741E"/>
    <w:rsid w:val="00EE0A88"/>
    <w:rsid w:val="00EE0AB3"/>
    <w:rsid w:val="00EE22CD"/>
    <w:rsid w:val="00EE2311"/>
    <w:rsid w:val="00EE27EF"/>
    <w:rsid w:val="00EE33D7"/>
    <w:rsid w:val="00EE57E5"/>
    <w:rsid w:val="00EE599D"/>
    <w:rsid w:val="00EE775F"/>
    <w:rsid w:val="00EF02C9"/>
    <w:rsid w:val="00EF0FFC"/>
    <w:rsid w:val="00EF422C"/>
    <w:rsid w:val="00EF4BB4"/>
    <w:rsid w:val="00EF4E56"/>
    <w:rsid w:val="00EF5BFC"/>
    <w:rsid w:val="00EF5EF1"/>
    <w:rsid w:val="00EF6038"/>
    <w:rsid w:val="00EF7B03"/>
    <w:rsid w:val="00F00C2C"/>
    <w:rsid w:val="00F01DA5"/>
    <w:rsid w:val="00F07504"/>
    <w:rsid w:val="00F07567"/>
    <w:rsid w:val="00F102B6"/>
    <w:rsid w:val="00F10354"/>
    <w:rsid w:val="00F114AD"/>
    <w:rsid w:val="00F11D07"/>
    <w:rsid w:val="00F13AD5"/>
    <w:rsid w:val="00F1443D"/>
    <w:rsid w:val="00F16D7B"/>
    <w:rsid w:val="00F16E79"/>
    <w:rsid w:val="00F17507"/>
    <w:rsid w:val="00F215D2"/>
    <w:rsid w:val="00F2262D"/>
    <w:rsid w:val="00F22D51"/>
    <w:rsid w:val="00F23F1A"/>
    <w:rsid w:val="00F254E5"/>
    <w:rsid w:val="00F25AA1"/>
    <w:rsid w:val="00F27207"/>
    <w:rsid w:val="00F3188B"/>
    <w:rsid w:val="00F31A2E"/>
    <w:rsid w:val="00F32638"/>
    <w:rsid w:val="00F32D1C"/>
    <w:rsid w:val="00F346A3"/>
    <w:rsid w:val="00F3726C"/>
    <w:rsid w:val="00F379A4"/>
    <w:rsid w:val="00F37CAD"/>
    <w:rsid w:val="00F40B5B"/>
    <w:rsid w:val="00F417CB"/>
    <w:rsid w:val="00F41EB0"/>
    <w:rsid w:val="00F427FC"/>
    <w:rsid w:val="00F42B59"/>
    <w:rsid w:val="00F444FE"/>
    <w:rsid w:val="00F449FC"/>
    <w:rsid w:val="00F44C70"/>
    <w:rsid w:val="00F44D3B"/>
    <w:rsid w:val="00F478D9"/>
    <w:rsid w:val="00F511FC"/>
    <w:rsid w:val="00F513DD"/>
    <w:rsid w:val="00F53566"/>
    <w:rsid w:val="00F54532"/>
    <w:rsid w:val="00F5458A"/>
    <w:rsid w:val="00F54B0F"/>
    <w:rsid w:val="00F54CE3"/>
    <w:rsid w:val="00F56DA6"/>
    <w:rsid w:val="00F60CA1"/>
    <w:rsid w:val="00F6189B"/>
    <w:rsid w:val="00F61CE4"/>
    <w:rsid w:val="00F62B8C"/>
    <w:rsid w:val="00F63C70"/>
    <w:rsid w:val="00F702DD"/>
    <w:rsid w:val="00F71E92"/>
    <w:rsid w:val="00F74E79"/>
    <w:rsid w:val="00F766B1"/>
    <w:rsid w:val="00F767DF"/>
    <w:rsid w:val="00F76C94"/>
    <w:rsid w:val="00F77EA3"/>
    <w:rsid w:val="00F80DDB"/>
    <w:rsid w:val="00F81D78"/>
    <w:rsid w:val="00F84219"/>
    <w:rsid w:val="00F8427B"/>
    <w:rsid w:val="00F84EEF"/>
    <w:rsid w:val="00F8506F"/>
    <w:rsid w:val="00F864AC"/>
    <w:rsid w:val="00F866A8"/>
    <w:rsid w:val="00F904D4"/>
    <w:rsid w:val="00F9072E"/>
    <w:rsid w:val="00F92C81"/>
    <w:rsid w:val="00F938B4"/>
    <w:rsid w:val="00F940C3"/>
    <w:rsid w:val="00F94C14"/>
    <w:rsid w:val="00FA0183"/>
    <w:rsid w:val="00FA03D5"/>
    <w:rsid w:val="00FA0A1D"/>
    <w:rsid w:val="00FA14C0"/>
    <w:rsid w:val="00FA5157"/>
    <w:rsid w:val="00FA5F16"/>
    <w:rsid w:val="00FA66E5"/>
    <w:rsid w:val="00FA6A8C"/>
    <w:rsid w:val="00FB0B7D"/>
    <w:rsid w:val="00FB111E"/>
    <w:rsid w:val="00FB32C2"/>
    <w:rsid w:val="00FB330E"/>
    <w:rsid w:val="00FB42C6"/>
    <w:rsid w:val="00FB4CE1"/>
    <w:rsid w:val="00FB538B"/>
    <w:rsid w:val="00FB5B3F"/>
    <w:rsid w:val="00FB5F77"/>
    <w:rsid w:val="00FB6229"/>
    <w:rsid w:val="00FB66DB"/>
    <w:rsid w:val="00FB7358"/>
    <w:rsid w:val="00FB74FB"/>
    <w:rsid w:val="00FB7770"/>
    <w:rsid w:val="00FB788E"/>
    <w:rsid w:val="00FC0838"/>
    <w:rsid w:val="00FC18F3"/>
    <w:rsid w:val="00FC22A6"/>
    <w:rsid w:val="00FC293A"/>
    <w:rsid w:val="00FC3742"/>
    <w:rsid w:val="00FC3C97"/>
    <w:rsid w:val="00FC5C76"/>
    <w:rsid w:val="00FC7363"/>
    <w:rsid w:val="00FC7939"/>
    <w:rsid w:val="00FC7955"/>
    <w:rsid w:val="00FD09CF"/>
    <w:rsid w:val="00FD0E7A"/>
    <w:rsid w:val="00FD1441"/>
    <w:rsid w:val="00FD196D"/>
    <w:rsid w:val="00FD1D94"/>
    <w:rsid w:val="00FD50CA"/>
    <w:rsid w:val="00FD6601"/>
    <w:rsid w:val="00FD6A18"/>
    <w:rsid w:val="00FD6B55"/>
    <w:rsid w:val="00FD6FD2"/>
    <w:rsid w:val="00FD7A69"/>
    <w:rsid w:val="00FE005E"/>
    <w:rsid w:val="00FE07A4"/>
    <w:rsid w:val="00FE1755"/>
    <w:rsid w:val="00FE1B91"/>
    <w:rsid w:val="00FE2B7D"/>
    <w:rsid w:val="00FE4ECE"/>
    <w:rsid w:val="00FE6B12"/>
    <w:rsid w:val="00FE780D"/>
    <w:rsid w:val="00FE7D09"/>
    <w:rsid w:val="00FE7FA8"/>
    <w:rsid w:val="00FF3D72"/>
    <w:rsid w:val="00FF3DDC"/>
    <w:rsid w:val="00FF424C"/>
    <w:rsid w:val="00FF4DE0"/>
    <w:rsid w:val="00FF5D6C"/>
    <w:rsid w:val="00FF64F2"/>
    <w:rsid w:val="00FF748B"/>
    <w:rsid w:val="010B1E00"/>
    <w:rsid w:val="014A102B"/>
    <w:rsid w:val="0160084E"/>
    <w:rsid w:val="01660FF1"/>
    <w:rsid w:val="01A87AFF"/>
    <w:rsid w:val="01C56E1F"/>
    <w:rsid w:val="01D94A0C"/>
    <w:rsid w:val="01F40F97"/>
    <w:rsid w:val="01FA674E"/>
    <w:rsid w:val="02105DD0"/>
    <w:rsid w:val="023F543E"/>
    <w:rsid w:val="024C0DD3"/>
    <w:rsid w:val="027A6DA3"/>
    <w:rsid w:val="0285377D"/>
    <w:rsid w:val="029E285A"/>
    <w:rsid w:val="02A35163"/>
    <w:rsid w:val="02BB7FDE"/>
    <w:rsid w:val="02BF2237"/>
    <w:rsid w:val="02C95554"/>
    <w:rsid w:val="02F0175E"/>
    <w:rsid w:val="03353D51"/>
    <w:rsid w:val="0345685C"/>
    <w:rsid w:val="03C123C8"/>
    <w:rsid w:val="03D30E69"/>
    <w:rsid w:val="03DB74C4"/>
    <w:rsid w:val="04035DB4"/>
    <w:rsid w:val="042F2A80"/>
    <w:rsid w:val="045A1585"/>
    <w:rsid w:val="04820ADC"/>
    <w:rsid w:val="04943F97"/>
    <w:rsid w:val="04A610B0"/>
    <w:rsid w:val="04B05649"/>
    <w:rsid w:val="04D50F93"/>
    <w:rsid w:val="04E11B23"/>
    <w:rsid w:val="05211ED7"/>
    <w:rsid w:val="05393890"/>
    <w:rsid w:val="053B4576"/>
    <w:rsid w:val="053D664A"/>
    <w:rsid w:val="05406C17"/>
    <w:rsid w:val="054D0C5F"/>
    <w:rsid w:val="05636384"/>
    <w:rsid w:val="057448C8"/>
    <w:rsid w:val="0585619F"/>
    <w:rsid w:val="05AA1544"/>
    <w:rsid w:val="05C81E1A"/>
    <w:rsid w:val="05CF6C6F"/>
    <w:rsid w:val="05E357C6"/>
    <w:rsid w:val="05EF21A1"/>
    <w:rsid w:val="05F81055"/>
    <w:rsid w:val="06173225"/>
    <w:rsid w:val="06626EEF"/>
    <w:rsid w:val="066606B5"/>
    <w:rsid w:val="06780FAB"/>
    <w:rsid w:val="06C00BBB"/>
    <w:rsid w:val="06C62F02"/>
    <w:rsid w:val="06CA19B2"/>
    <w:rsid w:val="071E4FBC"/>
    <w:rsid w:val="07324BB7"/>
    <w:rsid w:val="07453774"/>
    <w:rsid w:val="0754038F"/>
    <w:rsid w:val="0768220B"/>
    <w:rsid w:val="07803461"/>
    <w:rsid w:val="07D900C6"/>
    <w:rsid w:val="07DF7D9E"/>
    <w:rsid w:val="07E740C9"/>
    <w:rsid w:val="07FB4E2D"/>
    <w:rsid w:val="080A1514"/>
    <w:rsid w:val="083823D1"/>
    <w:rsid w:val="084A073B"/>
    <w:rsid w:val="085F33CA"/>
    <w:rsid w:val="086E4742"/>
    <w:rsid w:val="08716E9D"/>
    <w:rsid w:val="08B42AD4"/>
    <w:rsid w:val="08CC6344"/>
    <w:rsid w:val="08EC3E37"/>
    <w:rsid w:val="08F5187C"/>
    <w:rsid w:val="08F85810"/>
    <w:rsid w:val="09184791"/>
    <w:rsid w:val="09371E95"/>
    <w:rsid w:val="095C5AED"/>
    <w:rsid w:val="098E3A7F"/>
    <w:rsid w:val="09A60DC8"/>
    <w:rsid w:val="09B01C47"/>
    <w:rsid w:val="09B90184"/>
    <w:rsid w:val="09BD7309"/>
    <w:rsid w:val="09BE266B"/>
    <w:rsid w:val="09C91A8F"/>
    <w:rsid w:val="09CD0A4B"/>
    <w:rsid w:val="09D175A5"/>
    <w:rsid w:val="0A342D06"/>
    <w:rsid w:val="0A786C09"/>
    <w:rsid w:val="0AC16ABD"/>
    <w:rsid w:val="0ACB6AE7"/>
    <w:rsid w:val="0ACE2FD5"/>
    <w:rsid w:val="0AE26B3B"/>
    <w:rsid w:val="0B00275A"/>
    <w:rsid w:val="0B154424"/>
    <w:rsid w:val="0B3A2FF8"/>
    <w:rsid w:val="0B507080"/>
    <w:rsid w:val="0B64718D"/>
    <w:rsid w:val="0B7768AB"/>
    <w:rsid w:val="0B776EC0"/>
    <w:rsid w:val="0B91125E"/>
    <w:rsid w:val="0BCF2858"/>
    <w:rsid w:val="0BD15ACF"/>
    <w:rsid w:val="0BDF4221"/>
    <w:rsid w:val="0C0134B9"/>
    <w:rsid w:val="0C06146F"/>
    <w:rsid w:val="0C0876AF"/>
    <w:rsid w:val="0C394477"/>
    <w:rsid w:val="0C415011"/>
    <w:rsid w:val="0C474AE5"/>
    <w:rsid w:val="0C5E283A"/>
    <w:rsid w:val="0C8A49D1"/>
    <w:rsid w:val="0C901938"/>
    <w:rsid w:val="0C992E66"/>
    <w:rsid w:val="0CAD007E"/>
    <w:rsid w:val="0CAD246E"/>
    <w:rsid w:val="0CDD0FA5"/>
    <w:rsid w:val="0CE265BB"/>
    <w:rsid w:val="0CF62067"/>
    <w:rsid w:val="0D0B0534"/>
    <w:rsid w:val="0D103128"/>
    <w:rsid w:val="0D4A5F0F"/>
    <w:rsid w:val="0D892EDB"/>
    <w:rsid w:val="0D8D127C"/>
    <w:rsid w:val="0D9E045B"/>
    <w:rsid w:val="0DAF2CBD"/>
    <w:rsid w:val="0DF1591A"/>
    <w:rsid w:val="0DF540CC"/>
    <w:rsid w:val="0E1125BB"/>
    <w:rsid w:val="0E15476E"/>
    <w:rsid w:val="0E172295"/>
    <w:rsid w:val="0E37177E"/>
    <w:rsid w:val="0E462B7A"/>
    <w:rsid w:val="0E4D39A5"/>
    <w:rsid w:val="0E5E56E3"/>
    <w:rsid w:val="0EB64A1E"/>
    <w:rsid w:val="0EBB7EB6"/>
    <w:rsid w:val="0ECA4CFE"/>
    <w:rsid w:val="0EDE1004"/>
    <w:rsid w:val="0EE77462"/>
    <w:rsid w:val="0F037BE7"/>
    <w:rsid w:val="0F4B3E09"/>
    <w:rsid w:val="0F51079E"/>
    <w:rsid w:val="0F5F0397"/>
    <w:rsid w:val="0F882BE7"/>
    <w:rsid w:val="0F896D9D"/>
    <w:rsid w:val="0F977DB5"/>
    <w:rsid w:val="0FB1408E"/>
    <w:rsid w:val="0FC82A27"/>
    <w:rsid w:val="0FE57427"/>
    <w:rsid w:val="0FEE6678"/>
    <w:rsid w:val="0FFD665E"/>
    <w:rsid w:val="0FFF53A2"/>
    <w:rsid w:val="100219E7"/>
    <w:rsid w:val="101C784D"/>
    <w:rsid w:val="105B274B"/>
    <w:rsid w:val="10710382"/>
    <w:rsid w:val="10795489"/>
    <w:rsid w:val="109B53FF"/>
    <w:rsid w:val="10D41E94"/>
    <w:rsid w:val="10F644F5"/>
    <w:rsid w:val="10FB40F0"/>
    <w:rsid w:val="110A49C8"/>
    <w:rsid w:val="11252F1A"/>
    <w:rsid w:val="11283279"/>
    <w:rsid w:val="112F5B47"/>
    <w:rsid w:val="114630C8"/>
    <w:rsid w:val="114A6BE3"/>
    <w:rsid w:val="118C11EC"/>
    <w:rsid w:val="119E1B27"/>
    <w:rsid w:val="119F4A7B"/>
    <w:rsid w:val="11B341BF"/>
    <w:rsid w:val="11CB7978"/>
    <w:rsid w:val="11DF7201"/>
    <w:rsid w:val="11E64458"/>
    <w:rsid w:val="12074008"/>
    <w:rsid w:val="1216778C"/>
    <w:rsid w:val="122D53D5"/>
    <w:rsid w:val="12374CB3"/>
    <w:rsid w:val="128A4286"/>
    <w:rsid w:val="129465AA"/>
    <w:rsid w:val="129E2F84"/>
    <w:rsid w:val="12A52565"/>
    <w:rsid w:val="12A61E39"/>
    <w:rsid w:val="13013593"/>
    <w:rsid w:val="1308621A"/>
    <w:rsid w:val="1312127D"/>
    <w:rsid w:val="13144FF5"/>
    <w:rsid w:val="13487D16"/>
    <w:rsid w:val="13566748"/>
    <w:rsid w:val="137C1524"/>
    <w:rsid w:val="13D50C28"/>
    <w:rsid w:val="13E42C19"/>
    <w:rsid w:val="13F310AE"/>
    <w:rsid w:val="13F67DDA"/>
    <w:rsid w:val="13FD1F2D"/>
    <w:rsid w:val="14007F65"/>
    <w:rsid w:val="140C3CEE"/>
    <w:rsid w:val="143A7917"/>
    <w:rsid w:val="14B46A8F"/>
    <w:rsid w:val="14BB79DD"/>
    <w:rsid w:val="14DE3B0C"/>
    <w:rsid w:val="14FE5F5C"/>
    <w:rsid w:val="1527507F"/>
    <w:rsid w:val="15583EAD"/>
    <w:rsid w:val="15613AF0"/>
    <w:rsid w:val="156C1118"/>
    <w:rsid w:val="15CB4851"/>
    <w:rsid w:val="15D47C59"/>
    <w:rsid w:val="15EC0DB6"/>
    <w:rsid w:val="162D635B"/>
    <w:rsid w:val="16317A78"/>
    <w:rsid w:val="166718DF"/>
    <w:rsid w:val="167C538B"/>
    <w:rsid w:val="16B82D39"/>
    <w:rsid w:val="16BC1C2B"/>
    <w:rsid w:val="16CF1DA7"/>
    <w:rsid w:val="16D005BA"/>
    <w:rsid w:val="16DE6120"/>
    <w:rsid w:val="16E55624"/>
    <w:rsid w:val="16F73C19"/>
    <w:rsid w:val="171657DF"/>
    <w:rsid w:val="17255037"/>
    <w:rsid w:val="173F298F"/>
    <w:rsid w:val="17407C36"/>
    <w:rsid w:val="17441822"/>
    <w:rsid w:val="17564649"/>
    <w:rsid w:val="176D73B9"/>
    <w:rsid w:val="176E0FB5"/>
    <w:rsid w:val="1774709D"/>
    <w:rsid w:val="17C3523B"/>
    <w:rsid w:val="17CE7E68"/>
    <w:rsid w:val="17D26ACD"/>
    <w:rsid w:val="181A40A0"/>
    <w:rsid w:val="18420572"/>
    <w:rsid w:val="18694035"/>
    <w:rsid w:val="18723036"/>
    <w:rsid w:val="18A84B5D"/>
    <w:rsid w:val="18BA663E"/>
    <w:rsid w:val="18BE48E5"/>
    <w:rsid w:val="18C72F35"/>
    <w:rsid w:val="18CE5E11"/>
    <w:rsid w:val="18E616EB"/>
    <w:rsid w:val="18F733EE"/>
    <w:rsid w:val="191A0AE4"/>
    <w:rsid w:val="191E6BCD"/>
    <w:rsid w:val="19650240"/>
    <w:rsid w:val="196D3014"/>
    <w:rsid w:val="197113F3"/>
    <w:rsid w:val="19A2611B"/>
    <w:rsid w:val="19BF2F99"/>
    <w:rsid w:val="19C54AF1"/>
    <w:rsid w:val="19CF1C75"/>
    <w:rsid w:val="19D47863"/>
    <w:rsid w:val="19F81E42"/>
    <w:rsid w:val="1A255D39"/>
    <w:rsid w:val="1A530DE8"/>
    <w:rsid w:val="1A5944BB"/>
    <w:rsid w:val="1AB00857"/>
    <w:rsid w:val="1ABC48F0"/>
    <w:rsid w:val="1AD94039"/>
    <w:rsid w:val="1AD955BD"/>
    <w:rsid w:val="1ADB6959"/>
    <w:rsid w:val="1ADD56E6"/>
    <w:rsid w:val="1AE025F6"/>
    <w:rsid w:val="1B2D4ECC"/>
    <w:rsid w:val="1B3A355E"/>
    <w:rsid w:val="1B7725C5"/>
    <w:rsid w:val="1B811695"/>
    <w:rsid w:val="1B94434C"/>
    <w:rsid w:val="1B9F5D6B"/>
    <w:rsid w:val="1BAC19F3"/>
    <w:rsid w:val="1BB70642"/>
    <w:rsid w:val="1BC354B0"/>
    <w:rsid w:val="1BDE2525"/>
    <w:rsid w:val="1C1E5B08"/>
    <w:rsid w:val="1C36128C"/>
    <w:rsid w:val="1C9D605B"/>
    <w:rsid w:val="1CAB2ACC"/>
    <w:rsid w:val="1CC61A56"/>
    <w:rsid w:val="1CE617B0"/>
    <w:rsid w:val="1CF613E6"/>
    <w:rsid w:val="1D636934"/>
    <w:rsid w:val="1D6B6159"/>
    <w:rsid w:val="1DA26897"/>
    <w:rsid w:val="1DAC1F2B"/>
    <w:rsid w:val="1DBC525A"/>
    <w:rsid w:val="1DE101C9"/>
    <w:rsid w:val="1DE91D27"/>
    <w:rsid w:val="1DF1580A"/>
    <w:rsid w:val="1DF95513"/>
    <w:rsid w:val="1E1C064C"/>
    <w:rsid w:val="1E1D5F75"/>
    <w:rsid w:val="1E206F43"/>
    <w:rsid w:val="1E2E46D2"/>
    <w:rsid w:val="1E396257"/>
    <w:rsid w:val="1E480366"/>
    <w:rsid w:val="1E52514D"/>
    <w:rsid w:val="1E652BA8"/>
    <w:rsid w:val="1E6939C7"/>
    <w:rsid w:val="1EA44F54"/>
    <w:rsid w:val="1EC078F8"/>
    <w:rsid w:val="1ECF44C6"/>
    <w:rsid w:val="1EEF3139"/>
    <w:rsid w:val="1F061536"/>
    <w:rsid w:val="1F4E0954"/>
    <w:rsid w:val="1F4E188E"/>
    <w:rsid w:val="1F655072"/>
    <w:rsid w:val="1F7E6478"/>
    <w:rsid w:val="1FC102B2"/>
    <w:rsid w:val="1FD12712"/>
    <w:rsid w:val="1FE50445"/>
    <w:rsid w:val="1FF16DE9"/>
    <w:rsid w:val="20140D2A"/>
    <w:rsid w:val="203E32AB"/>
    <w:rsid w:val="204D1B46"/>
    <w:rsid w:val="205B4E3E"/>
    <w:rsid w:val="206E0BA6"/>
    <w:rsid w:val="20B117B1"/>
    <w:rsid w:val="20C34EB8"/>
    <w:rsid w:val="20D3765C"/>
    <w:rsid w:val="20E029BA"/>
    <w:rsid w:val="21093CBF"/>
    <w:rsid w:val="21290155"/>
    <w:rsid w:val="21354AB4"/>
    <w:rsid w:val="215238B8"/>
    <w:rsid w:val="21785657"/>
    <w:rsid w:val="21AB19C1"/>
    <w:rsid w:val="21D73DBD"/>
    <w:rsid w:val="21E22163"/>
    <w:rsid w:val="2219238D"/>
    <w:rsid w:val="222039B6"/>
    <w:rsid w:val="22327245"/>
    <w:rsid w:val="224C029E"/>
    <w:rsid w:val="22682C67"/>
    <w:rsid w:val="22A719E1"/>
    <w:rsid w:val="22B3264A"/>
    <w:rsid w:val="22BA5F89"/>
    <w:rsid w:val="22CA3922"/>
    <w:rsid w:val="22CD5355"/>
    <w:rsid w:val="22D52ACC"/>
    <w:rsid w:val="230C1347"/>
    <w:rsid w:val="231638A6"/>
    <w:rsid w:val="231645FB"/>
    <w:rsid w:val="23353491"/>
    <w:rsid w:val="235F1093"/>
    <w:rsid w:val="236B2EE4"/>
    <w:rsid w:val="236E03B0"/>
    <w:rsid w:val="23730FB4"/>
    <w:rsid w:val="2380070E"/>
    <w:rsid w:val="23837365"/>
    <w:rsid w:val="23AC6A77"/>
    <w:rsid w:val="23BD2353"/>
    <w:rsid w:val="23D36806"/>
    <w:rsid w:val="24354FA9"/>
    <w:rsid w:val="243A77F3"/>
    <w:rsid w:val="245426ED"/>
    <w:rsid w:val="24597DF9"/>
    <w:rsid w:val="245D4B60"/>
    <w:rsid w:val="2463402E"/>
    <w:rsid w:val="247578DE"/>
    <w:rsid w:val="24764C99"/>
    <w:rsid w:val="24BD288E"/>
    <w:rsid w:val="24C50845"/>
    <w:rsid w:val="24DE1107"/>
    <w:rsid w:val="24EC32D8"/>
    <w:rsid w:val="25021151"/>
    <w:rsid w:val="2504136D"/>
    <w:rsid w:val="25205A7B"/>
    <w:rsid w:val="2536529E"/>
    <w:rsid w:val="256463E6"/>
    <w:rsid w:val="25695674"/>
    <w:rsid w:val="259E7EB1"/>
    <w:rsid w:val="25A52D84"/>
    <w:rsid w:val="25CD508C"/>
    <w:rsid w:val="25D86C9D"/>
    <w:rsid w:val="25E116AE"/>
    <w:rsid w:val="25EB553C"/>
    <w:rsid w:val="260A7D0F"/>
    <w:rsid w:val="260B04D9"/>
    <w:rsid w:val="260F1BFD"/>
    <w:rsid w:val="262B127E"/>
    <w:rsid w:val="263E62F2"/>
    <w:rsid w:val="26461511"/>
    <w:rsid w:val="267F2BB5"/>
    <w:rsid w:val="26805F81"/>
    <w:rsid w:val="2695133D"/>
    <w:rsid w:val="26CD578F"/>
    <w:rsid w:val="26EC20B9"/>
    <w:rsid w:val="27084DBE"/>
    <w:rsid w:val="27484F6F"/>
    <w:rsid w:val="27894AC9"/>
    <w:rsid w:val="278A123C"/>
    <w:rsid w:val="279050AE"/>
    <w:rsid w:val="279E140F"/>
    <w:rsid w:val="2810627B"/>
    <w:rsid w:val="28171DE9"/>
    <w:rsid w:val="283E4DBC"/>
    <w:rsid w:val="28463A4A"/>
    <w:rsid w:val="28566D48"/>
    <w:rsid w:val="2864611F"/>
    <w:rsid w:val="287B75AC"/>
    <w:rsid w:val="289775FC"/>
    <w:rsid w:val="28A14E7C"/>
    <w:rsid w:val="28A340B7"/>
    <w:rsid w:val="28AE00B6"/>
    <w:rsid w:val="28B135BA"/>
    <w:rsid w:val="28EF6971"/>
    <w:rsid w:val="28FD4A40"/>
    <w:rsid w:val="2906785B"/>
    <w:rsid w:val="29454EA4"/>
    <w:rsid w:val="297B7724"/>
    <w:rsid w:val="298C2138"/>
    <w:rsid w:val="29916F47"/>
    <w:rsid w:val="29D34250"/>
    <w:rsid w:val="29E826CC"/>
    <w:rsid w:val="2A185737"/>
    <w:rsid w:val="2A1F5E2F"/>
    <w:rsid w:val="2A465F84"/>
    <w:rsid w:val="2A58743D"/>
    <w:rsid w:val="2A68611C"/>
    <w:rsid w:val="2A7447D6"/>
    <w:rsid w:val="2A7D74CC"/>
    <w:rsid w:val="2A8F792B"/>
    <w:rsid w:val="2AA154F6"/>
    <w:rsid w:val="2AC05D36"/>
    <w:rsid w:val="2AC238E2"/>
    <w:rsid w:val="2AD876D3"/>
    <w:rsid w:val="2AF83194"/>
    <w:rsid w:val="2B1D4F74"/>
    <w:rsid w:val="2B6A6B46"/>
    <w:rsid w:val="2B801021"/>
    <w:rsid w:val="2BA42D46"/>
    <w:rsid w:val="2BB60EE7"/>
    <w:rsid w:val="2BB807BB"/>
    <w:rsid w:val="2BBD7DCB"/>
    <w:rsid w:val="2BC5737C"/>
    <w:rsid w:val="2BD66325"/>
    <w:rsid w:val="2C3818FC"/>
    <w:rsid w:val="2C527D9B"/>
    <w:rsid w:val="2C59127B"/>
    <w:rsid w:val="2C730B86"/>
    <w:rsid w:val="2C7A548B"/>
    <w:rsid w:val="2C950AFD"/>
    <w:rsid w:val="2C996344"/>
    <w:rsid w:val="2C9C632F"/>
    <w:rsid w:val="2CB74F17"/>
    <w:rsid w:val="2CE74405"/>
    <w:rsid w:val="2CF9108B"/>
    <w:rsid w:val="2D093328"/>
    <w:rsid w:val="2D196908"/>
    <w:rsid w:val="2D39592C"/>
    <w:rsid w:val="2D3C79CC"/>
    <w:rsid w:val="2D4D3C25"/>
    <w:rsid w:val="2D4F6EFD"/>
    <w:rsid w:val="2D5A2235"/>
    <w:rsid w:val="2D68254E"/>
    <w:rsid w:val="2D72522A"/>
    <w:rsid w:val="2DA60AE7"/>
    <w:rsid w:val="2DAA4B6B"/>
    <w:rsid w:val="2DAF3E40"/>
    <w:rsid w:val="2DAF5BEE"/>
    <w:rsid w:val="2DB95766"/>
    <w:rsid w:val="2DCA0108"/>
    <w:rsid w:val="2E112A50"/>
    <w:rsid w:val="2E1B7727"/>
    <w:rsid w:val="2E2E1209"/>
    <w:rsid w:val="2EA339A5"/>
    <w:rsid w:val="2EB46BCE"/>
    <w:rsid w:val="2EB72FAC"/>
    <w:rsid w:val="2EC67693"/>
    <w:rsid w:val="2EE22627"/>
    <w:rsid w:val="2EE43FBD"/>
    <w:rsid w:val="2EEC3F58"/>
    <w:rsid w:val="2F0A3A24"/>
    <w:rsid w:val="2F174C58"/>
    <w:rsid w:val="2F300FB0"/>
    <w:rsid w:val="2F370591"/>
    <w:rsid w:val="2F4709F8"/>
    <w:rsid w:val="2F684DD8"/>
    <w:rsid w:val="2F895477"/>
    <w:rsid w:val="2FAA48BF"/>
    <w:rsid w:val="2FBA7C5C"/>
    <w:rsid w:val="30191779"/>
    <w:rsid w:val="30281C88"/>
    <w:rsid w:val="3050331E"/>
    <w:rsid w:val="309336C7"/>
    <w:rsid w:val="30A57BBF"/>
    <w:rsid w:val="30AE4883"/>
    <w:rsid w:val="30EB1AD1"/>
    <w:rsid w:val="30EC6D90"/>
    <w:rsid w:val="30EE70A0"/>
    <w:rsid w:val="3102573A"/>
    <w:rsid w:val="3114437E"/>
    <w:rsid w:val="31413001"/>
    <w:rsid w:val="31462D0D"/>
    <w:rsid w:val="315D1B3D"/>
    <w:rsid w:val="316D2048"/>
    <w:rsid w:val="318178A1"/>
    <w:rsid w:val="318B0720"/>
    <w:rsid w:val="31BC1863"/>
    <w:rsid w:val="31EA5447"/>
    <w:rsid w:val="322272D6"/>
    <w:rsid w:val="32290665"/>
    <w:rsid w:val="322A633E"/>
    <w:rsid w:val="325B78A5"/>
    <w:rsid w:val="327011BF"/>
    <w:rsid w:val="32745D47"/>
    <w:rsid w:val="32AE0B6A"/>
    <w:rsid w:val="32C500CA"/>
    <w:rsid w:val="32DA0555"/>
    <w:rsid w:val="32F138E4"/>
    <w:rsid w:val="33227C40"/>
    <w:rsid w:val="3325263A"/>
    <w:rsid w:val="3334282D"/>
    <w:rsid w:val="333A43DA"/>
    <w:rsid w:val="334873B2"/>
    <w:rsid w:val="337F7C6C"/>
    <w:rsid w:val="33883169"/>
    <w:rsid w:val="33B4492C"/>
    <w:rsid w:val="33BE7444"/>
    <w:rsid w:val="34007F04"/>
    <w:rsid w:val="34172D5C"/>
    <w:rsid w:val="342D0A2C"/>
    <w:rsid w:val="34362BC5"/>
    <w:rsid w:val="34563267"/>
    <w:rsid w:val="345E780C"/>
    <w:rsid w:val="34620DEE"/>
    <w:rsid w:val="347D07F4"/>
    <w:rsid w:val="348B6861"/>
    <w:rsid w:val="34A6476E"/>
    <w:rsid w:val="34B62C2E"/>
    <w:rsid w:val="34D7773B"/>
    <w:rsid w:val="350F21D1"/>
    <w:rsid w:val="352743C4"/>
    <w:rsid w:val="352A14C5"/>
    <w:rsid w:val="35432C4B"/>
    <w:rsid w:val="35486F4D"/>
    <w:rsid w:val="357D65D2"/>
    <w:rsid w:val="358F38D5"/>
    <w:rsid w:val="35937A75"/>
    <w:rsid w:val="35963960"/>
    <w:rsid w:val="35C2490E"/>
    <w:rsid w:val="35C43FE1"/>
    <w:rsid w:val="35F90B39"/>
    <w:rsid w:val="364E5626"/>
    <w:rsid w:val="36570DD6"/>
    <w:rsid w:val="36822466"/>
    <w:rsid w:val="36A04B2A"/>
    <w:rsid w:val="36E26A98"/>
    <w:rsid w:val="37092813"/>
    <w:rsid w:val="37182A56"/>
    <w:rsid w:val="37361CB0"/>
    <w:rsid w:val="37405600"/>
    <w:rsid w:val="374B44A3"/>
    <w:rsid w:val="378679C0"/>
    <w:rsid w:val="37A147F9"/>
    <w:rsid w:val="37D71FF1"/>
    <w:rsid w:val="37F137F7"/>
    <w:rsid w:val="37FC2378"/>
    <w:rsid w:val="38305B7D"/>
    <w:rsid w:val="38650173"/>
    <w:rsid w:val="3876113B"/>
    <w:rsid w:val="387B5308"/>
    <w:rsid w:val="38973891"/>
    <w:rsid w:val="38A666A6"/>
    <w:rsid w:val="38D62BC9"/>
    <w:rsid w:val="38F640E2"/>
    <w:rsid w:val="390D6DC9"/>
    <w:rsid w:val="391800C7"/>
    <w:rsid w:val="391D15FD"/>
    <w:rsid w:val="39445009"/>
    <w:rsid w:val="39502B9C"/>
    <w:rsid w:val="39514349"/>
    <w:rsid w:val="39625604"/>
    <w:rsid w:val="39697599"/>
    <w:rsid w:val="396E1053"/>
    <w:rsid w:val="3995529F"/>
    <w:rsid w:val="39B5458C"/>
    <w:rsid w:val="3A314D86"/>
    <w:rsid w:val="3A410516"/>
    <w:rsid w:val="3A60121D"/>
    <w:rsid w:val="3A6A154C"/>
    <w:rsid w:val="3A756A02"/>
    <w:rsid w:val="3A766411"/>
    <w:rsid w:val="3A7677AC"/>
    <w:rsid w:val="3A9D1EA9"/>
    <w:rsid w:val="3AA168C1"/>
    <w:rsid w:val="3AB4039A"/>
    <w:rsid w:val="3AB76A7D"/>
    <w:rsid w:val="3AF64E5C"/>
    <w:rsid w:val="3B337E5E"/>
    <w:rsid w:val="3B471F5D"/>
    <w:rsid w:val="3B600080"/>
    <w:rsid w:val="3B772584"/>
    <w:rsid w:val="3B7D732B"/>
    <w:rsid w:val="3B9062F7"/>
    <w:rsid w:val="3B932249"/>
    <w:rsid w:val="3B9823B7"/>
    <w:rsid w:val="3BB16390"/>
    <w:rsid w:val="3BDA477E"/>
    <w:rsid w:val="3BEB3192"/>
    <w:rsid w:val="3BF770DE"/>
    <w:rsid w:val="3C793F97"/>
    <w:rsid w:val="3C92402B"/>
    <w:rsid w:val="3CA1704A"/>
    <w:rsid w:val="3CA8487C"/>
    <w:rsid w:val="3CB81B22"/>
    <w:rsid w:val="3CBE0C38"/>
    <w:rsid w:val="3CE162BC"/>
    <w:rsid w:val="3CFF6AF3"/>
    <w:rsid w:val="3D0D2FBE"/>
    <w:rsid w:val="3D0D40C6"/>
    <w:rsid w:val="3D202664"/>
    <w:rsid w:val="3D235CB1"/>
    <w:rsid w:val="3D9B1CEB"/>
    <w:rsid w:val="3DAC3EF8"/>
    <w:rsid w:val="3DC079A3"/>
    <w:rsid w:val="3DEB6443"/>
    <w:rsid w:val="3DFB74BE"/>
    <w:rsid w:val="3E104487"/>
    <w:rsid w:val="3E1877DF"/>
    <w:rsid w:val="3E1A70B4"/>
    <w:rsid w:val="3E267311"/>
    <w:rsid w:val="3E29379B"/>
    <w:rsid w:val="3E2F60FC"/>
    <w:rsid w:val="3E715A3C"/>
    <w:rsid w:val="3E8A6567"/>
    <w:rsid w:val="3EA2364F"/>
    <w:rsid w:val="3EA80B63"/>
    <w:rsid w:val="3ED37C79"/>
    <w:rsid w:val="3EE37DED"/>
    <w:rsid w:val="3EED6576"/>
    <w:rsid w:val="3F0A537A"/>
    <w:rsid w:val="3F214472"/>
    <w:rsid w:val="3F4B4F83"/>
    <w:rsid w:val="3F56236D"/>
    <w:rsid w:val="3F566ECD"/>
    <w:rsid w:val="3F656A54"/>
    <w:rsid w:val="3FB13A48"/>
    <w:rsid w:val="40095F44"/>
    <w:rsid w:val="40380FC1"/>
    <w:rsid w:val="40386F69"/>
    <w:rsid w:val="404A33D6"/>
    <w:rsid w:val="405570DC"/>
    <w:rsid w:val="40590438"/>
    <w:rsid w:val="40860A30"/>
    <w:rsid w:val="40B1716E"/>
    <w:rsid w:val="40BE1F7E"/>
    <w:rsid w:val="40DE7779"/>
    <w:rsid w:val="40E63D52"/>
    <w:rsid w:val="40F7192E"/>
    <w:rsid w:val="40F94DDB"/>
    <w:rsid w:val="41374972"/>
    <w:rsid w:val="41594D78"/>
    <w:rsid w:val="41754D1F"/>
    <w:rsid w:val="417C0C84"/>
    <w:rsid w:val="41CF700F"/>
    <w:rsid w:val="41D67795"/>
    <w:rsid w:val="41D7554B"/>
    <w:rsid w:val="41F46B71"/>
    <w:rsid w:val="41F540C0"/>
    <w:rsid w:val="41FB544E"/>
    <w:rsid w:val="42457407"/>
    <w:rsid w:val="42521512"/>
    <w:rsid w:val="425F61B5"/>
    <w:rsid w:val="42D2725A"/>
    <w:rsid w:val="42D77311"/>
    <w:rsid w:val="42E17B48"/>
    <w:rsid w:val="43327E94"/>
    <w:rsid w:val="436B215F"/>
    <w:rsid w:val="437C73A2"/>
    <w:rsid w:val="43902605"/>
    <w:rsid w:val="43C432AE"/>
    <w:rsid w:val="43F34517"/>
    <w:rsid w:val="440920A4"/>
    <w:rsid w:val="440F6F8F"/>
    <w:rsid w:val="44213949"/>
    <w:rsid w:val="442347E8"/>
    <w:rsid w:val="44373DEB"/>
    <w:rsid w:val="44574502"/>
    <w:rsid w:val="44580936"/>
    <w:rsid w:val="448A113E"/>
    <w:rsid w:val="448E4BC9"/>
    <w:rsid w:val="449D1B89"/>
    <w:rsid w:val="44A678F3"/>
    <w:rsid w:val="44B55783"/>
    <w:rsid w:val="44F468B0"/>
    <w:rsid w:val="45002100"/>
    <w:rsid w:val="45230F44"/>
    <w:rsid w:val="45462E84"/>
    <w:rsid w:val="45597133"/>
    <w:rsid w:val="45814B98"/>
    <w:rsid w:val="45AB2CE7"/>
    <w:rsid w:val="45B80901"/>
    <w:rsid w:val="45B918A8"/>
    <w:rsid w:val="45C142B9"/>
    <w:rsid w:val="45CA5863"/>
    <w:rsid w:val="45EB3EC4"/>
    <w:rsid w:val="45EF524D"/>
    <w:rsid w:val="461752CE"/>
    <w:rsid w:val="462175C1"/>
    <w:rsid w:val="463D789F"/>
    <w:rsid w:val="46691411"/>
    <w:rsid w:val="46894A32"/>
    <w:rsid w:val="469521FC"/>
    <w:rsid w:val="46B63FAB"/>
    <w:rsid w:val="46C623C2"/>
    <w:rsid w:val="46C774AF"/>
    <w:rsid w:val="46D70238"/>
    <w:rsid w:val="46D93214"/>
    <w:rsid w:val="46FB295F"/>
    <w:rsid w:val="47007F9E"/>
    <w:rsid w:val="470909B4"/>
    <w:rsid w:val="47137959"/>
    <w:rsid w:val="471A0124"/>
    <w:rsid w:val="471C5C4A"/>
    <w:rsid w:val="47216726"/>
    <w:rsid w:val="472E3BD0"/>
    <w:rsid w:val="47534FB3"/>
    <w:rsid w:val="476870E2"/>
    <w:rsid w:val="47745A86"/>
    <w:rsid w:val="4791488A"/>
    <w:rsid w:val="4794337F"/>
    <w:rsid w:val="47C6205A"/>
    <w:rsid w:val="47DF7F53"/>
    <w:rsid w:val="48031435"/>
    <w:rsid w:val="482C6361"/>
    <w:rsid w:val="483376F0"/>
    <w:rsid w:val="48677399"/>
    <w:rsid w:val="48873598"/>
    <w:rsid w:val="488774D2"/>
    <w:rsid w:val="489108BA"/>
    <w:rsid w:val="489906A4"/>
    <w:rsid w:val="48A0686F"/>
    <w:rsid w:val="48DA2E1C"/>
    <w:rsid w:val="49282FCC"/>
    <w:rsid w:val="498875C7"/>
    <w:rsid w:val="49921B31"/>
    <w:rsid w:val="49957F36"/>
    <w:rsid w:val="499B244F"/>
    <w:rsid w:val="49AA597A"/>
    <w:rsid w:val="49C63CB5"/>
    <w:rsid w:val="49DE729A"/>
    <w:rsid w:val="49DF3E1D"/>
    <w:rsid w:val="49FE7565"/>
    <w:rsid w:val="4A182157"/>
    <w:rsid w:val="4A20088A"/>
    <w:rsid w:val="4A286FFC"/>
    <w:rsid w:val="4A392B19"/>
    <w:rsid w:val="4A5C506F"/>
    <w:rsid w:val="4A630398"/>
    <w:rsid w:val="4A7F685E"/>
    <w:rsid w:val="4A9151B1"/>
    <w:rsid w:val="4AA77F21"/>
    <w:rsid w:val="4ACD5506"/>
    <w:rsid w:val="4AD8457E"/>
    <w:rsid w:val="4AE97150"/>
    <w:rsid w:val="4AFA62A3"/>
    <w:rsid w:val="4B055788"/>
    <w:rsid w:val="4B21440D"/>
    <w:rsid w:val="4B475260"/>
    <w:rsid w:val="4B5547AF"/>
    <w:rsid w:val="4B627F38"/>
    <w:rsid w:val="4B692207"/>
    <w:rsid w:val="4B7934B7"/>
    <w:rsid w:val="4B7E7D79"/>
    <w:rsid w:val="4BC43FB3"/>
    <w:rsid w:val="4BDC4725"/>
    <w:rsid w:val="4C035AAC"/>
    <w:rsid w:val="4C117DF2"/>
    <w:rsid w:val="4C365A00"/>
    <w:rsid w:val="4C4C77BA"/>
    <w:rsid w:val="4C7402D7"/>
    <w:rsid w:val="4C885B30"/>
    <w:rsid w:val="4C894F60"/>
    <w:rsid w:val="4C8C05A4"/>
    <w:rsid w:val="4C8E043C"/>
    <w:rsid w:val="4CCA00D1"/>
    <w:rsid w:val="4CDC3ABD"/>
    <w:rsid w:val="4CE4720A"/>
    <w:rsid w:val="4CEE1E37"/>
    <w:rsid w:val="4CF60CEC"/>
    <w:rsid w:val="4D106251"/>
    <w:rsid w:val="4D21405F"/>
    <w:rsid w:val="4D486CC1"/>
    <w:rsid w:val="4D7D19FF"/>
    <w:rsid w:val="4D897DB2"/>
    <w:rsid w:val="4DB7491F"/>
    <w:rsid w:val="4DE4148C"/>
    <w:rsid w:val="4DF9330E"/>
    <w:rsid w:val="4E105DDD"/>
    <w:rsid w:val="4E4A30A7"/>
    <w:rsid w:val="4E6C3038"/>
    <w:rsid w:val="4E7043EA"/>
    <w:rsid w:val="4E796ACA"/>
    <w:rsid w:val="4E867FAA"/>
    <w:rsid w:val="4EC64F95"/>
    <w:rsid w:val="4ED432AF"/>
    <w:rsid w:val="4F152C53"/>
    <w:rsid w:val="4F2002A2"/>
    <w:rsid w:val="4F58211E"/>
    <w:rsid w:val="4F6B5900"/>
    <w:rsid w:val="4F73460B"/>
    <w:rsid w:val="4F782DFF"/>
    <w:rsid w:val="4F8C5C9A"/>
    <w:rsid w:val="4F9842DC"/>
    <w:rsid w:val="4FFE6B1E"/>
    <w:rsid w:val="5008580D"/>
    <w:rsid w:val="5009128B"/>
    <w:rsid w:val="50205B81"/>
    <w:rsid w:val="503A3DE2"/>
    <w:rsid w:val="506C65A5"/>
    <w:rsid w:val="508A0FCE"/>
    <w:rsid w:val="50CC6933"/>
    <w:rsid w:val="50F746EC"/>
    <w:rsid w:val="50FD4D3F"/>
    <w:rsid w:val="510D5C6A"/>
    <w:rsid w:val="51115E7E"/>
    <w:rsid w:val="51143E36"/>
    <w:rsid w:val="515C00C6"/>
    <w:rsid w:val="517D4477"/>
    <w:rsid w:val="51961FC0"/>
    <w:rsid w:val="51A90A23"/>
    <w:rsid w:val="51CF1B6B"/>
    <w:rsid w:val="51ED4DB3"/>
    <w:rsid w:val="51FD2B1C"/>
    <w:rsid w:val="51FF6764"/>
    <w:rsid w:val="520C2D5F"/>
    <w:rsid w:val="522837CB"/>
    <w:rsid w:val="523F3135"/>
    <w:rsid w:val="524D6481"/>
    <w:rsid w:val="529025AB"/>
    <w:rsid w:val="529C6C5D"/>
    <w:rsid w:val="53290EEF"/>
    <w:rsid w:val="53426F62"/>
    <w:rsid w:val="535331E2"/>
    <w:rsid w:val="535D7F7D"/>
    <w:rsid w:val="536D782E"/>
    <w:rsid w:val="5394652B"/>
    <w:rsid w:val="53B97933"/>
    <w:rsid w:val="53D436B2"/>
    <w:rsid w:val="53E928C5"/>
    <w:rsid w:val="53F9366B"/>
    <w:rsid w:val="540D34EB"/>
    <w:rsid w:val="542D0EEB"/>
    <w:rsid w:val="54352A41"/>
    <w:rsid w:val="54600375"/>
    <w:rsid w:val="54734FF3"/>
    <w:rsid w:val="5476268A"/>
    <w:rsid w:val="547F7730"/>
    <w:rsid w:val="548405D9"/>
    <w:rsid w:val="54A0155C"/>
    <w:rsid w:val="54A43723"/>
    <w:rsid w:val="54B25E40"/>
    <w:rsid w:val="54B267F8"/>
    <w:rsid w:val="54CB596F"/>
    <w:rsid w:val="54CE08FE"/>
    <w:rsid w:val="54EB1352"/>
    <w:rsid w:val="550104A7"/>
    <w:rsid w:val="55436A98"/>
    <w:rsid w:val="55546EF7"/>
    <w:rsid w:val="556C4241"/>
    <w:rsid w:val="557069DE"/>
    <w:rsid w:val="5593130E"/>
    <w:rsid w:val="55933A5C"/>
    <w:rsid w:val="55C858BB"/>
    <w:rsid w:val="55FB4FCC"/>
    <w:rsid w:val="56114052"/>
    <w:rsid w:val="561A16CF"/>
    <w:rsid w:val="56350AD7"/>
    <w:rsid w:val="56530F5D"/>
    <w:rsid w:val="566B62A7"/>
    <w:rsid w:val="566E141A"/>
    <w:rsid w:val="567B2EA1"/>
    <w:rsid w:val="56892BD1"/>
    <w:rsid w:val="568E34B0"/>
    <w:rsid w:val="56DD2A92"/>
    <w:rsid w:val="56E46059"/>
    <w:rsid w:val="56E542AB"/>
    <w:rsid w:val="56F50266"/>
    <w:rsid w:val="570C6422"/>
    <w:rsid w:val="573963A5"/>
    <w:rsid w:val="57541431"/>
    <w:rsid w:val="57990D6B"/>
    <w:rsid w:val="579F2B50"/>
    <w:rsid w:val="57E32CE3"/>
    <w:rsid w:val="57F44AF5"/>
    <w:rsid w:val="57F579FB"/>
    <w:rsid w:val="57F95B34"/>
    <w:rsid w:val="58311772"/>
    <w:rsid w:val="58354184"/>
    <w:rsid w:val="587B1D88"/>
    <w:rsid w:val="58870277"/>
    <w:rsid w:val="588859DD"/>
    <w:rsid w:val="5902018C"/>
    <w:rsid w:val="59150556"/>
    <w:rsid w:val="592B7275"/>
    <w:rsid w:val="597E2D83"/>
    <w:rsid w:val="598109BE"/>
    <w:rsid w:val="599F3881"/>
    <w:rsid w:val="599F5B19"/>
    <w:rsid w:val="59AC5554"/>
    <w:rsid w:val="59D850B9"/>
    <w:rsid w:val="59DD4C68"/>
    <w:rsid w:val="59F6057D"/>
    <w:rsid w:val="5A0E1D6B"/>
    <w:rsid w:val="5A33357F"/>
    <w:rsid w:val="5A3410A5"/>
    <w:rsid w:val="5A3B088A"/>
    <w:rsid w:val="5A513A05"/>
    <w:rsid w:val="5A7B4A66"/>
    <w:rsid w:val="5ACD0AE2"/>
    <w:rsid w:val="5ACE6BA3"/>
    <w:rsid w:val="5AD2138E"/>
    <w:rsid w:val="5B044F1C"/>
    <w:rsid w:val="5B24602D"/>
    <w:rsid w:val="5B413A7A"/>
    <w:rsid w:val="5B6E6212"/>
    <w:rsid w:val="5B876CBF"/>
    <w:rsid w:val="5B9A723D"/>
    <w:rsid w:val="5BA02E96"/>
    <w:rsid w:val="5BAF5FE6"/>
    <w:rsid w:val="5BB66216"/>
    <w:rsid w:val="5BBE7D49"/>
    <w:rsid w:val="5BE35CB7"/>
    <w:rsid w:val="5BE82147"/>
    <w:rsid w:val="5C0E338A"/>
    <w:rsid w:val="5C60526B"/>
    <w:rsid w:val="5C6F0B0B"/>
    <w:rsid w:val="5C78513F"/>
    <w:rsid w:val="5CA96113"/>
    <w:rsid w:val="5CAF2E9D"/>
    <w:rsid w:val="5CE47462"/>
    <w:rsid w:val="5D1F24CD"/>
    <w:rsid w:val="5D2B49E2"/>
    <w:rsid w:val="5D3349B1"/>
    <w:rsid w:val="5D4810F0"/>
    <w:rsid w:val="5D5F6439"/>
    <w:rsid w:val="5D610403"/>
    <w:rsid w:val="5D755C5D"/>
    <w:rsid w:val="5D944335"/>
    <w:rsid w:val="5D974539"/>
    <w:rsid w:val="5D985665"/>
    <w:rsid w:val="5DAE0F1B"/>
    <w:rsid w:val="5DFD0056"/>
    <w:rsid w:val="5DFF1374"/>
    <w:rsid w:val="5E0D2339"/>
    <w:rsid w:val="5E0E3B64"/>
    <w:rsid w:val="5E112B57"/>
    <w:rsid w:val="5E3D71AC"/>
    <w:rsid w:val="5E3E24F3"/>
    <w:rsid w:val="5E5E4943"/>
    <w:rsid w:val="5E6D44A3"/>
    <w:rsid w:val="5E9F11E3"/>
    <w:rsid w:val="5ED76221"/>
    <w:rsid w:val="5EEF227D"/>
    <w:rsid w:val="5F006597"/>
    <w:rsid w:val="5F265461"/>
    <w:rsid w:val="5F48187B"/>
    <w:rsid w:val="5FD31F27"/>
    <w:rsid w:val="6036401A"/>
    <w:rsid w:val="604032BE"/>
    <w:rsid w:val="60475EB3"/>
    <w:rsid w:val="606A75CF"/>
    <w:rsid w:val="60834031"/>
    <w:rsid w:val="608A69F1"/>
    <w:rsid w:val="6093366A"/>
    <w:rsid w:val="60B6772C"/>
    <w:rsid w:val="60E530F9"/>
    <w:rsid w:val="60F42B4D"/>
    <w:rsid w:val="613C6345"/>
    <w:rsid w:val="61425A64"/>
    <w:rsid w:val="614C5B72"/>
    <w:rsid w:val="615E5154"/>
    <w:rsid w:val="61712C70"/>
    <w:rsid w:val="6183303E"/>
    <w:rsid w:val="61917608"/>
    <w:rsid w:val="61E33710"/>
    <w:rsid w:val="61E37639"/>
    <w:rsid w:val="61EF4230"/>
    <w:rsid w:val="62343D36"/>
    <w:rsid w:val="624133FB"/>
    <w:rsid w:val="62460EC3"/>
    <w:rsid w:val="6270277C"/>
    <w:rsid w:val="62766A49"/>
    <w:rsid w:val="628E066E"/>
    <w:rsid w:val="62C92CD3"/>
    <w:rsid w:val="62CC631F"/>
    <w:rsid w:val="6335386C"/>
    <w:rsid w:val="6345220C"/>
    <w:rsid w:val="63DB5E63"/>
    <w:rsid w:val="63EA21EE"/>
    <w:rsid w:val="6417181C"/>
    <w:rsid w:val="641C166B"/>
    <w:rsid w:val="64286970"/>
    <w:rsid w:val="64287ECD"/>
    <w:rsid w:val="643979E4"/>
    <w:rsid w:val="64491105"/>
    <w:rsid w:val="6489157D"/>
    <w:rsid w:val="649B41FB"/>
    <w:rsid w:val="64AA08E2"/>
    <w:rsid w:val="64E638FE"/>
    <w:rsid w:val="653725E6"/>
    <w:rsid w:val="65473F18"/>
    <w:rsid w:val="65902802"/>
    <w:rsid w:val="65995671"/>
    <w:rsid w:val="65B25CA0"/>
    <w:rsid w:val="65DC73A1"/>
    <w:rsid w:val="660A60F8"/>
    <w:rsid w:val="661104F4"/>
    <w:rsid w:val="66325CA6"/>
    <w:rsid w:val="66657048"/>
    <w:rsid w:val="666618FF"/>
    <w:rsid w:val="667C1E0A"/>
    <w:rsid w:val="668138C4"/>
    <w:rsid w:val="6686465C"/>
    <w:rsid w:val="668F626B"/>
    <w:rsid w:val="66B83F4A"/>
    <w:rsid w:val="670E7FFE"/>
    <w:rsid w:val="67380427"/>
    <w:rsid w:val="673812B4"/>
    <w:rsid w:val="67457BE3"/>
    <w:rsid w:val="677E3CCD"/>
    <w:rsid w:val="67A76D88"/>
    <w:rsid w:val="67D13E56"/>
    <w:rsid w:val="67E10ABE"/>
    <w:rsid w:val="67E87B2D"/>
    <w:rsid w:val="68015BDB"/>
    <w:rsid w:val="68182006"/>
    <w:rsid w:val="681C47BA"/>
    <w:rsid w:val="682705CC"/>
    <w:rsid w:val="683230C8"/>
    <w:rsid w:val="6844471E"/>
    <w:rsid w:val="684873E5"/>
    <w:rsid w:val="68556912"/>
    <w:rsid w:val="68717559"/>
    <w:rsid w:val="68926EEC"/>
    <w:rsid w:val="6897117D"/>
    <w:rsid w:val="689E467A"/>
    <w:rsid w:val="68B25FB7"/>
    <w:rsid w:val="68C34FEC"/>
    <w:rsid w:val="68E320F2"/>
    <w:rsid w:val="68F760C0"/>
    <w:rsid w:val="68FD478F"/>
    <w:rsid w:val="690B3E88"/>
    <w:rsid w:val="69912070"/>
    <w:rsid w:val="69937B96"/>
    <w:rsid w:val="69A70B49"/>
    <w:rsid w:val="69B33D95"/>
    <w:rsid w:val="69B87B70"/>
    <w:rsid w:val="69B92E56"/>
    <w:rsid w:val="69E80D9E"/>
    <w:rsid w:val="69F148BD"/>
    <w:rsid w:val="69F14BC9"/>
    <w:rsid w:val="6A172AE3"/>
    <w:rsid w:val="6A1865B5"/>
    <w:rsid w:val="6A244C92"/>
    <w:rsid w:val="6A356EA0"/>
    <w:rsid w:val="6A464C09"/>
    <w:rsid w:val="6A681023"/>
    <w:rsid w:val="6A6E4160"/>
    <w:rsid w:val="6A766403"/>
    <w:rsid w:val="6A862BC5"/>
    <w:rsid w:val="6A900873"/>
    <w:rsid w:val="6AAD7A02"/>
    <w:rsid w:val="6AD42215"/>
    <w:rsid w:val="6AE10DD5"/>
    <w:rsid w:val="6AE50F51"/>
    <w:rsid w:val="6AED777A"/>
    <w:rsid w:val="6AFC6F04"/>
    <w:rsid w:val="6B430785"/>
    <w:rsid w:val="6B9E0A74"/>
    <w:rsid w:val="6BA26395"/>
    <w:rsid w:val="6BA7650F"/>
    <w:rsid w:val="6BAC13E3"/>
    <w:rsid w:val="6BB832C7"/>
    <w:rsid w:val="6C50422B"/>
    <w:rsid w:val="6C5F346D"/>
    <w:rsid w:val="6C95452A"/>
    <w:rsid w:val="6CD44C15"/>
    <w:rsid w:val="6CD964A2"/>
    <w:rsid w:val="6CE32BE3"/>
    <w:rsid w:val="6CEA011A"/>
    <w:rsid w:val="6CFD4CED"/>
    <w:rsid w:val="6D0C077E"/>
    <w:rsid w:val="6D2D2863"/>
    <w:rsid w:val="6D57712D"/>
    <w:rsid w:val="6D596E90"/>
    <w:rsid w:val="6D695D64"/>
    <w:rsid w:val="6D7777CF"/>
    <w:rsid w:val="6E1A0886"/>
    <w:rsid w:val="6E1D2124"/>
    <w:rsid w:val="6E2A3133"/>
    <w:rsid w:val="6E4D5619"/>
    <w:rsid w:val="6E71078A"/>
    <w:rsid w:val="6E731D44"/>
    <w:rsid w:val="6E875292"/>
    <w:rsid w:val="6ECB1B80"/>
    <w:rsid w:val="6EEB5D7F"/>
    <w:rsid w:val="6F11078E"/>
    <w:rsid w:val="6F1246AA"/>
    <w:rsid w:val="6F647738"/>
    <w:rsid w:val="6FA80114"/>
    <w:rsid w:val="6FAC7C04"/>
    <w:rsid w:val="6FB75A30"/>
    <w:rsid w:val="70074E3A"/>
    <w:rsid w:val="700A0487"/>
    <w:rsid w:val="701B08E6"/>
    <w:rsid w:val="708C3591"/>
    <w:rsid w:val="70A56998"/>
    <w:rsid w:val="70AB621E"/>
    <w:rsid w:val="70C23B06"/>
    <w:rsid w:val="70C83005"/>
    <w:rsid w:val="70CB089A"/>
    <w:rsid w:val="70CE3BAA"/>
    <w:rsid w:val="70F84783"/>
    <w:rsid w:val="71072273"/>
    <w:rsid w:val="7108073C"/>
    <w:rsid w:val="71080E6A"/>
    <w:rsid w:val="71313367"/>
    <w:rsid w:val="71997D14"/>
    <w:rsid w:val="71AB116B"/>
    <w:rsid w:val="71CB167F"/>
    <w:rsid w:val="71CE1B57"/>
    <w:rsid w:val="72804CD0"/>
    <w:rsid w:val="728D6E32"/>
    <w:rsid w:val="72B56DCF"/>
    <w:rsid w:val="72D147B7"/>
    <w:rsid w:val="72F5541E"/>
    <w:rsid w:val="72F62F44"/>
    <w:rsid w:val="739A51B5"/>
    <w:rsid w:val="73BC418E"/>
    <w:rsid w:val="73BC653C"/>
    <w:rsid w:val="73F874DF"/>
    <w:rsid w:val="740D49E9"/>
    <w:rsid w:val="74786307"/>
    <w:rsid w:val="74884070"/>
    <w:rsid w:val="7498222B"/>
    <w:rsid w:val="74991CC1"/>
    <w:rsid w:val="75061B64"/>
    <w:rsid w:val="750A2B3F"/>
    <w:rsid w:val="75101E4D"/>
    <w:rsid w:val="753A4AAE"/>
    <w:rsid w:val="7545775C"/>
    <w:rsid w:val="757842DB"/>
    <w:rsid w:val="75794324"/>
    <w:rsid w:val="7582710F"/>
    <w:rsid w:val="75B82733"/>
    <w:rsid w:val="75BF3AC1"/>
    <w:rsid w:val="75C55B2E"/>
    <w:rsid w:val="75D03F20"/>
    <w:rsid w:val="75D664B5"/>
    <w:rsid w:val="75D92B09"/>
    <w:rsid w:val="75E21B92"/>
    <w:rsid w:val="75FE34CF"/>
    <w:rsid w:val="7610256F"/>
    <w:rsid w:val="761500E6"/>
    <w:rsid w:val="761667F0"/>
    <w:rsid w:val="76191423"/>
    <w:rsid w:val="7619717C"/>
    <w:rsid w:val="762C20B4"/>
    <w:rsid w:val="76457F37"/>
    <w:rsid w:val="766D79C1"/>
    <w:rsid w:val="768720F9"/>
    <w:rsid w:val="769D68D4"/>
    <w:rsid w:val="76A33A6B"/>
    <w:rsid w:val="76A6375C"/>
    <w:rsid w:val="76BC510D"/>
    <w:rsid w:val="76DB492B"/>
    <w:rsid w:val="76EA4F5D"/>
    <w:rsid w:val="77164E5C"/>
    <w:rsid w:val="771958CD"/>
    <w:rsid w:val="771C44ED"/>
    <w:rsid w:val="775A07DD"/>
    <w:rsid w:val="776E579F"/>
    <w:rsid w:val="777D59E2"/>
    <w:rsid w:val="77811976"/>
    <w:rsid w:val="778B764A"/>
    <w:rsid w:val="779F004E"/>
    <w:rsid w:val="77A56DAD"/>
    <w:rsid w:val="77B345A7"/>
    <w:rsid w:val="77B91E26"/>
    <w:rsid w:val="77C752D0"/>
    <w:rsid w:val="77D05B9F"/>
    <w:rsid w:val="77D44648"/>
    <w:rsid w:val="77E617D9"/>
    <w:rsid w:val="780F6F82"/>
    <w:rsid w:val="7824194A"/>
    <w:rsid w:val="782642CC"/>
    <w:rsid w:val="785E75C1"/>
    <w:rsid w:val="7860333A"/>
    <w:rsid w:val="78770683"/>
    <w:rsid w:val="789A7AB4"/>
    <w:rsid w:val="78A84CE1"/>
    <w:rsid w:val="790A121E"/>
    <w:rsid w:val="7917598C"/>
    <w:rsid w:val="791843F8"/>
    <w:rsid w:val="79465168"/>
    <w:rsid w:val="794744F9"/>
    <w:rsid w:val="79695CC0"/>
    <w:rsid w:val="79872B48"/>
    <w:rsid w:val="798B2BA1"/>
    <w:rsid w:val="799F7E92"/>
    <w:rsid w:val="79AE27CB"/>
    <w:rsid w:val="79AE4987"/>
    <w:rsid w:val="79B0209F"/>
    <w:rsid w:val="79B13D61"/>
    <w:rsid w:val="79B778D1"/>
    <w:rsid w:val="79B871A5"/>
    <w:rsid w:val="79DA711C"/>
    <w:rsid w:val="79E32849"/>
    <w:rsid w:val="79E9735F"/>
    <w:rsid w:val="7A276F33"/>
    <w:rsid w:val="7A2B6C5A"/>
    <w:rsid w:val="7A7632E8"/>
    <w:rsid w:val="7A7E48E1"/>
    <w:rsid w:val="7AB77B60"/>
    <w:rsid w:val="7AE937B9"/>
    <w:rsid w:val="7B130B37"/>
    <w:rsid w:val="7B3B008E"/>
    <w:rsid w:val="7B5B603A"/>
    <w:rsid w:val="7B6C6499"/>
    <w:rsid w:val="7B6F1AE6"/>
    <w:rsid w:val="7B762E74"/>
    <w:rsid w:val="7BA37C08"/>
    <w:rsid w:val="7BA40029"/>
    <w:rsid w:val="7BAA061D"/>
    <w:rsid w:val="7BCD09AD"/>
    <w:rsid w:val="7BE23A22"/>
    <w:rsid w:val="7BEA1646"/>
    <w:rsid w:val="7BEE2CA3"/>
    <w:rsid w:val="7C160B6E"/>
    <w:rsid w:val="7C174937"/>
    <w:rsid w:val="7C374D32"/>
    <w:rsid w:val="7C795DDF"/>
    <w:rsid w:val="7C7E3173"/>
    <w:rsid w:val="7C7F4A46"/>
    <w:rsid w:val="7CA57EB5"/>
    <w:rsid w:val="7CA81753"/>
    <w:rsid w:val="7CB65C1E"/>
    <w:rsid w:val="7CCE651F"/>
    <w:rsid w:val="7CDE33C7"/>
    <w:rsid w:val="7D1F3D07"/>
    <w:rsid w:val="7D551ED2"/>
    <w:rsid w:val="7D636903"/>
    <w:rsid w:val="7D9341B1"/>
    <w:rsid w:val="7D951CD7"/>
    <w:rsid w:val="7DC25419"/>
    <w:rsid w:val="7DDF2F52"/>
    <w:rsid w:val="7DEA43B4"/>
    <w:rsid w:val="7DF15D75"/>
    <w:rsid w:val="7E3B08B3"/>
    <w:rsid w:val="7E462FD2"/>
    <w:rsid w:val="7E7365F2"/>
    <w:rsid w:val="7E881A0E"/>
    <w:rsid w:val="7EA1645A"/>
    <w:rsid w:val="7EAD3DAD"/>
    <w:rsid w:val="7EC35188"/>
    <w:rsid w:val="7EC47DA0"/>
    <w:rsid w:val="7ECF2FC7"/>
    <w:rsid w:val="7ED24F9D"/>
    <w:rsid w:val="7ED95BF4"/>
    <w:rsid w:val="7EFE2372"/>
    <w:rsid w:val="7F0606E7"/>
    <w:rsid w:val="7F0F4759"/>
    <w:rsid w:val="7F495297"/>
    <w:rsid w:val="7F4D213E"/>
    <w:rsid w:val="7F563660"/>
    <w:rsid w:val="7F631961"/>
    <w:rsid w:val="7F733E9B"/>
    <w:rsid w:val="7F8519C2"/>
    <w:rsid w:val="7FA34F1F"/>
    <w:rsid w:val="7FD704ED"/>
    <w:rsid w:val="7FE95EC4"/>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qFormat="1"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iPriority="99" w:semiHidden="0" w:name="endnote reference"/>
    <w:lsdException w:qFormat="1" w:uiPriority="99" w:semiHidden="0" w:name="endnote text"/>
    <w:lsdException w:qFormat="1" w:unhideWhenUsed="0" w:uiPriority="0" w:semiHidden="0" w:name="table of authorities"/>
    <w:lsdException w:uiPriority="99" w:name="macro"/>
    <w:lsdException w:uiPriority="99"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06"/>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107"/>
    <w:qFormat/>
    <w:uiPriority w:val="99"/>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108"/>
    <w:qFormat/>
    <w:uiPriority w:val="0"/>
    <w:pPr>
      <w:keepNext/>
      <w:outlineLvl w:val="3"/>
    </w:pPr>
    <w:rPr>
      <w:sz w:val="28"/>
      <w:szCs w:val="20"/>
    </w:rPr>
  </w:style>
  <w:style w:type="paragraph" w:styleId="7">
    <w:name w:val="heading 5"/>
    <w:basedOn w:val="1"/>
    <w:next w:val="1"/>
    <w:link w:val="109"/>
    <w:qFormat/>
    <w:uiPriority w:val="0"/>
    <w:pPr>
      <w:keepNext/>
      <w:keepLines/>
      <w:spacing w:before="280" w:after="290" w:line="376" w:lineRule="auto"/>
      <w:outlineLvl w:val="4"/>
    </w:pPr>
    <w:rPr>
      <w:b/>
      <w:bCs/>
      <w:sz w:val="28"/>
      <w:szCs w:val="28"/>
    </w:rPr>
  </w:style>
  <w:style w:type="paragraph" w:styleId="8">
    <w:name w:val="heading 6"/>
    <w:basedOn w:val="1"/>
    <w:next w:val="1"/>
    <w:link w:val="110"/>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111"/>
    <w:qFormat/>
    <w:uiPriority w:val="0"/>
    <w:pPr>
      <w:keepNext/>
      <w:keepLines/>
      <w:spacing w:before="240" w:after="64" w:line="320" w:lineRule="auto"/>
      <w:outlineLvl w:val="6"/>
    </w:pPr>
    <w:rPr>
      <w:b/>
      <w:bCs/>
      <w:sz w:val="24"/>
    </w:rPr>
  </w:style>
  <w:style w:type="paragraph" w:styleId="10">
    <w:name w:val="heading 8"/>
    <w:basedOn w:val="1"/>
    <w:next w:val="1"/>
    <w:link w:val="112"/>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13"/>
    <w:qFormat/>
    <w:uiPriority w:val="0"/>
    <w:pPr>
      <w:keepNext/>
      <w:keepLines/>
      <w:spacing w:before="240" w:after="64" w:line="320" w:lineRule="auto"/>
      <w:outlineLvl w:val="8"/>
    </w:pPr>
    <w:rPr>
      <w:rFonts w:ascii="Arial" w:hAnsi="Arial" w:eastAsia="黑体"/>
      <w:szCs w:val="21"/>
    </w:rPr>
  </w:style>
  <w:style w:type="character" w:default="1" w:styleId="80">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75"/>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List 3"/>
    <w:basedOn w:val="1"/>
    <w:qFormat/>
    <w:uiPriority w:val="0"/>
    <w:pPr>
      <w:ind w:left="100" w:leftChars="400" w:hanging="200" w:hangingChars="200"/>
      <w:jc w:val="left"/>
    </w:pPr>
    <w:rPr>
      <w:rFonts w:ascii="Calibri" w:hAnsi="Calibri"/>
      <w:kern w:val="0"/>
      <w:sz w:val="28"/>
    </w:rPr>
  </w:style>
  <w:style w:type="paragraph" w:styleId="13">
    <w:name w:val="toc 7"/>
    <w:basedOn w:val="1"/>
    <w:next w:val="1"/>
    <w:unhideWhenUsed/>
    <w:qFormat/>
    <w:uiPriority w:val="39"/>
    <w:pPr>
      <w:ind w:left="2520" w:leftChars="1200"/>
    </w:pPr>
    <w:rPr>
      <w:rFonts w:ascii="Calibri" w:hAnsi="Calibri"/>
      <w:szCs w:val="22"/>
    </w:rPr>
  </w:style>
  <w:style w:type="paragraph" w:styleId="14">
    <w:name w:val="List Number 2"/>
    <w:basedOn w:val="1"/>
    <w:qFormat/>
    <w:uiPriority w:val="0"/>
    <w:pPr>
      <w:tabs>
        <w:tab w:val="left" w:pos="780"/>
      </w:tabs>
      <w:ind w:left="420" w:hanging="420" w:firstLineChars="200"/>
      <w:jc w:val="left"/>
    </w:pPr>
    <w:rPr>
      <w:rFonts w:ascii="Calibri" w:hAnsi="Calibri"/>
      <w:kern w:val="0"/>
      <w:sz w:val="28"/>
    </w:rPr>
  </w:style>
  <w:style w:type="paragraph" w:styleId="15">
    <w:name w:val="table of authorities"/>
    <w:basedOn w:val="1"/>
    <w:next w:val="1"/>
    <w:qFormat/>
    <w:uiPriority w:val="0"/>
    <w:pPr>
      <w:tabs>
        <w:tab w:val="right" w:leader="dot" w:pos="7980"/>
      </w:tabs>
      <w:topLinePunct/>
      <w:ind w:left="420" w:leftChars="200"/>
    </w:pPr>
    <w:rPr>
      <w:sz w:val="24"/>
    </w:rPr>
  </w:style>
  <w:style w:type="paragraph" w:styleId="16">
    <w:name w:val="Note Heading"/>
    <w:basedOn w:val="1"/>
    <w:next w:val="1"/>
    <w:link w:val="162"/>
    <w:qFormat/>
    <w:uiPriority w:val="0"/>
    <w:pPr>
      <w:ind w:firstLine="200" w:firstLineChars="200"/>
      <w:jc w:val="center"/>
    </w:pPr>
    <w:rPr>
      <w:rFonts w:asciiTheme="minorHAnsi" w:hAnsiTheme="minorHAnsi" w:eastAsiaTheme="minorEastAsia" w:cstheme="minorBidi"/>
      <w:sz w:val="28"/>
    </w:rPr>
  </w:style>
  <w:style w:type="paragraph" w:styleId="17">
    <w:name w:val="List Bullet 4"/>
    <w:basedOn w:val="1"/>
    <w:qFormat/>
    <w:uiPriority w:val="0"/>
    <w:pPr>
      <w:tabs>
        <w:tab w:val="left" w:pos="720"/>
        <w:tab w:val="left" w:pos="1620"/>
      </w:tabs>
      <w:ind w:left="840" w:hanging="420" w:firstLineChars="200"/>
      <w:jc w:val="left"/>
    </w:pPr>
    <w:rPr>
      <w:rFonts w:ascii="Calibri" w:hAnsi="Calibri"/>
      <w:kern w:val="0"/>
      <w:sz w:val="28"/>
    </w:rPr>
  </w:style>
  <w:style w:type="paragraph" w:styleId="18">
    <w:name w:val="E-mail Signature"/>
    <w:basedOn w:val="1"/>
    <w:link w:val="163"/>
    <w:qFormat/>
    <w:uiPriority w:val="0"/>
    <w:pPr>
      <w:ind w:firstLine="200" w:firstLineChars="200"/>
      <w:jc w:val="left"/>
    </w:pPr>
    <w:rPr>
      <w:rFonts w:asciiTheme="minorHAnsi" w:hAnsiTheme="minorHAnsi" w:eastAsiaTheme="minorEastAsia" w:cstheme="minorBidi"/>
      <w:sz w:val="28"/>
    </w:rPr>
  </w:style>
  <w:style w:type="paragraph" w:styleId="19">
    <w:name w:val="List Number"/>
    <w:basedOn w:val="1"/>
    <w:qFormat/>
    <w:uiPriority w:val="0"/>
    <w:pPr>
      <w:numPr>
        <w:ilvl w:val="0"/>
        <w:numId w:val="1"/>
      </w:numPr>
      <w:tabs>
        <w:tab w:val="left" w:pos="360"/>
        <w:tab w:val="left" w:pos="1620"/>
      </w:tabs>
      <w:ind w:firstLine="200" w:firstLineChars="200"/>
      <w:jc w:val="left"/>
    </w:pPr>
    <w:rPr>
      <w:rFonts w:ascii="Calibri" w:hAnsi="Calibri"/>
      <w:kern w:val="0"/>
      <w:sz w:val="28"/>
    </w:rPr>
  </w:style>
  <w:style w:type="paragraph" w:styleId="20">
    <w:name w:val="caption"/>
    <w:basedOn w:val="1"/>
    <w:next w:val="1"/>
    <w:link w:val="387"/>
    <w:unhideWhenUsed/>
    <w:qFormat/>
    <w:uiPriority w:val="0"/>
    <w:rPr>
      <w:rFonts w:ascii="Cambria" w:hAnsi="Cambria" w:eastAsia="黑体"/>
      <w:sz w:val="20"/>
      <w:szCs w:val="20"/>
    </w:rPr>
  </w:style>
  <w:style w:type="paragraph" w:styleId="21">
    <w:name w:val="List Bullet"/>
    <w:basedOn w:val="1"/>
    <w:qFormat/>
    <w:uiPriority w:val="0"/>
    <w:pPr>
      <w:numPr>
        <w:ilvl w:val="0"/>
        <w:numId w:val="2"/>
      </w:numPr>
      <w:tabs>
        <w:tab w:val="left" w:pos="360"/>
        <w:tab w:val="left" w:pos="1200"/>
      </w:tabs>
      <w:ind w:firstLine="200" w:firstLineChars="200"/>
      <w:jc w:val="left"/>
    </w:pPr>
    <w:rPr>
      <w:rFonts w:ascii="Calibri" w:hAnsi="Calibri"/>
      <w:kern w:val="0"/>
      <w:sz w:val="28"/>
    </w:rPr>
  </w:style>
  <w:style w:type="paragraph" w:styleId="22">
    <w:name w:val="envelope address"/>
    <w:basedOn w:val="1"/>
    <w:qFormat/>
    <w:uiPriority w:val="0"/>
    <w:pPr>
      <w:snapToGrid w:val="0"/>
      <w:ind w:left="100" w:leftChars="1400" w:firstLine="200" w:firstLineChars="200"/>
      <w:jc w:val="left"/>
    </w:pPr>
    <w:rPr>
      <w:rFonts w:ascii="Arial" w:hAnsi="Arial" w:cs="Arial"/>
      <w:kern w:val="0"/>
      <w:sz w:val="28"/>
    </w:rPr>
  </w:style>
  <w:style w:type="paragraph" w:styleId="23">
    <w:name w:val="Document Map"/>
    <w:basedOn w:val="1"/>
    <w:link w:val="118"/>
    <w:qFormat/>
    <w:uiPriority w:val="0"/>
    <w:rPr>
      <w:rFonts w:ascii="宋体"/>
      <w:sz w:val="18"/>
      <w:szCs w:val="18"/>
    </w:rPr>
  </w:style>
  <w:style w:type="paragraph" w:styleId="24">
    <w:name w:val="annotation text"/>
    <w:basedOn w:val="1"/>
    <w:link w:val="116"/>
    <w:unhideWhenUsed/>
    <w:qFormat/>
    <w:uiPriority w:val="99"/>
    <w:pPr>
      <w:jc w:val="left"/>
    </w:pPr>
  </w:style>
  <w:style w:type="paragraph" w:styleId="25">
    <w:name w:val="Salutation"/>
    <w:basedOn w:val="1"/>
    <w:next w:val="1"/>
    <w:link w:val="164"/>
    <w:qFormat/>
    <w:uiPriority w:val="0"/>
    <w:pPr>
      <w:ind w:firstLine="200" w:firstLineChars="200"/>
      <w:jc w:val="left"/>
    </w:pPr>
    <w:rPr>
      <w:rFonts w:asciiTheme="minorHAnsi" w:hAnsiTheme="minorHAnsi" w:eastAsiaTheme="minorEastAsia" w:cstheme="minorBidi"/>
      <w:sz w:val="28"/>
    </w:rPr>
  </w:style>
  <w:style w:type="paragraph" w:styleId="26">
    <w:name w:val="Body Text 3"/>
    <w:basedOn w:val="1"/>
    <w:link w:val="142"/>
    <w:unhideWhenUsed/>
    <w:qFormat/>
    <w:uiPriority w:val="99"/>
    <w:pPr>
      <w:spacing w:after="120"/>
    </w:pPr>
    <w:rPr>
      <w:sz w:val="16"/>
      <w:szCs w:val="16"/>
    </w:rPr>
  </w:style>
  <w:style w:type="paragraph" w:styleId="27">
    <w:name w:val="Closing"/>
    <w:basedOn w:val="1"/>
    <w:link w:val="165"/>
    <w:qFormat/>
    <w:uiPriority w:val="0"/>
    <w:pPr>
      <w:ind w:left="100" w:leftChars="2100" w:firstLine="200" w:firstLineChars="200"/>
      <w:jc w:val="left"/>
    </w:pPr>
    <w:rPr>
      <w:rFonts w:asciiTheme="minorHAnsi" w:hAnsiTheme="minorHAnsi" w:eastAsiaTheme="minorEastAsia" w:cstheme="minorBidi"/>
      <w:sz w:val="28"/>
    </w:rPr>
  </w:style>
  <w:style w:type="paragraph" w:styleId="28">
    <w:name w:val="List Bullet 3"/>
    <w:basedOn w:val="1"/>
    <w:qFormat/>
    <w:uiPriority w:val="0"/>
    <w:pPr>
      <w:tabs>
        <w:tab w:val="left" w:pos="1200"/>
        <w:tab w:val="left" w:pos="2040"/>
      </w:tabs>
      <w:ind w:left="420" w:hanging="420" w:firstLineChars="200"/>
      <w:jc w:val="left"/>
    </w:pPr>
    <w:rPr>
      <w:rFonts w:ascii="Calibri" w:hAnsi="Calibri"/>
      <w:kern w:val="0"/>
      <w:sz w:val="28"/>
    </w:rPr>
  </w:style>
  <w:style w:type="paragraph" w:styleId="29">
    <w:name w:val="Body Text"/>
    <w:basedOn w:val="1"/>
    <w:next w:val="1"/>
    <w:link w:val="119"/>
    <w:qFormat/>
    <w:uiPriority w:val="0"/>
    <w:rPr>
      <w:sz w:val="28"/>
      <w:szCs w:val="20"/>
    </w:rPr>
  </w:style>
  <w:style w:type="paragraph" w:styleId="30">
    <w:name w:val="Body Text Indent"/>
    <w:basedOn w:val="1"/>
    <w:next w:val="31"/>
    <w:link w:val="12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31">
    <w:name w:val="envelope return"/>
    <w:basedOn w:val="1"/>
    <w:qFormat/>
    <w:uiPriority w:val="0"/>
    <w:pPr>
      <w:snapToGrid w:val="0"/>
      <w:ind w:firstLine="200" w:firstLineChars="200"/>
      <w:jc w:val="left"/>
    </w:pPr>
    <w:rPr>
      <w:rFonts w:ascii="Arial" w:hAnsi="Arial" w:cs="Arial"/>
      <w:kern w:val="0"/>
      <w:sz w:val="28"/>
    </w:rPr>
  </w:style>
  <w:style w:type="paragraph" w:styleId="32">
    <w:name w:val="List Number 3"/>
    <w:basedOn w:val="1"/>
    <w:qFormat/>
    <w:uiPriority w:val="0"/>
    <w:pPr>
      <w:numPr>
        <w:ilvl w:val="0"/>
        <w:numId w:val="3"/>
      </w:numPr>
      <w:tabs>
        <w:tab w:val="left" w:pos="780"/>
        <w:tab w:val="left" w:pos="1200"/>
      </w:tabs>
      <w:ind w:firstLine="200" w:firstLineChars="200"/>
      <w:jc w:val="left"/>
    </w:pPr>
    <w:rPr>
      <w:rFonts w:ascii="Calibri" w:hAnsi="Calibri"/>
      <w:kern w:val="0"/>
      <w:sz w:val="28"/>
    </w:rPr>
  </w:style>
  <w:style w:type="paragraph" w:styleId="33">
    <w:name w:val="List 2"/>
    <w:basedOn w:val="1"/>
    <w:qFormat/>
    <w:uiPriority w:val="0"/>
    <w:pPr>
      <w:ind w:left="100" w:leftChars="200" w:hanging="200" w:hangingChars="200"/>
    </w:pPr>
  </w:style>
  <w:style w:type="paragraph" w:styleId="34">
    <w:name w:val="List Continue"/>
    <w:basedOn w:val="1"/>
    <w:qFormat/>
    <w:uiPriority w:val="0"/>
    <w:pPr>
      <w:spacing w:after="120"/>
      <w:ind w:left="420" w:leftChars="200" w:firstLine="200" w:firstLineChars="200"/>
      <w:jc w:val="left"/>
    </w:pPr>
    <w:rPr>
      <w:rFonts w:ascii="Calibri" w:hAnsi="Calibri"/>
      <w:kern w:val="0"/>
      <w:sz w:val="28"/>
    </w:rPr>
  </w:style>
  <w:style w:type="paragraph" w:styleId="35">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36">
    <w:name w:val="List Bullet 2"/>
    <w:basedOn w:val="1"/>
    <w:qFormat/>
    <w:uiPriority w:val="0"/>
    <w:pPr>
      <w:numPr>
        <w:ilvl w:val="0"/>
        <w:numId w:val="4"/>
      </w:numPr>
      <w:spacing w:line="360" w:lineRule="auto"/>
    </w:pPr>
    <w:rPr>
      <w:sz w:val="24"/>
    </w:rPr>
  </w:style>
  <w:style w:type="paragraph" w:styleId="37">
    <w:name w:val="HTML Address"/>
    <w:basedOn w:val="1"/>
    <w:link w:val="166"/>
    <w:qFormat/>
    <w:uiPriority w:val="0"/>
    <w:pPr>
      <w:ind w:firstLine="200" w:firstLineChars="200"/>
      <w:jc w:val="left"/>
    </w:pPr>
    <w:rPr>
      <w:rFonts w:asciiTheme="minorHAnsi" w:hAnsiTheme="minorHAnsi" w:eastAsiaTheme="minorEastAsia" w:cstheme="minorBidi"/>
      <w:i/>
      <w:iCs/>
      <w:sz w:val="28"/>
    </w:rPr>
  </w:style>
  <w:style w:type="paragraph" w:styleId="38">
    <w:name w:val="toc 5"/>
    <w:basedOn w:val="1"/>
    <w:next w:val="1"/>
    <w:unhideWhenUsed/>
    <w:qFormat/>
    <w:uiPriority w:val="39"/>
    <w:pPr>
      <w:ind w:left="1680" w:leftChars="800"/>
    </w:pPr>
    <w:rPr>
      <w:rFonts w:ascii="Calibri" w:hAnsi="Calibri"/>
      <w:szCs w:val="22"/>
    </w:rPr>
  </w:style>
  <w:style w:type="paragraph" w:styleId="39">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40">
    <w:name w:val="Plain Text"/>
    <w:basedOn w:val="1"/>
    <w:link w:val="121"/>
    <w:qFormat/>
    <w:uiPriority w:val="0"/>
    <w:rPr>
      <w:rFonts w:ascii="宋体" w:hAnsi="Courier New"/>
      <w:szCs w:val="20"/>
    </w:rPr>
  </w:style>
  <w:style w:type="paragraph" w:styleId="41">
    <w:name w:val="List Bullet 5"/>
    <w:basedOn w:val="1"/>
    <w:qFormat/>
    <w:uiPriority w:val="0"/>
    <w:pPr>
      <w:tabs>
        <w:tab w:val="left" w:pos="780"/>
        <w:tab w:val="left" w:pos="2040"/>
      </w:tabs>
      <w:ind w:left="1260" w:hanging="420" w:firstLineChars="200"/>
      <w:jc w:val="left"/>
    </w:pPr>
    <w:rPr>
      <w:rFonts w:ascii="Calibri" w:hAnsi="Calibri"/>
      <w:kern w:val="0"/>
      <w:sz w:val="28"/>
    </w:rPr>
  </w:style>
  <w:style w:type="paragraph" w:styleId="42">
    <w:name w:val="List Number 4"/>
    <w:basedOn w:val="1"/>
    <w:qFormat/>
    <w:uiPriority w:val="0"/>
    <w:pPr>
      <w:numPr>
        <w:ilvl w:val="0"/>
        <w:numId w:val="5"/>
      </w:numPr>
      <w:tabs>
        <w:tab w:val="left" w:pos="1200"/>
        <w:tab w:val="left" w:pos="1620"/>
      </w:tabs>
      <w:ind w:firstLine="200" w:firstLineChars="200"/>
      <w:jc w:val="left"/>
    </w:pPr>
    <w:rPr>
      <w:rFonts w:ascii="Calibri" w:hAnsi="Calibri"/>
      <w:kern w:val="0"/>
      <w:sz w:val="28"/>
    </w:rPr>
  </w:style>
  <w:style w:type="paragraph" w:styleId="43">
    <w:name w:val="toc 8"/>
    <w:basedOn w:val="1"/>
    <w:next w:val="1"/>
    <w:unhideWhenUsed/>
    <w:qFormat/>
    <w:uiPriority w:val="39"/>
    <w:pPr>
      <w:ind w:left="2940" w:leftChars="1400"/>
    </w:pPr>
    <w:rPr>
      <w:rFonts w:ascii="Calibri" w:hAnsi="Calibri"/>
      <w:szCs w:val="22"/>
    </w:rPr>
  </w:style>
  <w:style w:type="paragraph" w:styleId="44">
    <w:name w:val="index 3"/>
    <w:basedOn w:val="1"/>
    <w:next w:val="1"/>
    <w:semiHidden/>
    <w:unhideWhenUsed/>
    <w:qFormat/>
    <w:uiPriority w:val="99"/>
    <w:pPr>
      <w:spacing w:line="360" w:lineRule="auto"/>
      <w:ind w:left="400" w:leftChars="400" w:firstLine="200" w:firstLineChars="200"/>
    </w:pPr>
    <w:rPr>
      <w:kern w:val="0"/>
      <w:sz w:val="24"/>
    </w:rPr>
  </w:style>
  <w:style w:type="paragraph" w:styleId="45">
    <w:name w:val="Date"/>
    <w:basedOn w:val="1"/>
    <w:next w:val="1"/>
    <w:link w:val="122"/>
    <w:qFormat/>
    <w:uiPriority w:val="99"/>
    <w:pPr>
      <w:ind w:left="100" w:leftChars="2500"/>
    </w:pPr>
    <w:rPr>
      <w:szCs w:val="20"/>
    </w:rPr>
  </w:style>
  <w:style w:type="paragraph" w:styleId="46">
    <w:name w:val="Body Text Indent 2"/>
    <w:basedOn w:val="1"/>
    <w:link w:val="123"/>
    <w:qFormat/>
    <w:uiPriority w:val="0"/>
    <w:pPr>
      <w:spacing w:line="480" w:lineRule="auto"/>
      <w:ind w:firstLine="480" w:firstLineChars="200"/>
    </w:pPr>
    <w:rPr>
      <w:rFonts w:ascii="仿宋_GB2312" w:hAnsi="宋体" w:eastAsia="仿宋_GB2312"/>
      <w:sz w:val="24"/>
    </w:rPr>
  </w:style>
  <w:style w:type="paragraph" w:styleId="47">
    <w:name w:val="endnote text"/>
    <w:basedOn w:val="1"/>
    <w:link w:val="167"/>
    <w:unhideWhenUsed/>
    <w:qFormat/>
    <w:uiPriority w:val="99"/>
    <w:pPr>
      <w:snapToGrid w:val="0"/>
      <w:jc w:val="left"/>
    </w:pPr>
    <w:rPr>
      <w:rFonts w:asciiTheme="minorHAnsi" w:hAnsiTheme="minorHAnsi" w:eastAsiaTheme="minorEastAsia" w:cstheme="minorBidi"/>
      <w:szCs w:val="22"/>
    </w:rPr>
  </w:style>
  <w:style w:type="paragraph" w:styleId="48">
    <w:name w:val="List Continue 5"/>
    <w:basedOn w:val="1"/>
    <w:qFormat/>
    <w:uiPriority w:val="0"/>
    <w:pPr>
      <w:spacing w:after="120"/>
      <w:ind w:left="2100" w:leftChars="1000" w:firstLine="200" w:firstLineChars="200"/>
      <w:jc w:val="left"/>
    </w:pPr>
    <w:rPr>
      <w:rFonts w:ascii="Calibri" w:hAnsi="Calibri"/>
      <w:kern w:val="0"/>
      <w:sz w:val="28"/>
    </w:rPr>
  </w:style>
  <w:style w:type="paragraph" w:styleId="49">
    <w:name w:val="Balloon Text"/>
    <w:basedOn w:val="1"/>
    <w:link w:val="104"/>
    <w:unhideWhenUsed/>
    <w:qFormat/>
    <w:uiPriority w:val="99"/>
    <w:rPr>
      <w:sz w:val="18"/>
      <w:szCs w:val="18"/>
    </w:rPr>
  </w:style>
  <w:style w:type="paragraph" w:styleId="50">
    <w:name w:val="footer"/>
    <w:basedOn w:val="1"/>
    <w:link w:val="115"/>
    <w:unhideWhenUsed/>
    <w:qFormat/>
    <w:uiPriority w:val="99"/>
    <w:pPr>
      <w:tabs>
        <w:tab w:val="center" w:pos="4153"/>
        <w:tab w:val="right" w:pos="8306"/>
      </w:tabs>
      <w:snapToGrid w:val="0"/>
      <w:jc w:val="left"/>
    </w:pPr>
    <w:rPr>
      <w:sz w:val="18"/>
      <w:szCs w:val="18"/>
    </w:rPr>
  </w:style>
  <w:style w:type="paragraph" w:styleId="51">
    <w:name w:val="header"/>
    <w:basedOn w:val="1"/>
    <w:link w:val="114"/>
    <w:unhideWhenUsed/>
    <w:qFormat/>
    <w:uiPriority w:val="99"/>
    <w:pPr>
      <w:pBdr>
        <w:bottom w:val="single" w:color="auto" w:sz="6" w:space="1"/>
      </w:pBdr>
      <w:tabs>
        <w:tab w:val="center" w:pos="4153"/>
        <w:tab w:val="right" w:pos="8306"/>
      </w:tabs>
      <w:snapToGrid w:val="0"/>
      <w:jc w:val="center"/>
    </w:pPr>
    <w:rPr>
      <w:sz w:val="18"/>
      <w:szCs w:val="18"/>
    </w:rPr>
  </w:style>
  <w:style w:type="paragraph" w:styleId="52">
    <w:name w:val="Signature"/>
    <w:basedOn w:val="1"/>
    <w:link w:val="168"/>
    <w:qFormat/>
    <w:uiPriority w:val="0"/>
    <w:pPr>
      <w:ind w:left="100" w:leftChars="2100" w:firstLine="200" w:firstLineChars="200"/>
      <w:jc w:val="left"/>
    </w:pPr>
    <w:rPr>
      <w:rFonts w:asciiTheme="minorHAnsi" w:hAnsiTheme="minorHAnsi" w:eastAsiaTheme="minorEastAsia" w:cstheme="minorBidi"/>
      <w:sz w:val="28"/>
    </w:rPr>
  </w:style>
  <w:style w:type="paragraph" w:styleId="53">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54">
    <w:name w:val="List Continue 4"/>
    <w:basedOn w:val="1"/>
    <w:qFormat/>
    <w:uiPriority w:val="0"/>
    <w:pPr>
      <w:spacing w:after="120"/>
      <w:ind w:left="1680" w:leftChars="800" w:firstLine="200" w:firstLineChars="200"/>
      <w:jc w:val="left"/>
    </w:pPr>
    <w:rPr>
      <w:rFonts w:ascii="Calibri" w:hAnsi="Calibri"/>
      <w:kern w:val="0"/>
      <w:sz w:val="28"/>
    </w:rPr>
  </w:style>
  <w:style w:type="paragraph" w:styleId="55">
    <w:name w:val="toc 4"/>
    <w:basedOn w:val="1"/>
    <w:next w:val="1"/>
    <w:unhideWhenUsed/>
    <w:qFormat/>
    <w:uiPriority w:val="39"/>
    <w:pPr>
      <w:ind w:left="1260" w:leftChars="600"/>
    </w:pPr>
    <w:rPr>
      <w:rFonts w:ascii="Calibri" w:hAnsi="Calibri"/>
      <w:szCs w:val="22"/>
    </w:rPr>
  </w:style>
  <w:style w:type="paragraph" w:styleId="56">
    <w:name w:val="Subtitle"/>
    <w:basedOn w:val="1"/>
    <w:next w:val="1"/>
    <w:link w:val="124"/>
    <w:qFormat/>
    <w:uiPriority w:val="0"/>
    <w:pPr>
      <w:spacing w:before="240" w:after="60" w:line="312" w:lineRule="auto"/>
      <w:jc w:val="center"/>
      <w:outlineLvl w:val="1"/>
    </w:pPr>
    <w:rPr>
      <w:rFonts w:ascii="Cambria" w:hAnsi="Cambria" w:cs="黑体"/>
      <w:b/>
      <w:bCs/>
      <w:kern w:val="28"/>
      <w:sz w:val="32"/>
      <w:szCs w:val="32"/>
    </w:rPr>
  </w:style>
  <w:style w:type="paragraph" w:styleId="57">
    <w:name w:val="List Number 5"/>
    <w:basedOn w:val="1"/>
    <w:qFormat/>
    <w:uiPriority w:val="0"/>
    <w:pPr>
      <w:tabs>
        <w:tab w:val="left" w:pos="2040"/>
      </w:tabs>
      <w:ind w:left="2040" w:leftChars="800" w:hanging="360" w:hangingChars="200"/>
      <w:jc w:val="left"/>
    </w:pPr>
    <w:rPr>
      <w:rFonts w:ascii="Calibri" w:hAnsi="Calibri"/>
      <w:kern w:val="0"/>
      <w:sz w:val="28"/>
    </w:rPr>
  </w:style>
  <w:style w:type="paragraph" w:styleId="58">
    <w:name w:val="List"/>
    <w:basedOn w:val="1"/>
    <w:qFormat/>
    <w:uiPriority w:val="99"/>
    <w:pPr>
      <w:ind w:left="200" w:hanging="200" w:hangingChars="200"/>
      <w:jc w:val="left"/>
    </w:pPr>
    <w:rPr>
      <w:rFonts w:ascii="Calibri" w:hAnsi="Calibri"/>
      <w:kern w:val="0"/>
      <w:sz w:val="28"/>
    </w:rPr>
  </w:style>
  <w:style w:type="paragraph" w:styleId="59">
    <w:name w:val="footnote text"/>
    <w:basedOn w:val="1"/>
    <w:link w:val="147"/>
    <w:unhideWhenUsed/>
    <w:qFormat/>
    <w:uiPriority w:val="0"/>
    <w:pPr>
      <w:adjustRightInd w:val="0"/>
      <w:spacing w:line="312" w:lineRule="atLeast"/>
      <w:jc w:val="left"/>
    </w:pPr>
    <w:rPr>
      <w:kern w:val="0"/>
      <w:sz w:val="18"/>
      <w:szCs w:val="20"/>
    </w:rPr>
  </w:style>
  <w:style w:type="paragraph" w:styleId="60">
    <w:name w:val="toc 6"/>
    <w:basedOn w:val="1"/>
    <w:next w:val="1"/>
    <w:unhideWhenUsed/>
    <w:qFormat/>
    <w:uiPriority w:val="39"/>
    <w:pPr>
      <w:ind w:left="2100" w:leftChars="1000"/>
    </w:pPr>
    <w:rPr>
      <w:rFonts w:ascii="Calibri" w:hAnsi="Calibri"/>
      <w:szCs w:val="22"/>
    </w:rPr>
  </w:style>
  <w:style w:type="paragraph" w:styleId="61">
    <w:name w:val="List 5"/>
    <w:basedOn w:val="1"/>
    <w:qFormat/>
    <w:uiPriority w:val="0"/>
    <w:pPr>
      <w:ind w:left="100" w:leftChars="800" w:hanging="200" w:hangingChars="200"/>
      <w:jc w:val="left"/>
    </w:pPr>
    <w:rPr>
      <w:rFonts w:ascii="Calibri" w:hAnsi="Calibri"/>
      <w:kern w:val="0"/>
      <w:sz w:val="28"/>
    </w:rPr>
  </w:style>
  <w:style w:type="paragraph" w:styleId="62">
    <w:name w:val="Body Text Indent 3"/>
    <w:basedOn w:val="1"/>
    <w:link w:val="125"/>
    <w:qFormat/>
    <w:uiPriority w:val="0"/>
    <w:pPr>
      <w:spacing w:after="120" w:line="360" w:lineRule="atLeast"/>
      <w:ind w:firstLine="720" w:firstLineChars="300"/>
    </w:pPr>
    <w:rPr>
      <w:sz w:val="24"/>
      <w:szCs w:val="20"/>
    </w:rPr>
  </w:style>
  <w:style w:type="paragraph" w:styleId="63">
    <w:name w:val="table of figures"/>
    <w:basedOn w:val="1"/>
    <w:next w:val="1"/>
    <w:unhideWhenUsed/>
    <w:qFormat/>
    <w:uiPriority w:val="99"/>
    <w:pPr>
      <w:spacing w:line="360" w:lineRule="auto"/>
      <w:ind w:left="200" w:leftChars="200" w:hanging="200" w:hangingChars="200"/>
    </w:pPr>
    <w:rPr>
      <w:sz w:val="28"/>
      <w:szCs w:val="22"/>
    </w:rPr>
  </w:style>
  <w:style w:type="paragraph" w:styleId="64">
    <w:name w:val="toc 2"/>
    <w:basedOn w:val="1"/>
    <w:next w:val="1"/>
    <w:qFormat/>
    <w:uiPriority w:val="39"/>
    <w:pPr>
      <w:tabs>
        <w:tab w:val="left" w:pos="567"/>
        <w:tab w:val="right" w:leader="dot" w:pos="8505"/>
        <w:tab w:val="right" w:leader="dot" w:pos="9628"/>
      </w:tabs>
      <w:spacing w:line="440" w:lineRule="exact"/>
    </w:pPr>
  </w:style>
  <w:style w:type="paragraph" w:styleId="65">
    <w:name w:val="toc 9"/>
    <w:basedOn w:val="1"/>
    <w:next w:val="1"/>
    <w:unhideWhenUsed/>
    <w:qFormat/>
    <w:uiPriority w:val="39"/>
    <w:pPr>
      <w:ind w:left="3360" w:leftChars="1600"/>
    </w:pPr>
    <w:rPr>
      <w:rFonts w:ascii="Calibri" w:hAnsi="Calibri"/>
      <w:szCs w:val="22"/>
    </w:rPr>
  </w:style>
  <w:style w:type="paragraph" w:styleId="66">
    <w:name w:val="Body Text 2"/>
    <w:basedOn w:val="1"/>
    <w:link w:val="169"/>
    <w:qFormat/>
    <w:uiPriority w:val="0"/>
    <w:pPr>
      <w:spacing w:after="120" w:line="480" w:lineRule="auto"/>
    </w:pPr>
  </w:style>
  <w:style w:type="paragraph" w:styleId="67">
    <w:name w:val="List 4"/>
    <w:basedOn w:val="1"/>
    <w:qFormat/>
    <w:uiPriority w:val="0"/>
    <w:pPr>
      <w:ind w:left="100" w:leftChars="600" w:hanging="200" w:hangingChars="200"/>
      <w:jc w:val="left"/>
    </w:pPr>
    <w:rPr>
      <w:rFonts w:ascii="Calibri" w:hAnsi="Calibri"/>
      <w:kern w:val="0"/>
      <w:sz w:val="28"/>
    </w:rPr>
  </w:style>
  <w:style w:type="paragraph" w:styleId="68">
    <w:name w:val="List Continue 2"/>
    <w:basedOn w:val="1"/>
    <w:qFormat/>
    <w:uiPriority w:val="0"/>
    <w:pPr>
      <w:spacing w:after="120"/>
      <w:ind w:left="840" w:leftChars="400" w:firstLine="200" w:firstLineChars="200"/>
      <w:jc w:val="left"/>
    </w:pPr>
    <w:rPr>
      <w:rFonts w:ascii="Calibri" w:hAnsi="Calibri"/>
      <w:kern w:val="0"/>
      <w:sz w:val="28"/>
    </w:rPr>
  </w:style>
  <w:style w:type="paragraph" w:styleId="69">
    <w:name w:val="Message Header"/>
    <w:basedOn w:val="1"/>
    <w:link w:val="170"/>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Arial" w:hAnsi="Arial" w:cs="Arial" w:eastAsiaTheme="minorEastAsia"/>
      <w:sz w:val="28"/>
    </w:rPr>
  </w:style>
  <w:style w:type="paragraph" w:styleId="70">
    <w:name w:val="HTML Preformatted"/>
    <w:basedOn w:val="1"/>
    <w:link w:val="171"/>
    <w:qFormat/>
    <w:uiPriority w:val="0"/>
    <w:pPr>
      <w:ind w:firstLine="200" w:firstLineChars="200"/>
      <w:jc w:val="left"/>
    </w:pPr>
    <w:rPr>
      <w:rFonts w:ascii="Courier New" w:hAnsi="Courier New" w:cs="Courier New" w:eastAsiaTheme="minorEastAsia"/>
      <w:szCs w:val="22"/>
    </w:rPr>
  </w:style>
  <w:style w:type="paragraph" w:styleId="71">
    <w:name w:val="Normal (Web)"/>
    <w:basedOn w:val="1"/>
    <w:link w:val="437"/>
    <w:unhideWhenUsed/>
    <w:qFormat/>
    <w:uiPriority w:val="99"/>
    <w:pPr>
      <w:widowControl/>
      <w:spacing w:before="100" w:beforeAutospacing="1" w:after="100" w:afterAutospacing="1"/>
      <w:jc w:val="left"/>
    </w:pPr>
    <w:rPr>
      <w:rFonts w:ascii="ˎ̥" w:hAnsi="ˎ̥" w:cs="宋体"/>
      <w:kern w:val="0"/>
      <w:sz w:val="24"/>
    </w:rPr>
  </w:style>
  <w:style w:type="paragraph" w:styleId="72">
    <w:name w:val="List Continue 3"/>
    <w:basedOn w:val="1"/>
    <w:qFormat/>
    <w:uiPriority w:val="0"/>
    <w:pPr>
      <w:spacing w:after="120"/>
      <w:ind w:left="1260" w:leftChars="600" w:firstLine="200" w:firstLineChars="200"/>
      <w:jc w:val="left"/>
    </w:pPr>
    <w:rPr>
      <w:rFonts w:ascii="Calibri" w:hAnsi="Calibri"/>
      <w:kern w:val="0"/>
      <w:sz w:val="28"/>
    </w:rPr>
  </w:style>
  <w:style w:type="paragraph" w:styleId="73">
    <w:name w:val="index 1"/>
    <w:basedOn w:val="1"/>
    <w:next w:val="1"/>
    <w:semiHidden/>
    <w:unhideWhenUsed/>
    <w:qFormat/>
    <w:uiPriority w:val="0"/>
    <w:pPr>
      <w:spacing w:line="220" w:lineRule="exact"/>
      <w:jc w:val="center"/>
    </w:pPr>
    <w:rPr>
      <w:rFonts w:ascii="仿宋_GB2312" w:eastAsia="仿宋_GB2312"/>
      <w:szCs w:val="21"/>
    </w:rPr>
  </w:style>
  <w:style w:type="paragraph" w:styleId="74">
    <w:name w:val="Title"/>
    <w:basedOn w:val="1"/>
    <w:next w:val="1"/>
    <w:link w:val="126"/>
    <w:qFormat/>
    <w:uiPriority w:val="99"/>
    <w:pPr>
      <w:spacing w:before="240" w:after="60"/>
      <w:jc w:val="center"/>
      <w:outlineLvl w:val="0"/>
    </w:pPr>
    <w:rPr>
      <w:rFonts w:ascii="Cambria" w:hAnsi="Cambria"/>
      <w:b/>
      <w:bCs/>
      <w:sz w:val="32"/>
      <w:szCs w:val="32"/>
    </w:rPr>
  </w:style>
  <w:style w:type="paragraph" w:styleId="75">
    <w:name w:val="annotation subject"/>
    <w:basedOn w:val="24"/>
    <w:next w:val="24"/>
    <w:link w:val="117"/>
    <w:qFormat/>
    <w:uiPriority w:val="99"/>
    <w:rPr>
      <w:b/>
      <w:bCs/>
      <w:szCs w:val="20"/>
    </w:rPr>
  </w:style>
  <w:style w:type="paragraph" w:styleId="76">
    <w:name w:val="Body Text First Indent"/>
    <w:basedOn w:val="29"/>
    <w:link w:val="172"/>
    <w:qFormat/>
    <w:uiPriority w:val="99"/>
    <w:pPr>
      <w:ind w:firstLine="420" w:firstLineChars="100"/>
    </w:pPr>
  </w:style>
  <w:style w:type="paragraph" w:styleId="77">
    <w:name w:val="Body Text First Indent 2"/>
    <w:basedOn w:val="30"/>
    <w:next w:val="76"/>
    <w:link w:val="173"/>
    <w:qFormat/>
    <w:uiPriority w:val="0"/>
    <w:pPr>
      <w:ind w:left="0" w:firstLine="210"/>
    </w:pPr>
  </w:style>
  <w:style w:type="table" w:styleId="79">
    <w:name w:val="Table Grid"/>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1">
    <w:name w:val="Strong"/>
    <w:basedOn w:val="80"/>
    <w:qFormat/>
    <w:uiPriority w:val="22"/>
    <w:rPr>
      <w:b/>
      <w:bCs/>
    </w:rPr>
  </w:style>
  <w:style w:type="character" w:styleId="82">
    <w:name w:val="endnote reference"/>
    <w:unhideWhenUsed/>
    <w:qFormat/>
    <w:uiPriority w:val="99"/>
    <w:rPr>
      <w:vertAlign w:val="superscript"/>
    </w:rPr>
  </w:style>
  <w:style w:type="character" w:styleId="83">
    <w:name w:val="page number"/>
    <w:basedOn w:val="80"/>
    <w:qFormat/>
    <w:uiPriority w:val="0"/>
  </w:style>
  <w:style w:type="character" w:styleId="84">
    <w:name w:val="FollowedHyperlink"/>
    <w:qFormat/>
    <w:uiPriority w:val="0"/>
    <w:rPr>
      <w:color w:val="800080"/>
      <w:u w:val="single"/>
    </w:rPr>
  </w:style>
  <w:style w:type="character" w:styleId="85">
    <w:name w:val="Emphasis"/>
    <w:basedOn w:val="80"/>
    <w:qFormat/>
    <w:uiPriority w:val="0"/>
  </w:style>
  <w:style w:type="character" w:styleId="86">
    <w:name w:val="line number"/>
    <w:basedOn w:val="80"/>
    <w:qFormat/>
    <w:uiPriority w:val="0"/>
  </w:style>
  <w:style w:type="character" w:styleId="87">
    <w:name w:val="HTML Definition"/>
    <w:basedOn w:val="80"/>
    <w:unhideWhenUsed/>
    <w:qFormat/>
    <w:uiPriority w:val="0"/>
    <w:rPr>
      <w:i/>
      <w:iCs/>
    </w:rPr>
  </w:style>
  <w:style w:type="character" w:styleId="88">
    <w:name w:val="HTML Typewriter"/>
    <w:qFormat/>
    <w:uiPriority w:val="0"/>
    <w:rPr>
      <w:rFonts w:ascii="Courier New" w:hAnsi="Courier New" w:cs="Courier New"/>
      <w:sz w:val="20"/>
      <w:szCs w:val="20"/>
    </w:rPr>
  </w:style>
  <w:style w:type="character" w:styleId="89">
    <w:name w:val="HTML Acronym"/>
    <w:basedOn w:val="80"/>
    <w:qFormat/>
    <w:uiPriority w:val="0"/>
  </w:style>
  <w:style w:type="character" w:styleId="90">
    <w:name w:val="HTML Variable"/>
    <w:qFormat/>
    <w:uiPriority w:val="0"/>
    <w:rPr>
      <w:rFonts w:ascii="Tahoma" w:hAnsi="Tahoma"/>
      <w:sz w:val="24"/>
    </w:rPr>
  </w:style>
  <w:style w:type="character" w:styleId="91">
    <w:name w:val="Hyperlink"/>
    <w:qFormat/>
    <w:uiPriority w:val="99"/>
    <w:rPr>
      <w:color w:val="0000FF"/>
      <w:u w:val="single"/>
    </w:rPr>
  </w:style>
  <w:style w:type="character" w:styleId="92">
    <w:name w:val="HTML Code"/>
    <w:basedOn w:val="80"/>
    <w:unhideWhenUsed/>
    <w:qFormat/>
    <w:uiPriority w:val="0"/>
    <w:rPr>
      <w:rFonts w:ascii="Consolas" w:hAnsi="Consolas" w:eastAsia="Consolas" w:cs="Consolas"/>
      <w:color w:val="C7254E"/>
      <w:sz w:val="21"/>
      <w:szCs w:val="21"/>
      <w:shd w:val="clear" w:color="auto" w:fill="F9F2F4"/>
    </w:rPr>
  </w:style>
  <w:style w:type="character" w:styleId="93">
    <w:name w:val="annotation reference"/>
    <w:qFormat/>
    <w:uiPriority w:val="99"/>
    <w:rPr>
      <w:sz w:val="21"/>
      <w:szCs w:val="21"/>
    </w:rPr>
  </w:style>
  <w:style w:type="character" w:styleId="94">
    <w:name w:val="HTML Cite"/>
    <w:qFormat/>
    <w:uiPriority w:val="0"/>
    <w:rPr>
      <w:rFonts w:ascii="Tahoma" w:hAnsi="Tahoma"/>
      <w:sz w:val="24"/>
    </w:rPr>
  </w:style>
  <w:style w:type="character" w:styleId="95">
    <w:name w:val="footnote reference"/>
    <w:qFormat/>
    <w:uiPriority w:val="0"/>
    <w:rPr>
      <w:vertAlign w:val="superscript"/>
    </w:rPr>
  </w:style>
  <w:style w:type="character" w:styleId="96">
    <w:name w:val="HTML Keyboard"/>
    <w:basedOn w:val="80"/>
    <w:unhideWhenUsed/>
    <w:qFormat/>
    <w:uiPriority w:val="0"/>
    <w:rPr>
      <w:rFonts w:hint="default" w:ascii="Consolas" w:hAnsi="Consolas" w:eastAsia="Consolas" w:cs="Consolas"/>
      <w:color w:val="FFFFFF"/>
      <w:sz w:val="21"/>
      <w:szCs w:val="21"/>
      <w:shd w:val="clear" w:color="auto" w:fill="333333"/>
    </w:rPr>
  </w:style>
  <w:style w:type="character" w:styleId="97">
    <w:name w:val="HTML Sample"/>
    <w:basedOn w:val="80"/>
    <w:unhideWhenUsed/>
    <w:qFormat/>
    <w:uiPriority w:val="0"/>
    <w:rPr>
      <w:rFonts w:hint="default" w:ascii="Consolas" w:hAnsi="Consolas" w:eastAsia="Consolas" w:cs="Consolas"/>
      <w:sz w:val="21"/>
      <w:szCs w:val="21"/>
    </w:rPr>
  </w:style>
  <w:style w:type="character" w:customStyle="1" w:styleId="98">
    <w:name w:val="标题 3 字符"/>
    <w:qFormat/>
    <w:uiPriority w:val="0"/>
    <w:rPr>
      <w:rFonts w:eastAsia="仿宋_GB2312"/>
      <w:b/>
      <w:bCs/>
      <w:kern w:val="2"/>
      <w:sz w:val="32"/>
      <w:szCs w:val="32"/>
    </w:rPr>
  </w:style>
  <w:style w:type="character" w:customStyle="1" w:styleId="99">
    <w:name w:val="标题 2 字符"/>
    <w:qFormat/>
    <w:uiPriority w:val="0"/>
    <w:rPr>
      <w:rFonts w:ascii="Arial" w:hAnsi="Arial"/>
      <w:b/>
      <w:bCs/>
      <w:kern w:val="2"/>
      <w:sz w:val="32"/>
      <w:szCs w:val="32"/>
    </w:rPr>
  </w:style>
  <w:style w:type="paragraph" w:customStyle="1" w:styleId="100">
    <w:name w:val="正文缩进1"/>
    <w:basedOn w:val="1"/>
    <w:qFormat/>
    <w:uiPriority w:val="99"/>
    <w:pPr>
      <w:ind w:firstLine="200" w:firstLineChars="200"/>
    </w:pPr>
    <w:rPr>
      <w:rFonts w:asciiTheme="minorHAnsi" w:hAnsiTheme="minorHAnsi" w:eastAsiaTheme="minorEastAsia" w:cstheme="minorBidi"/>
      <w:szCs w:val="22"/>
    </w:rPr>
  </w:style>
  <w:style w:type="paragraph" w:customStyle="1" w:styleId="101">
    <w:name w:val="bt1bt1"/>
    <w:basedOn w:val="2"/>
    <w:qFormat/>
    <w:uiPriority w:val="0"/>
    <w:pPr>
      <w:spacing w:line="240" w:lineRule="auto"/>
      <w:jc w:val="center"/>
    </w:pPr>
    <w:rPr>
      <w:rFonts w:ascii="黑体" w:eastAsia="黑体"/>
      <w:b w:val="0"/>
      <w:sz w:val="36"/>
      <w:szCs w:val="36"/>
    </w:rPr>
  </w:style>
  <w:style w:type="paragraph" w:styleId="102">
    <w:name w:val="List Paragraph"/>
    <w:basedOn w:val="1"/>
    <w:link w:val="161"/>
    <w:unhideWhenUsed/>
    <w:qFormat/>
    <w:uiPriority w:val="34"/>
    <w:pPr>
      <w:ind w:firstLine="420" w:firstLineChars="200"/>
    </w:pPr>
  </w:style>
  <w:style w:type="character" w:customStyle="1" w:styleId="103">
    <w:name w:val="标题 1 Char"/>
    <w:basedOn w:val="80"/>
    <w:link w:val="2"/>
    <w:qFormat/>
    <w:uiPriority w:val="0"/>
    <w:rPr>
      <w:rFonts w:ascii="Times New Roman" w:hAnsi="Times New Roman" w:eastAsia="宋体" w:cs="Times New Roman"/>
      <w:b/>
      <w:bCs/>
      <w:kern w:val="44"/>
      <w:sz w:val="44"/>
      <w:szCs w:val="44"/>
    </w:rPr>
  </w:style>
  <w:style w:type="character" w:customStyle="1" w:styleId="104">
    <w:name w:val="批注框文本 Char"/>
    <w:basedOn w:val="80"/>
    <w:link w:val="49"/>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0"/>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06">
    <w:name w:val="标题 2 Char"/>
    <w:basedOn w:val="80"/>
    <w:link w:val="3"/>
    <w:qFormat/>
    <w:uiPriority w:val="99"/>
    <w:rPr>
      <w:rFonts w:ascii="Arial" w:hAnsi="Arial" w:eastAsia="黑体" w:cs="Times New Roman"/>
      <w:b/>
      <w:bCs/>
      <w:sz w:val="32"/>
      <w:szCs w:val="32"/>
    </w:rPr>
  </w:style>
  <w:style w:type="character" w:customStyle="1" w:styleId="107">
    <w:name w:val="标题 3 Char"/>
    <w:basedOn w:val="80"/>
    <w:link w:val="4"/>
    <w:qFormat/>
    <w:uiPriority w:val="99"/>
    <w:rPr>
      <w:rFonts w:ascii="黑体" w:hAnsi="Times New Roman" w:eastAsia="黑体" w:cs="Times New Roman"/>
      <w:kern w:val="0"/>
      <w:sz w:val="28"/>
      <w:szCs w:val="20"/>
    </w:rPr>
  </w:style>
  <w:style w:type="character" w:customStyle="1" w:styleId="108">
    <w:name w:val="标题 4 Char"/>
    <w:basedOn w:val="80"/>
    <w:link w:val="6"/>
    <w:qFormat/>
    <w:uiPriority w:val="0"/>
    <w:rPr>
      <w:rFonts w:ascii="Times New Roman" w:hAnsi="Times New Roman" w:eastAsia="宋体" w:cs="Times New Roman"/>
      <w:sz w:val="28"/>
      <w:szCs w:val="20"/>
    </w:rPr>
  </w:style>
  <w:style w:type="character" w:customStyle="1" w:styleId="109">
    <w:name w:val="标题 5 Char"/>
    <w:basedOn w:val="80"/>
    <w:link w:val="7"/>
    <w:qFormat/>
    <w:uiPriority w:val="0"/>
    <w:rPr>
      <w:rFonts w:ascii="Times New Roman" w:hAnsi="Times New Roman" w:eastAsia="宋体" w:cs="Times New Roman"/>
      <w:b/>
      <w:bCs/>
      <w:sz w:val="28"/>
      <w:szCs w:val="28"/>
    </w:rPr>
  </w:style>
  <w:style w:type="character" w:customStyle="1" w:styleId="110">
    <w:name w:val="标题 6 Char"/>
    <w:basedOn w:val="80"/>
    <w:link w:val="8"/>
    <w:qFormat/>
    <w:uiPriority w:val="0"/>
    <w:rPr>
      <w:rFonts w:ascii="Arial" w:hAnsi="Arial" w:eastAsia="黑体" w:cs="Times New Roman"/>
      <w:b/>
      <w:bCs/>
      <w:sz w:val="24"/>
      <w:szCs w:val="24"/>
    </w:rPr>
  </w:style>
  <w:style w:type="character" w:customStyle="1" w:styleId="111">
    <w:name w:val="标题 7 Char"/>
    <w:basedOn w:val="80"/>
    <w:link w:val="9"/>
    <w:qFormat/>
    <w:uiPriority w:val="0"/>
    <w:rPr>
      <w:rFonts w:ascii="Times New Roman" w:hAnsi="Times New Roman" w:eastAsia="宋体" w:cs="Times New Roman"/>
      <w:b/>
      <w:bCs/>
      <w:sz w:val="24"/>
      <w:szCs w:val="24"/>
    </w:rPr>
  </w:style>
  <w:style w:type="character" w:customStyle="1" w:styleId="112">
    <w:name w:val="标题 8 Char"/>
    <w:basedOn w:val="80"/>
    <w:link w:val="10"/>
    <w:qFormat/>
    <w:uiPriority w:val="0"/>
    <w:rPr>
      <w:rFonts w:ascii="Arial" w:hAnsi="Arial" w:eastAsia="黑体" w:cs="Times New Roman"/>
      <w:sz w:val="24"/>
      <w:szCs w:val="24"/>
    </w:rPr>
  </w:style>
  <w:style w:type="character" w:customStyle="1" w:styleId="113">
    <w:name w:val="标题 9 Char"/>
    <w:basedOn w:val="80"/>
    <w:link w:val="11"/>
    <w:qFormat/>
    <w:uiPriority w:val="0"/>
    <w:rPr>
      <w:rFonts w:ascii="Arial" w:hAnsi="Arial" w:eastAsia="黑体" w:cs="Times New Roman"/>
      <w:szCs w:val="21"/>
    </w:rPr>
  </w:style>
  <w:style w:type="character" w:customStyle="1" w:styleId="114">
    <w:name w:val="页眉 Char"/>
    <w:basedOn w:val="80"/>
    <w:link w:val="51"/>
    <w:qFormat/>
    <w:uiPriority w:val="99"/>
    <w:rPr>
      <w:rFonts w:ascii="Times New Roman" w:hAnsi="Times New Roman" w:eastAsia="宋体" w:cs="Times New Roman"/>
      <w:sz w:val="18"/>
      <w:szCs w:val="18"/>
    </w:rPr>
  </w:style>
  <w:style w:type="character" w:customStyle="1" w:styleId="115">
    <w:name w:val="页脚 Char"/>
    <w:basedOn w:val="80"/>
    <w:link w:val="50"/>
    <w:qFormat/>
    <w:uiPriority w:val="99"/>
    <w:rPr>
      <w:rFonts w:ascii="Times New Roman" w:hAnsi="Times New Roman" w:eastAsia="宋体" w:cs="Times New Roman"/>
      <w:sz w:val="18"/>
      <w:szCs w:val="18"/>
    </w:rPr>
  </w:style>
  <w:style w:type="character" w:customStyle="1" w:styleId="116">
    <w:name w:val="批注文字 Char"/>
    <w:basedOn w:val="80"/>
    <w:link w:val="24"/>
    <w:qFormat/>
    <w:uiPriority w:val="99"/>
    <w:rPr>
      <w:rFonts w:ascii="Times New Roman" w:hAnsi="Times New Roman" w:eastAsia="宋体" w:cs="Times New Roman"/>
      <w:szCs w:val="24"/>
    </w:rPr>
  </w:style>
  <w:style w:type="character" w:customStyle="1" w:styleId="117">
    <w:name w:val="批注主题 Char"/>
    <w:basedOn w:val="116"/>
    <w:link w:val="75"/>
    <w:qFormat/>
    <w:uiPriority w:val="99"/>
    <w:rPr>
      <w:rFonts w:ascii="Times New Roman" w:hAnsi="Times New Roman" w:eastAsia="宋体" w:cs="Times New Roman"/>
      <w:b/>
      <w:bCs/>
      <w:szCs w:val="20"/>
    </w:rPr>
  </w:style>
  <w:style w:type="character" w:customStyle="1" w:styleId="118">
    <w:name w:val="文档结构图 Char"/>
    <w:basedOn w:val="80"/>
    <w:link w:val="23"/>
    <w:qFormat/>
    <w:uiPriority w:val="0"/>
    <w:rPr>
      <w:rFonts w:ascii="宋体" w:hAnsi="Times New Roman" w:eastAsia="宋体" w:cs="Times New Roman"/>
      <w:sz w:val="18"/>
      <w:szCs w:val="18"/>
    </w:rPr>
  </w:style>
  <w:style w:type="character" w:customStyle="1" w:styleId="119">
    <w:name w:val="正文文本 Char"/>
    <w:basedOn w:val="80"/>
    <w:link w:val="29"/>
    <w:qFormat/>
    <w:uiPriority w:val="0"/>
    <w:rPr>
      <w:rFonts w:ascii="Times New Roman" w:hAnsi="Times New Roman" w:eastAsia="宋体" w:cs="Times New Roman"/>
      <w:sz w:val="28"/>
      <w:szCs w:val="20"/>
    </w:rPr>
  </w:style>
  <w:style w:type="character" w:customStyle="1" w:styleId="120">
    <w:name w:val="正文文本缩进 Char"/>
    <w:basedOn w:val="80"/>
    <w:link w:val="30"/>
    <w:qFormat/>
    <w:uiPriority w:val="0"/>
    <w:rPr>
      <w:rFonts w:ascii="楷体_GB2312" w:hAnsi="Times New Roman" w:eastAsia="楷体_GB2312" w:cs="Times New Roman"/>
      <w:kern w:val="0"/>
      <w:sz w:val="28"/>
      <w:szCs w:val="20"/>
    </w:rPr>
  </w:style>
  <w:style w:type="character" w:customStyle="1" w:styleId="121">
    <w:name w:val="纯文本 Char"/>
    <w:basedOn w:val="80"/>
    <w:link w:val="40"/>
    <w:qFormat/>
    <w:uiPriority w:val="0"/>
    <w:rPr>
      <w:rFonts w:ascii="宋体" w:hAnsi="Courier New" w:eastAsia="宋体" w:cs="Times New Roman"/>
      <w:szCs w:val="20"/>
    </w:rPr>
  </w:style>
  <w:style w:type="character" w:customStyle="1" w:styleId="122">
    <w:name w:val="日期 Char"/>
    <w:basedOn w:val="80"/>
    <w:link w:val="45"/>
    <w:qFormat/>
    <w:uiPriority w:val="99"/>
    <w:rPr>
      <w:rFonts w:ascii="Times New Roman" w:hAnsi="Times New Roman" w:eastAsia="宋体" w:cs="Times New Roman"/>
      <w:szCs w:val="20"/>
    </w:rPr>
  </w:style>
  <w:style w:type="character" w:customStyle="1" w:styleId="123">
    <w:name w:val="正文文本缩进 2 Char"/>
    <w:basedOn w:val="80"/>
    <w:link w:val="46"/>
    <w:qFormat/>
    <w:uiPriority w:val="0"/>
    <w:rPr>
      <w:rFonts w:ascii="仿宋_GB2312" w:hAnsi="宋体" w:eastAsia="仿宋_GB2312" w:cs="Times New Roman"/>
      <w:sz w:val="24"/>
      <w:szCs w:val="24"/>
    </w:rPr>
  </w:style>
  <w:style w:type="character" w:customStyle="1" w:styleId="124">
    <w:name w:val="副标题 Char"/>
    <w:basedOn w:val="80"/>
    <w:link w:val="56"/>
    <w:qFormat/>
    <w:uiPriority w:val="0"/>
    <w:rPr>
      <w:rFonts w:ascii="Cambria" w:hAnsi="Cambria" w:eastAsia="宋体" w:cs="黑体"/>
      <w:b/>
      <w:bCs/>
      <w:kern w:val="28"/>
      <w:sz w:val="32"/>
      <w:szCs w:val="32"/>
    </w:rPr>
  </w:style>
  <w:style w:type="character" w:customStyle="1" w:styleId="125">
    <w:name w:val="正文文本缩进 3 Char"/>
    <w:basedOn w:val="80"/>
    <w:link w:val="62"/>
    <w:qFormat/>
    <w:uiPriority w:val="0"/>
    <w:rPr>
      <w:rFonts w:ascii="Times New Roman" w:hAnsi="Times New Roman" w:eastAsia="宋体" w:cs="Times New Roman"/>
      <w:sz w:val="24"/>
      <w:szCs w:val="20"/>
    </w:rPr>
  </w:style>
  <w:style w:type="character" w:customStyle="1" w:styleId="126">
    <w:name w:val="标题 Char"/>
    <w:basedOn w:val="80"/>
    <w:link w:val="74"/>
    <w:qFormat/>
    <w:uiPriority w:val="99"/>
    <w:rPr>
      <w:rFonts w:ascii="Cambria" w:hAnsi="Cambria" w:eastAsia="宋体" w:cs="Times New Roman"/>
      <w:b/>
      <w:bCs/>
      <w:sz w:val="32"/>
      <w:szCs w:val="32"/>
    </w:rPr>
  </w:style>
  <w:style w:type="paragraph" w:customStyle="1" w:styleId="127">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8">
    <w:name w:val="_Style 36"/>
    <w:basedOn w:val="1"/>
    <w:qFormat/>
    <w:uiPriority w:val="34"/>
    <w:pPr>
      <w:ind w:firstLine="420" w:firstLineChars="200"/>
    </w:pPr>
    <w:rPr>
      <w:szCs w:val="20"/>
    </w:rPr>
  </w:style>
  <w:style w:type="paragraph" w:customStyle="1" w:styleId="129">
    <w:name w:val="Char Char Char Char Char Char Char Char Char Char Char Char Char"/>
    <w:basedOn w:val="23"/>
    <w:qFormat/>
    <w:uiPriority w:val="0"/>
    <w:pPr>
      <w:shd w:val="clear" w:color="auto" w:fill="000080"/>
    </w:pPr>
    <w:rPr>
      <w:rFonts w:ascii="Tahoma" w:hAnsi="Tahoma"/>
      <w:sz w:val="24"/>
      <w:szCs w:val="24"/>
    </w:rPr>
  </w:style>
  <w:style w:type="paragraph" w:customStyle="1" w:styleId="130">
    <w:name w:val="Default"/>
    <w:link w:val="516"/>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32">
    <w:name w:val="新定义正文"/>
    <w:basedOn w:val="1"/>
    <w:qFormat/>
    <w:uiPriority w:val="0"/>
    <w:pPr>
      <w:widowControl/>
    </w:pPr>
    <w:rPr>
      <w:color w:val="000000"/>
      <w:szCs w:val="21"/>
    </w:rPr>
  </w:style>
  <w:style w:type="paragraph" w:customStyle="1" w:styleId="133">
    <w:name w:val="节"/>
    <w:basedOn w:val="3"/>
    <w:qFormat/>
    <w:uiPriority w:val="0"/>
    <w:pPr>
      <w:numPr>
        <w:ilvl w:val="1"/>
        <w:numId w:val="6"/>
      </w:numPr>
      <w:tabs>
        <w:tab w:val="left" w:pos="432"/>
      </w:tabs>
      <w:spacing w:line="240" w:lineRule="auto"/>
    </w:pPr>
    <w:rPr>
      <w:rFonts w:ascii="黑体"/>
      <w:b w:val="0"/>
      <w:sz w:val="28"/>
      <w:szCs w:val="28"/>
    </w:rPr>
  </w:style>
  <w:style w:type="paragraph" w:customStyle="1" w:styleId="134">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5">
    <w:name w:val="列出段落1"/>
    <w:basedOn w:val="1"/>
    <w:qFormat/>
    <w:uiPriority w:val="0"/>
    <w:pPr>
      <w:ind w:firstLine="420" w:firstLineChars="200"/>
    </w:pPr>
    <w:rPr>
      <w:szCs w:val="20"/>
    </w:rPr>
  </w:style>
  <w:style w:type="paragraph" w:customStyle="1" w:styleId="13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37">
    <w:name w:val="Char Char1"/>
    <w:qFormat/>
    <w:uiPriority w:val="0"/>
    <w:rPr>
      <w:rFonts w:ascii="楷体_GB2312" w:eastAsia="楷体_GB2312"/>
      <w:sz w:val="28"/>
    </w:rPr>
  </w:style>
  <w:style w:type="character" w:customStyle="1" w:styleId="138">
    <w:name w:val="Char Char"/>
    <w:qFormat/>
    <w:uiPriority w:val="0"/>
    <w:rPr>
      <w:rFonts w:ascii="宋体"/>
      <w:kern w:val="2"/>
      <w:sz w:val="18"/>
      <w:szCs w:val="18"/>
    </w:rPr>
  </w:style>
  <w:style w:type="paragraph" w:customStyle="1" w:styleId="139">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40">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character" w:customStyle="1" w:styleId="141">
    <w:name w:val="批注文字 Char1"/>
    <w:qFormat/>
    <w:uiPriority w:val="99"/>
    <w:rPr>
      <w:kern w:val="2"/>
      <w:sz w:val="21"/>
    </w:rPr>
  </w:style>
  <w:style w:type="character" w:customStyle="1" w:styleId="142">
    <w:name w:val="正文文本 3 Char"/>
    <w:basedOn w:val="80"/>
    <w:link w:val="26"/>
    <w:qFormat/>
    <w:uiPriority w:val="99"/>
    <w:rPr>
      <w:rFonts w:ascii="Times New Roman" w:hAnsi="Times New Roman" w:eastAsia="宋体" w:cs="Times New Roman"/>
      <w:sz w:val="16"/>
      <w:szCs w:val="16"/>
    </w:rPr>
  </w:style>
  <w:style w:type="paragraph" w:customStyle="1" w:styleId="14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44">
    <w:name w:val="正文00"/>
    <w:basedOn w:val="1"/>
    <w:qFormat/>
    <w:uiPriority w:val="0"/>
    <w:pPr>
      <w:topLinePunct/>
      <w:spacing w:line="360" w:lineRule="auto"/>
      <w:ind w:firstLine="200" w:firstLineChars="200"/>
    </w:pPr>
    <w:rPr>
      <w:sz w:val="24"/>
      <w:szCs w:val="21"/>
    </w:rPr>
  </w:style>
  <w:style w:type="paragraph" w:customStyle="1" w:styleId="145">
    <w:name w:val="修订2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正文1"/>
    <w:link w:val="4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7">
    <w:name w:val="脚注文本 Char"/>
    <w:basedOn w:val="80"/>
    <w:link w:val="59"/>
    <w:qFormat/>
    <w:uiPriority w:val="0"/>
    <w:rPr>
      <w:rFonts w:ascii="Times New Roman" w:hAnsi="Times New Roman" w:eastAsia="宋体" w:cs="Times New Roman"/>
      <w:kern w:val="0"/>
      <w:sz w:val="18"/>
      <w:szCs w:val="20"/>
    </w:rPr>
  </w:style>
  <w:style w:type="paragraph" w:styleId="148">
    <w:name w:val="No Spacing"/>
    <w:qFormat/>
    <w:uiPriority w:val="0"/>
    <w:pPr>
      <w:widowControl w:val="0"/>
      <w:spacing w:line="288" w:lineRule="auto"/>
      <w:contextualSpacing/>
      <w:jc w:val="both"/>
    </w:pPr>
    <w:rPr>
      <w:rFonts w:ascii="Calibri" w:hAnsi="Calibri" w:eastAsia="宋体" w:cs="Times New Roman"/>
      <w:kern w:val="2"/>
      <w:sz w:val="21"/>
      <w:szCs w:val="22"/>
      <w:lang w:val="en-US" w:eastAsia="zh-CN" w:bidi="ar-SA"/>
    </w:rPr>
  </w:style>
  <w:style w:type="paragraph" w:customStyle="1" w:styleId="149">
    <w:name w:val="表格"/>
    <w:basedOn w:val="1"/>
    <w:qFormat/>
    <w:uiPriority w:val="0"/>
    <w:pPr>
      <w:jc w:val="center"/>
    </w:pPr>
    <w:rPr>
      <w:rFonts w:ascii="华文细黑" w:hAnsi="华文细黑"/>
      <w:kern w:val="0"/>
      <w:szCs w:val="20"/>
    </w:rPr>
  </w:style>
  <w:style w:type="paragraph" w:customStyle="1" w:styleId="150">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51">
    <w:name w:val="1"/>
    <w:basedOn w:val="1"/>
    <w:next w:val="1"/>
    <w:qFormat/>
    <w:uiPriority w:val="0"/>
  </w:style>
  <w:style w:type="paragraph" w:customStyle="1" w:styleId="152">
    <w:name w:val="6'"/>
    <w:basedOn w:val="1"/>
    <w:qFormat/>
    <w:uiPriority w:val="0"/>
    <w:pPr>
      <w:autoSpaceDE w:val="0"/>
      <w:autoSpaceDN w:val="0"/>
      <w:adjustRightInd w:val="0"/>
      <w:snapToGrid w:val="0"/>
      <w:spacing w:line="320" w:lineRule="exact"/>
      <w:jc w:val="center"/>
    </w:pPr>
    <w:rPr>
      <w:spacing w:val="20"/>
      <w:kern w:val="28"/>
      <w:szCs w:val="20"/>
    </w:rPr>
  </w:style>
  <w:style w:type="paragraph" w:customStyle="1" w:styleId="153">
    <w:name w:val="表格文字"/>
    <w:basedOn w:val="1"/>
    <w:qFormat/>
    <w:uiPriority w:val="0"/>
    <w:pPr>
      <w:adjustRightInd w:val="0"/>
      <w:spacing w:line="420" w:lineRule="atLeast"/>
      <w:jc w:val="left"/>
    </w:pPr>
    <w:rPr>
      <w:kern w:val="0"/>
      <w:szCs w:val="20"/>
    </w:rPr>
  </w:style>
  <w:style w:type="character" w:customStyle="1" w:styleId="154">
    <w:name w:val="正文文本 3 Char1"/>
    <w:basedOn w:val="80"/>
    <w:semiHidden/>
    <w:qFormat/>
    <w:uiPriority w:val="99"/>
    <w:rPr>
      <w:kern w:val="2"/>
      <w:sz w:val="16"/>
      <w:szCs w:val="16"/>
    </w:rPr>
  </w:style>
  <w:style w:type="character" w:customStyle="1" w:styleId="155">
    <w:name w:val="批注主题 Char1"/>
    <w:basedOn w:val="116"/>
    <w:qFormat/>
    <w:uiPriority w:val="99"/>
    <w:rPr>
      <w:rFonts w:ascii="Times New Roman" w:hAnsi="Times New Roman" w:eastAsia="宋体" w:cs="Times New Roman"/>
      <w:b/>
      <w:bCs/>
      <w:kern w:val="2"/>
      <w:sz w:val="21"/>
      <w:szCs w:val="24"/>
    </w:rPr>
  </w:style>
  <w:style w:type="character" w:customStyle="1" w:styleId="156">
    <w:name w:val="font161"/>
    <w:qFormat/>
    <w:uiPriority w:val="0"/>
    <w:rPr>
      <w:b/>
      <w:bCs/>
      <w:sz w:val="32"/>
      <w:szCs w:val="32"/>
    </w:rPr>
  </w:style>
  <w:style w:type="character" w:customStyle="1" w:styleId="157">
    <w:name w:val="10"/>
    <w:basedOn w:val="80"/>
    <w:qFormat/>
    <w:uiPriority w:val="0"/>
    <w:rPr>
      <w:rFonts w:hint="default" w:ascii="Wingdings" w:hAnsi="Wingdings" w:cs="Wingdings"/>
    </w:rPr>
  </w:style>
  <w:style w:type="character" w:customStyle="1" w:styleId="158">
    <w:name w:val="15"/>
    <w:basedOn w:val="80"/>
    <w:qFormat/>
    <w:uiPriority w:val="0"/>
    <w:rPr>
      <w:rFonts w:hint="default" w:ascii="Wingdings" w:hAnsi="Wingdings" w:cs="Wingdings"/>
      <w:color w:val="0000FF"/>
      <w:u w:val="single"/>
    </w:rPr>
  </w:style>
  <w:style w:type="character" w:customStyle="1" w:styleId="159">
    <w:name w:val="16"/>
    <w:basedOn w:val="80"/>
    <w:qFormat/>
    <w:uiPriority w:val="0"/>
    <w:rPr>
      <w:rFonts w:hint="default" w:ascii="Wingdings" w:hAnsi="Wingdings" w:cs="Wingdings"/>
    </w:rPr>
  </w:style>
  <w:style w:type="paragraph" w:customStyle="1" w:styleId="160">
    <w:name w:val="文档正文"/>
    <w:basedOn w:val="1"/>
    <w:link w:val="403"/>
    <w:qFormat/>
    <w:uiPriority w:val="0"/>
    <w:pPr>
      <w:adjustRightInd w:val="0"/>
      <w:spacing w:line="480" w:lineRule="atLeast"/>
      <w:ind w:firstLine="567"/>
      <w:textAlignment w:val="baseline"/>
    </w:pPr>
    <w:rPr>
      <w:rFonts w:ascii="长城仿宋"/>
      <w:kern w:val="0"/>
      <w:sz w:val="24"/>
    </w:rPr>
  </w:style>
  <w:style w:type="character" w:customStyle="1" w:styleId="161">
    <w:name w:val="列出段落 Char"/>
    <w:link w:val="102"/>
    <w:qFormat/>
    <w:uiPriority w:val="1"/>
    <w:rPr>
      <w:kern w:val="2"/>
      <w:sz w:val="21"/>
      <w:szCs w:val="24"/>
    </w:rPr>
  </w:style>
  <w:style w:type="character" w:customStyle="1" w:styleId="162">
    <w:name w:val="注释标题 Char"/>
    <w:basedOn w:val="80"/>
    <w:link w:val="16"/>
    <w:qFormat/>
    <w:uiPriority w:val="0"/>
    <w:rPr>
      <w:rFonts w:asciiTheme="minorHAnsi" w:hAnsiTheme="minorHAnsi" w:eastAsiaTheme="minorEastAsia" w:cstheme="minorBidi"/>
      <w:kern w:val="2"/>
      <w:sz w:val="28"/>
      <w:szCs w:val="24"/>
    </w:rPr>
  </w:style>
  <w:style w:type="character" w:customStyle="1" w:styleId="163">
    <w:name w:val="电子邮件签名 Char"/>
    <w:basedOn w:val="80"/>
    <w:link w:val="18"/>
    <w:qFormat/>
    <w:uiPriority w:val="0"/>
    <w:rPr>
      <w:rFonts w:asciiTheme="minorHAnsi" w:hAnsiTheme="minorHAnsi" w:eastAsiaTheme="minorEastAsia" w:cstheme="minorBidi"/>
      <w:kern w:val="2"/>
      <w:sz w:val="28"/>
      <w:szCs w:val="24"/>
    </w:rPr>
  </w:style>
  <w:style w:type="character" w:customStyle="1" w:styleId="164">
    <w:name w:val="称呼 Char"/>
    <w:basedOn w:val="80"/>
    <w:link w:val="25"/>
    <w:qFormat/>
    <w:uiPriority w:val="0"/>
    <w:rPr>
      <w:rFonts w:asciiTheme="minorHAnsi" w:hAnsiTheme="minorHAnsi" w:eastAsiaTheme="minorEastAsia" w:cstheme="minorBidi"/>
      <w:kern w:val="2"/>
      <w:sz w:val="28"/>
      <w:szCs w:val="24"/>
    </w:rPr>
  </w:style>
  <w:style w:type="character" w:customStyle="1" w:styleId="165">
    <w:name w:val="结束语 Char"/>
    <w:basedOn w:val="80"/>
    <w:link w:val="27"/>
    <w:qFormat/>
    <w:uiPriority w:val="0"/>
    <w:rPr>
      <w:rFonts w:asciiTheme="minorHAnsi" w:hAnsiTheme="minorHAnsi" w:eastAsiaTheme="minorEastAsia" w:cstheme="minorBidi"/>
      <w:kern w:val="2"/>
      <w:sz w:val="28"/>
      <w:szCs w:val="24"/>
    </w:rPr>
  </w:style>
  <w:style w:type="character" w:customStyle="1" w:styleId="166">
    <w:name w:val="HTML 地址 Char"/>
    <w:basedOn w:val="80"/>
    <w:link w:val="37"/>
    <w:qFormat/>
    <w:uiPriority w:val="0"/>
    <w:rPr>
      <w:rFonts w:asciiTheme="minorHAnsi" w:hAnsiTheme="minorHAnsi" w:eastAsiaTheme="minorEastAsia" w:cstheme="minorBidi"/>
      <w:i/>
      <w:iCs/>
      <w:kern w:val="2"/>
      <w:sz w:val="28"/>
      <w:szCs w:val="24"/>
    </w:rPr>
  </w:style>
  <w:style w:type="character" w:customStyle="1" w:styleId="167">
    <w:name w:val="尾注文本 Char"/>
    <w:basedOn w:val="80"/>
    <w:link w:val="47"/>
    <w:qFormat/>
    <w:uiPriority w:val="99"/>
    <w:rPr>
      <w:rFonts w:asciiTheme="minorHAnsi" w:hAnsiTheme="minorHAnsi" w:eastAsiaTheme="minorEastAsia" w:cstheme="minorBidi"/>
      <w:kern w:val="2"/>
      <w:sz w:val="21"/>
      <w:szCs w:val="22"/>
    </w:rPr>
  </w:style>
  <w:style w:type="character" w:customStyle="1" w:styleId="168">
    <w:name w:val="签名 Char"/>
    <w:basedOn w:val="80"/>
    <w:link w:val="52"/>
    <w:qFormat/>
    <w:uiPriority w:val="0"/>
    <w:rPr>
      <w:rFonts w:asciiTheme="minorHAnsi" w:hAnsiTheme="minorHAnsi" w:eastAsiaTheme="minorEastAsia" w:cstheme="minorBidi"/>
      <w:kern w:val="2"/>
      <w:sz w:val="28"/>
      <w:szCs w:val="24"/>
    </w:rPr>
  </w:style>
  <w:style w:type="character" w:customStyle="1" w:styleId="169">
    <w:name w:val="正文文本 2 Char"/>
    <w:basedOn w:val="80"/>
    <w:link w:val="66"/>
    <w:qFormat/>
    <w:uiPriority w:val="0"/>
    <w:rPr>
      <w:kern w:val="2"/>
      <w:sz w:val="21"/>
      <w:szCs w:val="24"/>
    </w:rPr>
  </w:style>
  <w:style w:type="character" w:customStyle="1" w:styleId="170">
    <w:name w:val="信息标题 Char"/>
    <w:basedOn w:val="80"/>
    <w:link w:val="69"/>
    <w:qFormat/>
    <w:uiPriority w:val="0"/>
    <w:rPr>
      <w:rFonts w:ascii="Arial" w:hAnsi="Arial" w:cs="Arial" w:eastAsiaTheme="minorEastAsia"/>
      <w:kern w:val="2"/>
      <w:sz w:val="28"/>
      <w:szCs w:val="24"/>
      <w:shd w:val="pct20" w:color="auto" w:fill="auto"/>
    </w:rPr>
  </w:style>
  <w:style w:type="character" w:customStyle="1" w:styleId="171">
    <w:name w:val="HTML 预设格式 Char"/>
    <w:basedOn w:val="80"/>
    <w:link w:val="70"/>
    <w:qFormat/>
    <w:uiPriority w:val="0"/>
    <w:rPr>
      <w:rFonts w:ascii="Courier New" w:hAnsi="Courier New" w:cs="Courier New" w:eastAsiaTheme="minorEastAsia"/>
      <w:kern w:val="2"/>
      <w:sz w:val="21"/>
      <w:szCs w:val="22"/>
    </w:rPr>
  </w:style>
  <w:style w:type="character" w:customStyle="1" w:styleId="172">
    <w:name w:val="正文首行缩进 Char"/>
    <w:basedOn w:val="119"/>
    <w:link w:val="76"/>
    <w:qFormat/>
    <w:uiPriority w:val="99"/>
    <w:rPr>
      <w:rFonts w:ascii="Times New Roman" w:hAnsi="Times New Roman" w:eastAsia="宋体" w:cs="Times New Roman"/>
      <w:kern w:val="2"/>
      <w:sz w:val="28"/>
      <w:szCs w:val="20"/>
    </w:rPr>
  </w:style>
  <w:style w:type="character" w:customStyle="1" w:styleId="173">
    <w:name w:val="正文首行缩进 2 Char"/>
    <w:basedOn w:val="120"/>
    <w:link w:val="77"/>
    <w:qFormat/>
    <w:uiPriority w:val="0"/>
    <w:rPr>
      <w:rFonts w:ascii="楷体_GB2312" w:hAnsi="Times New Roman" w:eastAsia="楷体_GB2312" w:cs="Times New Roman"/>
      <w:kern w:val="0"/>
      <w:sz w:val="28"/>
      <w:szCs w:val="20"/>
    </w:rPr>
  </w:style>
  <w:style w:type="character" w:customStyle="1" w:styleId="174">
    <w:name w:val="Unresolved Mention"/>
    <w:basedOn w:val="80"/>
    <w:semiHidden/>
    <w:unhideWhenUsed/>
    <w:qFormat/>
    <w:uiPriority w:val="99"/>
    <w:rPr>
      <w:color w:val="605E5C"/>
      <w:shd w:val="clear" w:color="auto" w:fill="E1DFDD"/>
    </w:rPr>
  </w:style>
  <w:style w:type="character" w:customStyle="1" w:styleId="175">
    <w:name w:val="font11"/>
    <w:basedOn w:val="80"/>
    <w:qFormat/>
    <w:uiPriority w:val="0"/>
    <w:rPr>
      <w:rFonts w:hint="eastAsia" w:ascii="宋体" w:hAnsi="宋体" w:eastAsia="宋体" w:cs="宋体"/>
      <w:color w:val="000000"/>
      <w:sz w:val="20"/>
      <w:szCs w:val="20"/>
      <w:u w:val="none"/>
    </w:rPr>
  </w:style>
  <w:style w:type="paragraph" w:customStyle="1" w:styleId="176">
    <w:name w:val="彩色列表 - 强调文字颜色 11"/>
    <w:basedOn w:val="1"/>
    <w:qFormat/>
    <w:uiPriority w:val="99"/>
    <w:pPr>
      <w:ind w:firstLine="420" w:firstLineChars="200"/>
    </w:pPr>
    <w:rPr>
      <w:rFonts w:ascii="Calibri" w:hAnsi="Calibri"/>
      <w:szCs w:val="22"/>
    </w:rPr>
  </w:style>
  <w:style w:type="character" w:customStyle="1" w:styleId="177">
    <w:name w:val="font01"/>
    <w:basedOn w:val="80"/>
    <w:qFormat/>
    <w:uiPriority w:val="0"/>
    <w:rPr>
      <w:rFonts w:hint="eastAsia" w:ascii="宋体" w:hAnsi="宋体" w:eastAsia="宋体" w:cs="宋体"/>
      <w:color w:val="000000"/>
      <w:sz w:val="20"/>
      <w:szCs w:val="20"/>
      <w:u w:val="none"/>
    </w:rPr>
  </w:style>
  <w:style w:type="paragraph" w:customStyle="1" w:styleId="178">
    <w:name w:val="正文文本缩进 31"/>
    <w:basedOn w:val="1"/>
    <w:qFormat/>
    <w:uiPriority w:val="99"/>
    <w:pPr>
      <w:ind w:firstLine="480"/>
    </w:pPr>
    <w:rPr>
      <w:rFonts w:eastAsia="仿宋_GB2312"/>
      <w:szCs w:val="20"/>
    </w:rPr>
  </w:style>
  <w:style w:type="character" w:customStyle="1" w:styleId="179">
    <w:name w:val="font31"/>
    <w:basedOn w:val="80"/>
    <w:qFormat/>
    <w:uiPriority w:val="0"/>
    <w:rPr>
      <w:rFonts w:hint="eastAsia" w:ascii="宋体" w:hAnsi="宋体" w:eastAsia="宋体" w:cs="宋体"/>
      <w:b/>
      <w:color w:val="FF0000"/>
      <w:sz w:val="20"/>
      <w:szCs w:val="20"/>
      <w:u w:val="none"/>
    </w:rPr>
  </w:style>
  <w:style w:type="character" w:customStyle="1" w:styleId="180">
    <w:name w:val="font41"/>
    <w:basedOn w:val="80"/>
    <w:qFormat/>
    <w:uiPriority w:val="0"/>
    <w:rPr>
      <w:rFonts w:hint="eastAsia" w:ascii="宋体" w:hAnsi="宋体" w:eastAsia="宋体" w:cs="宋体"/>
      <w:b/>
      <w:color w:val="FF0000"/>
      <w:sz w:val="20"/>
      <w:szCs w:val="20"/>
      <w:u w:val="none"/>
    </w:rPr>
  </w:style>
  <w:style w:type="character" w:customStyle="1" w:styleId="181">
    <w:name w:val="font21"/>
    <w:basedOn w:val="80"/>
    <w:qFormat/>
    <w:uiPriority w:val="0"/>
    <w:rPr>
      <w:rFonts w:hint="eastAsia" w:ascii="宋体" w:hAnsi="宋体" w:eastAsia="宋体" w:cs="宋体"/>
      <w:color w:val="000000"/>
      <w:sz w:val="20"/>
      <w:szCs w:val="20"/>
      <w:u w:val="none"/>
    </w:rPr>
  </w:style>
  <w:style w:type="paragraph" w:customStyle="1" w:styleId="182">
    <w:name w:val="正文文本缩进1"/>
    <w:basedOn w:val="1"/>
    <w:qFormat/>
    <w:uiPriority w:val="0"/>
    <w:pPr>
      <w:spacing w:line="360" w:lineRule="auto"/>
      <w:ind w:firstLine="560" w:firstLineChars="200"/>
    </w:pPr>
    <w:rPr>
      <w:rFonts w:ascii="宋体" w:hAnsi="宋体"/>
      <w:sz w:val="28"/>
      <w:szCs w:val="28"/>
    </w:rPr>
  </w:style>
  <w:style w:type="character" w:customStyle="1" w:styleId="183">
    <w:name w:val="font51"/>
    <w:basedOn w:val="80"/>
    <w:qFormat/>
    <w:uiPriority w:val="0"/>
    <w:rPr>
      <w:rFonts w:hint="eastAsia" w:ascii="宋体" w:hAnsi="宋体" w:eastAsia="宋体" w:cs="宋体"/>
      <w:color w:val="000000"/>
      <w:sz w:val="20"/>
      <w:szCs w:val="20"/>
      <w:u w:val="none"/>
    </w:rPr>
  </w:style>
  <w:style w:type="paragraph" w:customStyle="1" w:styleId="184">
    <w:name w:val="样式5"/>
    <w:basedOn w:val="185"/>
    <w:qFormat/>
    <w:uiPriority w:val="0"/>
  </w:style>
  <w:style w:type="paragraph" w:customStyle="1" w:styleId="185">
    <w:name w:val="文件标题1"/>
    <w:basedOn w:val="1"/>
    <w:qFormat/>
    <w:uiPriority w:val="0"/>
    <w:pPr>
      <w:numPr>
        <w:ilvl w:val="0"/>
        <w:numId w:val="7"/>
      </w:numPr>
      <w:jc w:val="left"/>
      <w:outlineLvl w:val="0"/>
    </w:pPr>
    <w:rPr>
      <w:b/>
    </w:rPr>
  </w:style>
  <w:style w:type="paragraph" w:customStyle="1" w:styleId="186">
    <w:name w:val="文件标题1.1"/>
    <w:basedOn w:val="1"/>
    <w:qFormat/>
    <w:uiPriority w:val="0"/>
    <w:pPr>
      <w:numPr>
        <w:ilvl w:val="1"/>
        <w:numId w:val="7"/>
      </w:numPr>
      <w:jc w:val="left"/>
      <w:outlineLvl w:val="1"/>
    </w:pPr>
    <w:rPr>
      <w:b/>
    </w:rPr>
  </w:style>
  <w:style w:type="paragraph" w:customStyle="1" w:styleId="187">
    <w:name w:val="样式7"/>
    <w:basedOn w:val="188"/>
    <w:qFormat/>
    <w:uiPriority w:val="0"/>
  </w:style>
  <w:style w:type="paragraph" w:customStyle="1" w:styleId="188">
    <w:name w:val="文件标题1.1.1"/>
    <w:basedOn w:val="186"/>
    <w:qFormat/>
    <w:uiPriority w:val="0"/>
    <w:pPr>
      <w:numPr>
        <w:ilvl w:val="0"/>
        <w:numId w:val="0"/>
      </w:numPr>
      <w:outlineLvl w:val="2"/>
    </w:pPr>
    <w:rPr>
      <w:b w:val="0"/>
    </w:rPr>
  </w:style>
  <w:style w:type="paragraph" w:customStyle="1" w:styleId="189">
    <w:name w:val="列表段落1"/>
    <w:basedOn w:val="1"/>
    <w:link w:val="688"/>
    <w:qFormat/>
    <w:uiPriority w:val="34"/>
    <w:pPr>
      <w:ind w:firstLine="420" w:firstLineChars="200"/>
    </w:pPr>
    <w:rPr>
      <w:rFonts w:asciiTheme="minorHAnsi" w:hAnsiTheme="minorHAnsi" w:cstheme="minorBidi"/>
      <w:szCs w:val="22"/>
    </w:rPr>
  </w:style>
  <w:style w:type="paragraph" w:customStyle="1" w:styleId="190">
    <w:name w:val="样式1"/>
    <w:basedOn w:val="1"/>
    <w:qFormat/>
    <w:uiPriority w:val="0"/>
    <w:pPr>
      <w:widowControl/>
      <w:overflowPunct w:val="0"/>
      <w:autoSpaceDE w:val="0"/>
      <w:autoSpaceDN w:val="0"/>
      <w:adjustRightInd w:val="0"/>
      <w:spacing w:after="80"/>
      <w:ind w:firstLine="570"/>
      <w:textAlignment w:val="baseline"/>
    </w:pPr>
    <w:rPr>
      <w:kern w:val="0"/>
      <w:sz w:val="28"/>
      <w:szCs w:val="20"/>
    </w:rPr>
  </w:style>
  <w:style w:type="paragraph" w:customStyle="1" w:styleId="191">
    <w:name w:val="表内文字"/>
    <w:qFormat/>
    <w:uiPriority w:val="0"/>
    <w:pPr>
      <w:spacing w:before="60" w:after="60"/>
    </w:pPr>
    <w:rPr>
      <w:rFonts w:ascii="Times New Roman" w:hAnsi="Times New Roman" w:eastAsia="宋体" w:cs="Times New Roman"/>
      <w:kern w:val="2"/>
      <w:sz w:val="21"/>
      <w:szCs w:val="21"/>
      <w:lang w:val="en-US" w:eastAsia="zh-CN" w:bidi="ar-SA"/>
    </w:rPr>
  </w:style>
  <w:style w:type="paragraph" w:customStyle="1" w:styleId="192">
    <w:name w:val="石墨文档正文"/>
    <w:qFormat/>
    <w:uiPriority w:val="0"/>
    <w:pPr>
      <w:spacing w:line="398" w:lineRule="auto"/>
      <w:ind w:firstLine="200" w:firstLineChars="200"/>
      <w:jc w:val="both"/>
    </w:pPr>
    <w:rPr>
      <w:rFonts w:ascii="Times New Roman" w:hAnsi="Times New Roman" w:cs="微软雅黑" w:eastAsiaTheme="minorEastAsia"/>
      <w:sz w:val="21"/>
      <w:szCs w:val="24"/>
      <w:lang w:val="en-US" w:eastAsia="zh-CN" w:bidi="ar-SA"/>
    </w:rPr>
  </w:style>
  <w:style w:type="character" w:customStyle="1" w:styleId="193">
    <w:name w:val="fontstyle01"/>
    <w:qFormat/>
    <w:uiPriority w:val="0"/>
    <w:rPr>
      <w:rFonts w:hint="eastAsia" w:ascii="仿宋" w:hAnsi="仿宋" w:eastAsia="仿宋"/>
      <w:color w:val="000000"/>
      <w:sz w:val="24"/>
      <w:szCs w:val="24"/>
    </w:rPr>
  </w:style>
  <w:style w:type="paragraph" w:customStyle="1" w:styleId="194">
    <w:name w:val="表头文字"/>
    <w:basedOn w:val="1"/>
    <w:qFormat/>
    <w:uiPriority w:val="0"/>
    <w:pPr>
      <w:keepNext/>
      <w:widowControl/>
      <w:spacing w:before="40" w:after="40"/>
      <w:jc w:val="center"/>
    </w:pPr>
    <w:rPr>
      <w:rFonts w:ascii="Arial" w:hAnsi="Arial" w:cs="Arial"/>
      <w:b/>
      <w:sz w:val="18"/>
      <w:szCs w:val="20"/>
    </w:rPr>
  </w:style>
  <w:style w:type="paragraph" w:customStyle="1" w:styleId="195">
    <w:name w:val="表格内文字"/>
    <w:basedOn w:val="1"/>
    <w:qFormat/>
    <w:uiPriority w:val="0"/>
    <w:pPr>
      <w:keepNext/>
      <w:keepLines/>
      <w:widowControl/>
      <w:spacing w:before="40" w:after="40"/>
    </w:pPr>
    <w:rPr>
      <w:rFonts w:ascii="Arial" w:hAnsi="Arial" w:cs="Arial"/>
      <w:sz w:val="18"/>
      <w:szCs w:val="18"/>
    </w:rPr>
  </w:style>
  <w:style w:type="paragraph" w:customStyle="1" w:styleId="196">
    <w:name w:val="样式17"/>
    <w:basedOn w:val="20"/>
    <w:qFormat/>
    <w:uiPriority w:val="0"/>
    <w:pPr>
      <w:widowControl/>
      <w:numPr>
        <w:ilvl w:val="0"/>
        <w:numId w:val="8"/>
      </w:numPr>
      <w:tabs>
        <w:tab w:val="left" w:pos="360"/>
        <w:tab w:val="left" w:pos="2000"/>
      </w:tabs>
      <w:spacing w:before="120" w:after="360"/>
      <w:ind w:left="1259" w:firstLine="0"/>
      <w:jc w:val="center"/>
    </w:pPr>
    <w:rPr>
      <w:rFonts w:ascii="Arial" w:hAnsi="Arial" w:eastAsia="宋体" w:cs="Arial"/>
      <w:bCs/>
      <w:sz w:val="18"/>
      <w:lang w:eastAsia="en-US"/>
    </w:rPr>
  </w:style>
  <w:style w:type="paragraph" w:customStyle="1" w:styleId="197">
    <w:name w:val="赵继军正文"/>
    <w:basedOn w:val="1"/>
    <w:qFormat/>
    <w:uiPriority w:val="0"/>
    <w:pPr>
      <w:spacing w:line="560" w:lineRule="exact"/>
      <w:ind w:firstLine="200" w:firstLineChars="200"/>
      <w:jc w:val="left"/>
    </w:pPr>
    <w:rPr>
      <w:rFonts w:ascii="仿宋_GB2312" w:eastAsia="仿宋_GB2312" w:hAnsiTheme="minorHAnsi" w:cstheme="minorBidi"/>
      <w:sz w:val="32"/>
    </w:rPr>
  </w:style>
  <w:style w:type="paragraph" w:customStyle="1" w:styleId="198">
    <w:name w:val="封面表格文本"/>
    <w:basedOn w:val="1"/>
    <w:qFormat/>
    <w:uiPriority w:val="0"/>
    <w:pPr>
      <w:autoSpaceDE w:val="0"/>
      <w:autoSpaceDN w:val="0"/>
      <w:adjustRightInd w:val="0"/>
      <w:jc w:val="center"/>
    </w:pPr>
    <w:rPr>
      <w:b/>
      <w:bCs/>
      <w:kern w:val="0"/>
      <w:sz w:val="24"/>
    </w:rPr>
  </w:style>
  <w:style w:type="paragraph" w:customStyle="1" w:styleId="199">
    <w:name w:val="封面文档标题"/>
    <w:basedOn w:val="1"/>
    <w:qFormat/>
    <w:uiPriority w:val="0"/>
    <w:pPr>
      <w:autoSpaceDE w:val="0"/>
      <w:autoSpaceDN w:val="0"/>
      <w:adjustRightInd w:val="0"/>
      <w:spacing w:line="360" w:lineRule="auto"/>
      <w:jc w:val="center"/>
    </w:pPr>
    <w:rPr>
      <w:rFonts w:ascii="Arial" w:hAnsi="Arial" w:cs="Arial"/>
      <w:b/>
      <w:bCs/>
      <w:kern w:val="0"/>
      <w:sz w:val="56"/>
      <w:szCs w:val="56"/>
    </w:rPr>
  </w:style>
  <w:style w:type="paragraph" w:customStyle="1" w:styleId="200">
    <w:name w:val="表头样式"/>
    <w:basedOn w:val="1"/>
    <w:qFormat/>
    <w:uiPriority w:val="0"/>
    <w:pPr>
      <w:autoSpaceDE w:val="0"/>
      <w:autoSpaceDN w:val="0"/>
      <w:adjustRightInd w:val="0"/>
      <w:jc w:val="center"/>
    </w:pPr>
    <w:rPr>
      <w:b/>
      <w:bCs/>
      <w:kern w:val="0"/>
      <w:szCs w:val="21"/>
    </w:rPr>
  </w:style>
  <w:style w:type="paragraph" w:customStyle="1" w:styleId="201">
    <w:name w:val="表格文本"/>
    <w:basedOn w:val="1"/>
    <w:qFormat/>
    <w:uiPriority w:val="0"/>
    <w:pPr>
      <w:tabs>
        <w:tab w:val="decimal" w:pos="0"/>
      </w:tabs>
      <w:autoSpaceDE w:val="0"/>
      <w:autoSpaceDN w:val="0"/>
      <w:adjustRightInd w:val="0"/>
      <w:jc w:val="left"/>
    </w:pPr>
    <w:rPr>
      <w:kern w:val="0"/>
      <w:szCs w:val="21"/>
    </w:rPr>
  </w:style>
  <w:style w:type="paragraph" w:customStyle="1" w:styleId="202">
    <w:name w:val="目录"/>
    <w:basedOn w:val="1"/>
    <w:qFormat/>
    <w:uiPriority w:val="99"/>
    <w:pPr>
      <w:pageBreakBefore/>
      <w:autoSpaceDE w:val="0"/>
      <w:autoSpaceDN w:val="0"/>
      <w:adjustRightInd w:val="0"/>
      <w:spacing w:before="300" w:after="150" w:line="360" w:lineRule="auto"/>
      <w:jc w:val="center"/>
    </w:pPr>
    <w:rPr>
      <w:rFonts w:ascii="黑体" w:eastAsia="黑体"/>
      <w:kern w:val="0"/>
      <w:sz w:val="30"/>
      <w:szCs w:val="30"/>
    </w:rPr>
  </w:style>
  <w:style w:type="character" w:customStyle="1" w:styleId="203">
    <w:name w:val="color-green"/>
    <w:basedOn w:val="80"/>
    <w:qFormat/>
    <w:uiPriority w:val="0"/>
    <w:rPr>
      <w:color w:val="02B202"/>
      <w:sz w:val="19"/>
      <w:szCs w:val="19"/>
      <w:bdr w:val="single" w:color="02B202" w:sz="6" w:space="0"/>
      <w:shd w:val="clear" w:color="auto" w:fill="FFFFFF"/>
    </w:rPr>
  </w:style>
  <w:style w:type="character" w:customStyle="1" w:styleId="204">
    <w:name w:val="tit"/>
    <w:basedOn w:val="80"/>
    <w:qFormat/>
    <w:uiPriority w:val="0"/>
    <w:rPr>
      <w:color w:val="FFFFFF"/>
    </w:rPr>
  </w:style>
  <w:style w:type="character" w:customStyle="1" w:styleId="205">
    <w:name w:val="color-blue"/>
    <w:basedOn w:val="80"/>
    <w:qFormat/>
    <w:uiPriority w:val="0"/>
    <w:rPr>
      <w:color w:val="2272DE"/>
      <w:sz w:val="19"/>
      <w:szCs w:val="19"/>
      <w:bdr w:val="single" w:color="2272DE" w:sz="6" w:space="0"/>
      <w:shd w:val="clear" w:color="auto" w:fill="FFFFFF"/>
    </w:rPr>
  </w:style>
  <w:style w:type="character" w:customStyle="1" w:styleId="206">
    <w:name w:val="color-red"/>
    <w:basedOn w:val="80"/>
    <w:qFormat/>
    <w:uiPriority w:val="0"/>
    <w:rPr>
      <w:color w:val="FF6E40"/>
      <w:sz w:val="19"/>
      <w:szCs w:val="19"/>
      <w:bdr w:val="single" w:color="FF6E40" w:sz="6" w:space="0"/>
      <w:shd w:val="clear" w:color="auto" w:fill="FFFFFF"/>
    </w:rPr>
  </w:style>
  <w:style w:type="character" w:customStyle="1" w:styleId="207">
    <w:name w:val="btn_xlxz"/>
    <w:basedOn w:val="80"/>
    <w:qFormat/>
    <w:uiPriority w:val="0"/>
  </w:style>
  <w:style w:type="character" w:customStyle="1" w:styleId="208">
    <w:name w:val="first-child"/>
    <w:basedOn w:val="80"/>
    <w:qFormat/>
    <w:uiPriority w:val="0"/>
  </w:style>
  <w:style w:type="paragraph" w:customStyle="1" w:styleId="209">
    <w:name w:val="注"/>
    <w:basedOn w:val="144"/>
    <w:qFormat/>
    <w:uiPriority w:val="0"/>
    <w:pPr>
      <w:spacing w:line="288" w:lineRule="auto"/>
      <w:ind w:firstLine="0" w:firstLineChars="0"/>
    </w:pPr>
    <w:rPr>
      <w:sz w:val="20"/>
    </w:rPr>
  </w:style>
  <w:style w:type="paragraph" w:customStyle="1" w:styleId="210">
    <w:name w:val="ZB5"/>
    <w:basedOn w:val="1"/>
    <w:qFormat/>
    <w:uiPriority w:val="99"/>
    <w:pPr>
      <w:spacing w:line="400" w:lineRule="exact"/>
      <w:ind w:firstLine="200" w:firstLineChars="200"/>
    </w:pPr>
    <w:rPr>
      <w:rFonts w:ascii="Consolas" w:hAnsi="Consolas"/>
      <w:kern w:val="0"/>
      <w:sz w:val="22"/>
      <w:szCs w:val="20"/>
    </w:rPr>
  </w:style>
  <w:style w:type="paragraph" w:customStyle="1" w:styleId="211">
    <w:name w:val="ZB3"/>
    <w:basedOn w:val="1"/>
    <w:qFormat/>
    <w:uiPriority w:val="99"/>
    <w:pPr>
      <w:spacing w:before="120" w:after="120" w:line="400" w:lineRule="exact"/>
      <w:ind w:left="440" w:hanging="440" w:hangingChars="200"/>
      <w:outlineLvl w:val="2"/>
    </w:pPr>
    <w:rPr>
      <w:rFonts w:ascii="Consolas" w:hAnsi="Consolas" w:cs="TimesNewRomanPSMT"/>
      <w:kern w:val="0"/>
      <w:sz w:val="22"/>
      <w:szCs w:val="20"/>
    </w:rPr>
  </w:style>
  <w:style w:type="paragraph" w:customStyle="1" w:styleId="212">
    <w:name w:val="msolistparagraph"/>
    <w:basedOn w:val="1"/>
    <w:qFormat/>
    <w:uiPriority w:val="0"/>
    <w:pPr>
      <w:ind w:firstLine="420" w:firstLineChars="200"/>
    </w:pPr>
  </w:style>
  <w:style w:type="paragraph" w:customStyle="1" w:styleId="213">
    <w:name w:val="正文文本缩进 21"/>
    <w:basedOn w:val="1"/>
    <w:qFormat/>
    <w:uiPriority w:val="99"/>
    <w:pPr>
      <w:spacing w:line="360" w:lineRule="auto"/>
      <w:ind w:firstLine="420" w:firstLineChars="200"/>
    </w:pPr>
  </w:style>
  <w:style w:type="paragraph" w:customStyle="1" w:styleId="214">
    <w:name w:val="Table Paragraph"/>
    <w:basedOn w:val="1"/>
    <w:qFormat/>
    <w:uiPriority w:val="1"/>
    <w:rPr>
      <w:rFonts w:ascii="宋体" w:hAnsi="宋体" w:cs="宋体"/>
      <w:lang w:val="zh-CN" w:bidi="zh-CN"/>
    </w:rPr>
  </w:style>
  <w:style w:type="paragraph" w:customStyle="1" w:styleId="215">
    <w:name w:val="p0"/>
    <w:basedOn w:val="1"/>
    <w:qFormat/>
    <w:uiPriority w:val="0"/>
    <w:pPr>
      <w:widowControl/>
    </w:pPr>
    <w:rPr>
      <w:kern w:val="0"/>
      <w:szCs w:val="21"/>
    </w:rPr>
  </w:style>
  <w:style w:type="table" w:customStyle="1" w:styleId="216">
    <w:name w:val="网格型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7">
    <w:name w:val="标题 1 Char1"/>
    <w:basedOn w:val="80"/>
    <w:qFormat/>
    <w:uiPriority w:val="0"/>
    <w:rPr>
      <w:rFonts w:ascii="Times New Roman" w:hAnsi="Times New Roman" w:eastAsia="宋体" w:cs="Times New Roman"/>
      <w:b/>
      <w:bCs/>
      <w:kern w:val="44"/>
      <w:sz w:val="44"/>
      <w:szCs w:val="44"/>
    </w:rPr>
  </w:style>
  <w:style w:type="character" w:customStyle="1" w:styleId="218">
    <w:name w:val="批注框文本 Char1"/>
    <w:basedOn w:val="80"/>
    <w:semiHidden/>
    <w:qFormat/>
    <w:uiPriority w:val="0"/>
    <w:rPr>
      <w:rFonts w:ascii="Times New Roman" w:hAnsi="Times New Roman" w:eastAsia="宋体" w:cs="Times New Roman"/>
      <w:sz w:val="18"/>
      <w:szCs w:val="18"/>
    </w:rPr>
  </w:style>
  <w:style w:type="character" w:customStyle="1" w:styleId="219">
    <w:name w:val="标题 2 Char1"/>
    <w:basedOn w:val="80"/>
    <w:qFormat/>
    <w:uiPriority w:val="9"/>
    <w:rPr>
      <w:rFonts w:ascii="Arial" w:hAnsi="Arial" w:eastAsia="黑体" w:cs="Times New Roman"/>
      <w:b/>
      <w:bCs/>
      <w:sz w:val="32"/>
      <w:szCs w:val="32"/>
    </w:rPr>
  </w:style>
  <w:style w:type="character" w:customStyle="1" w:styleId="220">
    <w:name w:val="标题 3 Char1"/>
    <w:basedOn w:val="80"/>
    <w:qFormat/>
    <w:uiPriority w:val="0"/>
    <w:rPr>
      <w:rFonts w:ascii="黑体" w:hAnsi="Times New Roman" w:eastAsia="黑体" w:cs="Times New Roman"/>
      <w:kern w:val="0"/>
      <w:sz w:val="28"/>
      <w:szCs w:val="20"/>
    </w:rPr>
  </w:style>
  <w:style w:type="character" w:customStyle="1" w:styleId="221">
    <w:name w:val="标题 4 Char1"/>
    <w:basedOn w:val="80"/>
    <w:qFormat/>
    <w:uiPriority w:val="0"/>
    <w:rPr>
      <w:rFonts w:ascii="Times New Roman" w:hAnsi="Times New Roman" w:eastAsia="宋体" w:cs="Times New Roman"/>
      <w:sz w:val="28"/>
      <w:szCs w:val="20"/>
    </w:rPr>
  </w:style>
  <w:style w:type="character" w:customStyle="1" w:styleId="222">
    <w:name w:val="标题 5 Char1"/>
    <w:basedOn w:val="80"/>
    <w:qFormat/>
    <w:uiPriority w:val="0"/>
    <w:rPr>
      <w:rFonts w:ascii="Times New Roman" w:hAnsi="Times New Roman" w:eastAsia="宋体" w:cs="Times New Roman"/>
      <w:b/>
      <w:bCs/>
      <w:sz w:val="28"/>
      <w:szCs w:val="28"/>
    </w:rPr>
  </w:style>
  <w:style w:type="character" w:customStyle="1" w:styleId="223">
    <w:name w:val="标题 6 Char1"/>
    <w:basedOn w:val="80"/>
    <w:qFormat/>
    <w:uiPriority w:val="0"/>
    <w:rPr>
      <w:rFonts w:ascii="Arial" w:hAnsi="Arial" w:eastAsia="黑体" w:cs="Times New Roman"/>
      <w:b/>
      <w:bCs/>
      <w:sz w:val="24"/>
      <w:szCs w:val="24"/>
    </w:rPr>
  </w:style>
  <w:style w:type="character" w:customStyle="1" w:styleId="224">
    <w:name w:val="标题 7 Char1"/>
    <w:basedOn w:val="80"/>
    <w:qFormat/>
    <w:uiPriority w:val="0"/>
    <w:rPr>
      <w:rFonts w:ascii="Times New Roman" w:hAnsi="Times New Roman" w:eastAsia="宋体" w:cs="Times New Roman"/>
      <w:b/>
      <w:bCs/>
      <w:sz w:val="24"/>
      <w:szCs w:val="24"/>
    </w:rPr>
  </w:style>
  <w:style w:type="character" w:customStyle="1" w:styleId="225">
    <w:name w:val="标题 8 Char1"/>
    <w:basedOn w:val="80"/>
    <w:qFormat/>
    <w:uiPriority w:val="0"/>
    <w:rPr>
      <w:rFonts w:ascii="Arial" w:hAnsi="Arial" w:eastAsia="黑体" w:cs="Times New Roman"/>
      <w:sz w:val="24"/>
      <w:szCs w:val="24"/>
    </w:rPr>
  </w:style>
  <w:style w:type="character" w:customStyle="1" w:styleId="226">
    <w:name w:val="标题 9 Char1"/>
    <w:basedOn w:val="80"/>
    <w:qFormat/>
    <w:uiPriority w:val="0"/>
    <w:rPr>
      <w:rFonts w:ascii="Arial" w:hAnsi="Arial" w:eastAsia="黑体" w:cs="Times New Roman"/>
      <w:szCs w:val="21"/>
    </w:rPr>
  </w:style>
  <w:style w:type="character" w:customStyle="1" w:styleId="227">
    <w:name w:val="页眉 Char1"/>
    <w:basedOn w:val="80"/>
    <w:qFormat/>
    <w:uiPriority w:val="99"/>
    <w:rPr>
      <w:rFonts w:ascii="Times New Roman" w:hAnsi="Times New Roman" w:eastAsia="宋体" w:cs="Times New Roman"/>
      <w:sz w:val="18"/>
      <w:szCs w:val="18"/>
    </w:rPr>
  </w:style>
  <w:style w:type="character" w:customStyle="1" w:styleId="228">
    <w:name w:val="页脚 Char1"/>
    <w:basedOn w:val="80"/>
    <w:qFormat/>
    <w:uiPriority w:val="99"/>
    <w:rPr>
      <w:rFonts w:ascii="Times New Roman" w:hAnsi="Times New Roman" w:eastAsia="宋体" w:cs="Times New Roman"/>
      <w:sz w:val="18"/>
      <w:szCs w:val="18"/>
    </w:rPr>
  </w:style>
  <w:style w:type="character" w:customStyle="1" w:styleId="229">
    <w:name w:val="批注文字 Char2"/>
    <w:basedOn w:val="80"/>
    <w:qFormat/>
    <w:uiPriority w:val="0"/>
    <w:rPr>
      <w:rFonts w:ascii="Times New Roman" w:hAnsi="Times New Roman" w:eastAsia="宋体" w:cs="Times New Roman"/>
      <w:szCs w:val="24"/>
    </w:rPr>
  </w:style>
  <w:style w:type="character" w:customStyle="1" w:styleId="230">
    <w:name w:val="文档结构图 Char1"/>
    <w:basedOn w:val="80"/>
    <w:semiHidden/>
    <w:qFormat/>
    <w:uiPriority w:val="99"/>
    <w:rPr>
      <w:rFonts w:ascii="宋体" w:hAnsi="Times New Roman" w:eastAsia="宋体" w:cs="Times New Roman"/>
      <w:sz w:val="18"/>
      <w:szCs w:val="18"/>
    </w:rPr>
  </w:style>
  <w:style w:type="character" w:customStyle="1" w:styleId="231">
    <w:name w:val="正文文本 Char1"/>
    <w:basedOn w:val="80"/>
    <w:qFormat/>
    <w:uiPriority w:val="99"/>
    <w:rPr>
      <w:rFonts w:ascii="Times New Roman" w:hAnsi="Times New Roman" w:eastAsia="宋体" w:cs="Times New Roman"/>
      <w:sz w:val="28"/>
      <w:szCs w:val="20"/>
    </w:rPr>
  </w:style>
  <w:style w:type="character" w:customStyle="1" w:styleId="232">
    <w:name w:val="正文文本缩进 Char1"/>
    <w:basedOn w:val="80"/>
    <w:qFormat/>
    <w:uiPriority w:val="99"/>
    <w:rPr>
      <w:rFonts w:ascii="楷体_GB2312" w:hAnsi="Times New Roman" w:eastAsia="楷体_GB2312" w:cs="Times New Roman"/>
      <w:kern w:val="0"/>
      <w:sz w:val="28"/>
      <w:szCs w:val="20"/>
    </w:rPr>
  </w:style>
  <w:style w:type="character" w:customStyle="1" w:styleId="233">
    <w:name w:val="纯文本 Char1"/>
    <w:basedOn w:val="80"/>
    <w:qFormat/>
    <w:uiPriority w:val="99"/>
    <w:rPr>
      <w:rFonts w:ascii="宋体" w:hAnsi="Courier New" w:eastAsia="宋体" w:cs="Times New Roman"/>
      <w:szCs w:val="20"/>
    </w:rPr>
  </w:style>
  <w:style w:type="character" w:customStyle="1" w:styleId="234">
    <w:name w:val="日期 Char1"/>
    <w:basedOn w:val="80"/>
    <w:qFormat/>
    <w:uiPriority w:val="99"/>
    <w:rPr>
      <w:rFonts w:ascii="Times New Roman" w:hAnsi="Times New Roman" w:eastAsia="宋体" w:cs="Times New Roman"/>
      <w:szCs w:val="20"/>
    </w:rPr>
  </w:style>
  <w:style w:type="character" w:customStyle="1" w:styleId="235">
    <w:name w:val="正文文本缩进 2 Char1"/>
    <w:basedOn w:val="80"/>
    <w:qFormat/>
    <w:uiPriority w:val="99"/>
    <w:rPr>
      <w:rFonts w:ascii="仿宋_GB2312" w:hAnsi="宋体" w:eastAsia="仿宋_GB2312" w:cs="Times New Roman"/>
      <w:sz w:val="24"/>
      <w:szCs w:val="24"/>
    </w:rPr>
  </w:style>
  <w:style w:type="character" w:customStyle="1" w:styleId="236">
    <w:name w:val="副标题 Char1"/>
    <w:basedOn w:val="80"/>
    <w:qFormat/>
    <w:uiPriority w:val="11"/>
    <w:rPr>
      <w:rFonts w:ascii="Cambria" w:hAnsi="Cambria" w:eastAsia="宋体" w:cs="黑体"/>
      <w:b/>
      <w:bCs/>
      <w:kern w:val="28"/>
      <w:sz w:val="32"/>
      <w:szCs w:val="32"/>
    </w:rPr>
  </w:style>
  <w:style w:type="character" w:customStyle="1" w:styleId="237">
    <w:name w:val="正文文本缩进 3 Char1"/>
    <w:basedOn w:val="80"/>
    <w:qFormat/>
    <w:uiPriority w:val="99"/>
    <w:rPr>
      <w:rFonts w:ascii="Times New Roman" w:hAnsi="Times New Roman" w:eastAsia="宋体" w:cs="Times New Roman"/>
      <w:sz w:val="24"/>
      <w:szCs w:val="20"/>
    </w:rPr>
  </w:style>
  <w:style w:type="character" w:customStyle="1" w:styleId="238">
    <w:name w:val="标题 Char1"/>
    <w:basedOn w:val="80"/>
    <w:qFormat/>
    <w:uiPriority w:val="10"/>
    <w:rPr>
      <w:rFonts w:ascii="Cambria" w:hAnsi="Cambria" w:eastAsia="宋体" w:cs="Times New Roman"/>
      <w:b/>
      <w:bCs/>
      <w:sz w:val="32"/>
      <w:szCs w:val="32"/>
    </w:rPr>
  </w:style>
  <w:style w:type="character" w:customStyle="1" w:styleId="239">
    <w:name w:val="未处理的提及1"/>
    <w:basedOn w:val="80"/>
    <w:semiHidden/>
    <w:unhideWhenUsed/>
    <w:qFormat/>
    <w:uiPriority w:val="99"/>
    <w:rPr>
      <w:color w:val="605E5C"/>
      <w:shd w:val="clear" w:color="auto" w:fill="E1DFDD"/>
    </w:rPr>
  </w:style>
  <w:style w:type="paragraph" w:customStyle="1" w:styleId="240">
    <w:name w:val="标题 55"/>
    <w:basedOn w:val="7"/>
    <w:qFormat/>
    <w:uiPriority w:val="0"/>
    <w:pPr>
      <w:topLinePunct/>
    </w:pPr>
    <w:rPr>
      <w:rFonts w:ascii="方正黑体简体" w:eastAsia="方正黑体简体"/>
      <w:b w:val="0"/>
      <w:bCs w:val="0"/>
    </w:rPr>
  </w:style>
  <w:style w:type="paragraph" w:customStyle="1" w:styleId="241">
    <w:name w:val="标题 10"/>
    <w:basedOn w:val="3"/>
    <w:qFormat/>
    <w:uiPriority w:val="0"/>
    <w:pPr>
      <w:keepNext w:val="0"/>
      <w:keepLines w:val="0"/>
      <w:topLinePunct/>
      <w:spacing w:before="0" w:after="0" w:line="377" w:lineRule="auto"/>
      <w:jc w:val="center"/>
    </w:pPr>
    <w:rPr>
      <w:rFonts w:ascii="Times New Roman" w:hAnsi="Times New Roman" w:eastAsia="宋体"/>
      <w:bCs w:val="0"/>
      <w:kern w:val="0"/>
      <w:sz w:val="24"/>
      <w:szCs w:val="24"/>
    </w:rPr>
  </w:style>
  <w:style w:type="paragraph" w:customStyle="1" w:styleId="242">
    <w:name w:val="ml2"/>
    <w:basedOn w:val="53"/>
    <w:qFormat/>
    <w:uiPriority w:val="0"/>
    <w:pPr>
      <w:topLinePunct/>
      <w:ind w:left="420" w:leftChars="200"/>
    </w:pPr>
    <w:rPr>
      <w:rFonts w:ascii="Times New Roman" w:hAnsi="Times New Roman"/>
      <w:sz w:val="24"/>
    </w:rPr>
  </w:style>
  <w:style w:type="paragraph" w:customStyle="1" w:styleId="243">
    <w:name w:val="正文0"/>
    <w:basedOn w:val="1"/>
    <w:qFormat/>
    <w:uiPriority w:val="0"/>
    <w:pPr>
      <w:topLinePunct/>
      <w:adjustRightInd w:val="0"/>
      <w:snapToGrid w:val="0"/>
      <w:spacing w:line="440" w:lineRule="exact"/>
      <w:ind w:left="420" w:leftChars="200" w:firstLine="428" w:firstLineChars="200"/>
    </w:pPr>
    <w:rPr>
      <w:spacing w:val="2"/>
      <w:sz w:val="24"/>
      <w:szCs w:val="21"/>
      <w:u w:val="single"/>
    </w:rPr>
  </w:style>
  <w:style w:type="paragraph" w:customStyle="1" w:styleId="244">
    <w:name w:val="ml"/>
    <w:basedOn w:val="53"/>
    <w:qFormat/>
    <w:uiPriority w:val="0"/>
    <w:pPr>
      <w:topLinePunct/>
    </w:pPr>
    <w:rPr>
      <w:rFonts w:ascii="Times New Roman" w:hAnsi="Times New Roman" w:eastAsia="黑体"/>
      <w:bCs/>
      <w:kern w:val="0"/>
      <w:sz w:val="24"/>
    </w:rPr>
  </w:style>
  <w:style w:type="paragraph" w:customStyle="1" w:styleId="245">
    <w:name w:val="列表段落2"/>
    <w:basedOn w:val="1"/>
    <w:unhideWhenUsed/>
    <w:qFormat/>
    <w:uiPriority w:val="34"/>
    <w:pPr>
      <w:topLinePunct/>
      <w:ind w:firstLine="420" w:firstLineChars="200"/>
    </w:pPr>
    <w:rPr>
      <w:sz w:val="24"/>
    </w:rPr>
  </w:style>
  <w:style w:type="paragraph" w:customStyle="1" w:styleId="246">
    <w:name w:val="标题 60"/>
    <w:basedOn w:val="8"/>
    <w:qFormat/>
    <w:uiPriority w:val="0"/>
    <w:pPr>
      <w:topLinePunct/>
      <w:spacing w:line="319" w:lineRule="auto"/>
      <w:ind w:firstLine="200" w:firstLineChars="200"/>
    </w:pPr>
    <w:rPr>
      <w:b w:val="0"/>
      <w:bCs w:val="0"/>
    </w:rPr>
  </w:style>
  <w:style w:type="paragraph" w:customStyle="1" w:styleId="247">
    <w:name w:val="ml3"/>
    <w:basedOn w:val="53"/>
    <w:qFormat/>
    <w:uiPriority w:val="0"/>
    <w:pPr>
      <w:topLinePunct/>
      <w:ind w:left="840" w:leftChars="400"/>
    </w:pPr>
    <w:rPr>
      <w:rFonts w:ascii="Times New Roman" w:hAnsi="Times New Roman"/>
      <w:sz w:val="24"/>
    </w:rPr>
  </w:style>
  <w:style w:type="paragraph" w:customStyle="1" w:styleId="248">
    <w:name w:val="myp4"/>
    <w:basedOn w:val="1"/>
    <w:qFormat/>
    <w:uiPriority w:val="0"/>
    <w:pPr>
      <w:topLinePunct/>
      <w:spacing w:before="100" w:beforeAutospacing="1" w:after="100" w:afterAutospacing="1"/>
      <w:jc w:val="center"/>
    </w:pPr>
    <w:rPr>
      <w:b/>
      <w:bCs/>
      <w:sz w:val="40"/>
      <w:szCs w:val="40"/>
    </w:rPr>
  </w:style>
  <w:style w:type="paragraph" w:customStyle="1" w:styleId="249">
    <w:name w:val="二层"/>
    <w:basedOn w:val="3"/>
    <w:qFormat/>
    <w:uiPriority w:val="0"/>
    <w:pPr>
      <w:keepLines w:val="0"/>
      <w:autoSpaceDE w:val="0"/>
      <w:autoSpaceDN w:val="0"/>
      <w:adjustRightInd w:val="0"/>
      <w:spacing w:before="120" w:after="120" w:line="360" w:lineRule="auto"/>
      <w:jc w:val="left"/>
    </w:pPr>
    <w:rPr>
      <w:rFonts w:ascii="黑体" w:hAnsi="Times New Roman"/>
    </w:rPr>
  </w:style>
  <w:style w:type="paragraph" w:customStyle="1" w:styleId="250">
    <w:name w:val="正文格式1"/>
    <w:basedOn w:val="1"/>
    <w:qFormat/>
    <w:uiPriority w:val="0"/>
    <w:pPr>
      <w:widowControl/>
      <w:ind w:firstLine="340"/>
    </w:pPr>
    <w:rPr>
      <w:rFonts w:ascii="宋体" w:hAnsi="宋体"/>
      <w:kern w:val="0"/>
      <w:sz w:val="28"/>
      <w:szCs w:val="28"/>
    </w:rPr>
  </w:style>
  <w:style w:type="paragraph" w:customStyle="1" w:styleId="251">
    <w:name w:val="p15"/>
    <w:basedOn w:val="1"/>
    <w:qFormat/>
    <w:uiPriority w:val="0"/>
    <w:pPr>
      <w:widowControl/>
      <w:spacing w:line="360" w:lineRule="auto"/>
      <w:ind w:firstLine="420"/>
      <w:jc w:val="left"/>
    </w:pPr>
    <w:rPr>
      <w:color w:val="000000"/>
      <w:kern w:val="0"/>
      <w:sz w:val="24"/>
    </w:rPr>
  </w:style>
  <w:style w:type="paragraph" w:customStyle="1" w:styleId="252">
    <w:name w:val="4级标题"/>
    <w:basedOn w:val="6"/>
    <w:qFormat/>
    <w:uiPriority w:val="0"/>
    <w:pPr>
      <w:adjustRightInd w:val="0"/>
      <w:snapToGrid w:val="0"/>
      <w:spacing w:line="360" w:lineRule="auto"/>
      <w:ind w:left="1986" w:firstLine="200" w:firstLineChars="200"/>
    </w:pPr>
    <w:rPr>
      <w:rFonts w:ascii="宋体" w:hAnsi="宋体"/>
    </w:rPr>
  </w:style>
  <w:style w:type="paragraph" w:customStyle="1" w:styleId="253">
    <w:name w:val="编号"/>
    <w:basedOn w:val="1"/>
    <w:next w:val="1"/>
    <w:qFormat/>
    <w:uiPriority w:val="0"/>
    <w:pPr>
      <w:ind w:firstLine="420" w:firstLineChars="200"/>
    </w:pPr>
  </w:style>
  <w:style w:type="table" w:customStyle="1" w:styleId="254">
    <w:name w:val="网格型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5">
    <w:name w:val="font71"/>
    <w:basedOn w:val="80"/>
    <w:qFormat/>
    <w:uiPriority w:val="0"/>
    <w:rPr>
      <w:rFonts w:hint="eastAsia" w:ascii="宋体" w:hAnsi="宋体" w:eastAsia="宋体"/>
      <w:b/>
      <w:bCs/>
      <w:color w:val="FF0000"/>
      <w:sz w:val="20"/>
      <w:szCs w:val="20"/>
      <w:u w:val="none"/>
    </w:rPr>
  </w:style>
  <w:style w:type="character" w:customStyle="1" w:styleId="256">
    <w:name w:val="font81"/>
    <w:basedOn w:val="80"/>
    <w:qFormat/>
    <w:uiPriority w:val="0"/>
    <w:rPr>
      <w:rFonts w:hint="eastAsia" w:ascii="宋体" w:hAnsi="宋体" w:eastAsia="宋体"/>
      <w:color w:val="FF0000"/>
      <w:sz w:val="20"/>
      <w:szCs w:val="20"/>
      <w:u w:val="none"/>
    </w:rPr>
  </w:style>
  <w:style w:type="table" w:customStyle="1" w:styleId="257">
    <w:name w:val="网格型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
    <w:name w:val="网格型1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
    <w:name w:val="网格型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
    <w:name w:val="网格型31"/>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61">
    <w:name w:val="文档结构图 字符"/>
    <w:qFormat/>
    <w:uiPriority w:val="0"/>
    <w:rPr>
      <w:rFonts w:ascii="宋体"/>
      <w:kern w:val="2"/>
      <w:sz w:val="18"/>
      <w:szCs w:val="18"/>
    </w:rPr>
  </w:style>
  <w:style w:type="character" w:customStyle="1" w:styleId="262">
    <w:name w:val="页脚 字符"/>
    <w:qFormat/>
    <w:uiPriority w:val="0"/>
    <w:rPr>
      <w:kern w:val="2"/>
      <w:sz w:val="18"/>
      <w:szCs w:val="18"/>
    </w:rPr>
  </w:style>
  <w:style w:type="character" w:customStyle="1" w:styleId="263">
    <w:name w:val="正文缩进 Char"/>
    <w:qFormat/>
    <w:locked/>
    <w:uiPriority w:val="0"/>
  </w:style>
  <w:style w:type="character" w:customStyle="1" w:styleId="264">
    <w:name w:val="页眉 字符"/>
    <w:qFormat/>
    <w:uiPriority w:val="99"/>
    <w:rPr>
      <w:sz w:val="18"/>
      <w:szCs w:val="18"/>
    </w:rPr>
  </w:style>
  <w:style w:type="character" w:customStyle="1" w:styleId="265">
    <w:name w:val="页脚 字符1"/>
    <w:qFormat/>
    <w:uiPriority w:val="0"/>
    <w:rPr>
      <w:sz w:val="18"/>
      <w:szCs w:val="18"/>
    </w:rPr>
  </w:style>
  <w:style w:type="character" w:customStyle="1" w:styleId="266">
    <w:name w:val="批注框文本 字符"/>
    <w:qFormat/>
    <w:uiPriority w:val="0"/>
    <w:rPr>
      <w:sz w:val="18"/>
      <w:szCs w:val="18"/>
    </w:rPr>
  </w:style>
  <w:style w:type="character" w:customStyle="1" w:styleId="267">
    <w:name w:val="文档结构图 字符1"/>
    <w:qFormat/>
    <w:uiPriority w:val="0"/>
    <w:rPr>
      <w:rFonts w:ascii="宋体"/>
      <w:kern w:val="2"/>
      <w:sz w:val="18"/>
      <w:szCs w:val="18"/>
    </w:rPr>
  </w:style>
  <w:style w:type="character" w:customStyle="1" w:styleId="268">
    <w:name w:val="标题 字符"/>
    <w:qFormat/>
    <w:uiPriority w:val="0"/>
    <w:rPr>
      <w:rFonts w:ascii="Cambria" w:hAnsi="Cambria" w:cs="Times New Roman"/>
      <w:b/>
      <w:bCs/>
      <w:kern w:val="2"/>
      <w:sz w:val="32"/>
      <w:szCs w:val="32"/>
    </w:rPr>
  </w:style>
  <w:style w:type="character" w:customStyle="1" w:styleId="269">
    <w:name w:val="标题 2 字符1"/>
    <w:qFormat/>
    <w:uiPriority w:val="0"/>
    <w:rPr>
      <w:rFonts w:ascii="Cambria" w:hAnsi="Cambria" w:eastAsia="宋体" w:cs="Times New Roman"/>
      <w:b/>
      <w:bCs/>
      <w:kern w:val="2"/>
      <w:sz w:val="32"/>
      <w:szCs w:val="32"/>
    </w:rPr>
  </w:style>
  <w:style w:type="character" w:customStyle="1" w:styleId="270">
    <w:name w:val="标题 1 字符"/>
    <w:qFormat/>
    <w:uiPriority w:val="0"/>
    <w:rPr>
      <w:b/>
      <w:bCs/>
      <w:kern w:val="44"/>
      <w:sz w:val="44"/>
      <w:szCs w:val="44"/>
    </w:rPr>
  </w:style>
  <w:style w:type="character" w:customStyle="1" w:styleId="271">
    <w:name w:val="正文缩进 字符"/>
    <w:qFormat/>
    <w:uiPriority w:val="0"/>
    <w:rPr>
      <w:kern w:val="2"/>
      <w:sz w:val="21"/>
      <w:szCs w:val="22"/>
    </w:rPr>
  </w:style>
  <w:style w:type="character" w:customStyle="1" w:styleId="272">
    <w:name w:val="明显参考1"/>
    <w:qFormat/>
    <w:uiPriority w:val="0"/>
    <w:rPr>
      <w:b/>
      <w:bCs/>
      <w:smallCaps/>
      <w:color w:val="5B9BD5"/>
      <w:spacing w:val="5"/>
    </w:rPr>
  </w:style>
  <w:style w:type="character" w:customStyle="1" w:styleId="273">
    <w:name w:val="页眉 字符1"/>
    <w:qFormat/>
    <w:uiPriority w:val="0"/>
    <w:rPr>
      <w:kern w:val="2"/>
      <w:sz w:val="18"/>
      <w:szCs w:val="18"/>
    </w:rPr>
  </w:style>
  <w:style w:type="character" w:customStyle="1" w:styleId="274">
    <w:name w:val="页脚 字符2"/>
    <w:qFormat/>
    <w:uiPriority w:val="0"/>
    <w:rPr>
      <w:kern w:val="2"/>
      <w:sz w:val="18"/>
      <w:szCs w:val="18"/>
    </w:rPr>
  </w:style>
  <w:style w:type="character" w:customStyle="1" w:styleId="275">
    <w:name w:val="正文缩进 Char1"/>
    <w:link w:val="5"/>
    <w:qFormat/>
    <w:uiPriority w:val="99"/>
    <w:rPr>
      <w:rFonts w:ascii="楷体_GB2312" w:eastAsia="楷体_GB2312"/>
      <w:sz w:val="28"/>
    </w:rPr>
  </w:style>
  <w:style w:type="character" w:customStyle="1" w:styleId="276">
    <w:name w:val="日期 字符"/>
    <w:qFormat/>
    <w:locked/>
    <w:uiPriority w:val="99"/>
    <w:rPr>
      <w:rFonts w:ascii="Times New Roman" w:hAnsi="Times New Roman"/>
      <w:sz w:val="21"/>
      <w:szCs w:val="21"/>
    </w:rPr>
  </w:style>
  <w:style w:type="character" w:customStyle="1" w:styleId="277">
    <w:name w:val="正文文本缩进 2 字符"/>
    <w:qFormat/>
    <w:locked/>
    <w:uiPriority w:val="0"/>
    <w:rPr>
      <w:rFonts w:ascii="Times New Roman" w:hAnsi="Times New Roman"/>
      <w:sz w:val="21"/>
      <w:szCs w:val="21"/>
    </w:rPr>
  </w:style>
  <w:style w:type="character" w:customStyle="1" w:styleId="278">
    <w:name w:val="纯文本 字符"/>
    <w:qFormat/>
    <w:locked/>
    <w:uiPriority w:val="0"/>
    <w:rPr>
      <w:rFonts w:ascii="宋体" w:hAnsi="Courier New" w:cs="宋体"/>
      <w:sz w:val="21"/>
      <w:szCs w:val="21"/>
    </w:rPr>
  </w:style>
  <w:style w:type="character" w:customStyle="1" w:styleId="279">
    <w:name w:val="标题 字符1"/>
    <w:qFormat/>
    <w:locked/>
    <w:uiPriority w:val="0"/>
    <w:rPr>
      <w:rFonts w:ascii="Cambria" w:hAnsi="Cambria" w:cs="Cambria"/>
      <w:b/>
      <w:bCs/>
      <w:sz w:val="32"/>
      <w:szCs w:val="32"/>
    </w:rPr>
  </w:style>
  <w:style w:type="character" w:customStyle="1" w:styleId="280">
    <w:name w:val="纯文本 Char11"/>
    <w:qFormat/>
    <w:uiPriority w:val="0"/>
    <w:rPr>
      <w:rFonts w:ascii="宋体" w:hAnsi="Courier New" w:cs="Courier New"/>
      <w:kern w:val="2"/>
      <w:sz w:val="21"/>
      <w:szCs w:val="21"/>
    </w:rPr>
  </w:style>
  <w:style w:type="character" w:customStyle="1" w:styleId="281">
    <w:name w:val="批注主题 Char2"/>
    <w:qFormat/>
    <w:locked/>
    <w:uiPriority w:val="0"/>
    <w:rPr>
      <w:rFonts w:ascii="Times New Roman" w:hAnsi="Times New Roman" w:eastAsia="宋体" w:cs="Times New Roman"/>
      <w:b/>
      <w:bCs/>
      <w:sz w:val="24"/>
      <w:szCs w:val="24"/>
    </w:rPr>
  </w:style>
  <w:style w:type="character" w:customStyle="1" w:styleId="282">
    <w:name w:val="正文缩进 字符1"/>
    <w:qFormat/>
    <w:uiPriority w:val="0"/>
    <w:rPr>
      <w:kern w:val="2"/>
      <w:sz w:val="21"/>
      <w:szCs w:val="22"/>
    </w:rPr>
  </w:style>
  <w:style w:type="character" w:customStyle="1" w:styleId="283">
    <w:name w:val="标题 1 字符1"/>
    <w:qFormat/>
    <w:uiPriority w:val="0"/>
    <w:rPr>
      <w:b/>
      <w:bCs/>
      <w:kern w:val="44"/>
      <w:sz w:val="44"/>
      <w:szCs w:val="44"/>
    </w:rPr>
  </w:style>
  <w:style w:type="character" w:customStyle="1" w:styleId="284">
    <w:name w:val="标题 2 字符2"/>
    <w:qFormat/>
    <w:uiPriority w:val="0"/>
    <w:rPr>
      <w:rFonts w:ascii="Arial" w:hAnsi="Arial" w:eastAsia="宋体"/>
      <w:b/>
      <w:kern w:val="2"/>
      <w:sz w:val="28"/>
      <w:lang w:val="en-US" w:eastAsia="zh-CN" w:bidi="ar-SA"/>
    </w:rPr>
  </w:style>
  <w:style w:type="character" w:customStyle="1" w:styleId="285">
    <w:name w:val="正文文本缩进 字符"/>
    <w:qFormat/>
    <w:uiPriority w:val="0"/>
    <w:rPr>
      <w:rFonts w:eastAsia="楷体_GB2312"/>
      <w:kern w:val="2"/>
      <w:sz w:val="30"/>
    </w:rPr>
  </w:style>
  <w:style w:type="paragraph" w:customStyle="1" w:styleId="286">
    <w:name w:val="Char"/>
    <w:basedOn w:val="1"/>
    <w:qFormat/>
    <w:uiPriority w:val="0"/>
    <w:rPr>
      <w:rFonts w:ascii="Tahoma" w:hAnsi="Tahoma"/>
      <w:sz w:val="24"/>
      <w:szCs w:val="20"/>
    </w:rPr>
  </w:style>
  <w:style w:type="character" w:customStyle="1" w:styleId="287">
    <w:name w:val="页眉 字符2"/>
    <w:qFormat/>
    <w:uiPriority w:val="0"/>
    <w:rPr>
      <w:kern w:val="2"/>
      <w:sz w:val="18"/>
      <w:szCs w:val="18"/>
    </w:rPr>
  </w:style>
  <w:style w:type="character" w:customStyle="1" w:styleId="288">
    <w:name w:val="页脚 字符3"/>
    <w:qFormat/>
    <w:uiPriority w:val="0"/>
    <w:rPr>
      <w:kern w:val="2"/>
      <w:sz w:val="18"/>
      <w:szCs w:val="18"/>
    </w:rPr>
  </w:style>
  <w:style w:type="character" w:customStyle="1" w:styleId="289">
    <w:name w:val="正文缩进 字符2"/>
    <w:qFormat/>
    <w:uiPriority w:val="0"/>
    <w:rPr>
      <w:rFonts w:ascii="Calibri" w:hAnsi="Calibri"/>
      <w:kern w:val="2"/>
      <w:sz w:val="21"/>
      <w:szCs w:val="22"/>
    </w:rPr>
  </w:style>
  <w:style w:type="character" w:customStyle="1" w:styleId="290">
    <w:name w:val="文档结构图 字符2"/>
    <w:qFormat/>
    <w:uiPriority w:val="0"/>
    <w:rPr>
      <w:rFonts w:ascii="宋体"/>
      <w:kern w:val="2"/>
      <w:sz w:val="18"/>
      <w:szCs w:val="18"/>
    </w:rPr>
  </w:style>
  <w:style w:type="character" w:customStyle="1" w:styleId="291">
    <w:name w:val="纯文本 字符1"/>
    <w:qFormat/>
    <w:uiPriority w:val="0"/>
    <w:rPr>
      <w:rFonts w:ascii="宋体" w:hAnsi="Courier New" w:eastAsia="宋体" w:cs="Courier New"/>
      <w:kern w:val="2"/>
      <w:sz w:val="21"/>
      <w:szCs w:val="21"/>
    </w:rPr>
  </w:style>
  <w:style w:type="character" w:customStyle="1" w:styleId="292">
    <w:name w:val="明显强调1"/>
    <w:qFormat/>
    <w:uiPriority w:val="0"/>
    <w:rPr>
      <w:i/>
      <w:iCs/>
      <w:color w:val="5B9BD5"/>
    </w:rPr>
  </w:style>
  <w:style w:type="character" w:customStyle="1" w:styleId="293">
    <w:name w:val="日期 字符1"/>
    <w:qFormat/>
    <w:uiPriority w:val="0"/>
    <w:rPr>
      <w:rFonts w:ascii="Calibri" w:hAnsi="Calibri"/>
      <w:kern w:val="2"/>
      <w:sz w:val="21"/>
      <w:szCs w:val="21"/>
    </w:rPr>
  </w:style>
  <w:style w:type="character" w:customStyle="1" w:styleId="294">
    <w:name w:val="批注框文本 字符1"/>
    <w:qFormat/>
    <w:uiPriority w:val="99"/>
    <w:rPr>
      <w:rFonts w:ascii="Calibri" w:hAnsi="Calibri"/>
      <w:kern w:val="2"/>
      <w:sz w:val="18"/>
      <w:szCs w:val="18"/>
    </w:rPr>
  </w:style>
  <w:style w:type="character" w:customStyle="1" w:styleId="295">
    <w:name w:val="weby11"/>
    <w:qFormat/>
    <w:uiPriority w:val="0"/>
    <w:rPr>
      <w:sz w:val="18"/>
      <w:szCs w:val="18"/>
    </w:rPr>
  </w:style>
  <w:style w:type="paragraph" w:customStyle="1" w:styleId="296">
    <w:name w:val="样式 首行缩进:  2 字符"/>
    <w:basedOn w:val="1"/>
    <w:qFormat/>
    <w:uiPriority w:val="0"/>
    <w:pPr>
      <w:widowControl/>
    </w:pPr>
    <w:rPr>
      <w:rFonts w:ascii="宋体" w:hAnsi="宋体" w:cs="宋体"/>
      <w:bCs/>
      <w:kern w:val="0"/>
      <w:sz w:val="24"/>
    </w:rPr>
  </w:style>
  <w:style w:type="character" w:customStyle="1" w:styleId="297">
    <w:name w:val="纯文本 Char12"/>
    <w:qFormat/>
    <w:uiPriority w:val="0"/>
    <w:rPr>
      <w:rFonts w:ascii="宋体" w:hAnsi="Courier New" w:eastAsia="宋体" w:cs="Courier New"/>
      <w:kern w:val="2"/>
      <w:sz w:val="21"/>
      <w:szCs w:val="21"/>
      <w:lang w:val="en-US" w:eastAsia="zh-CN" w:bidi="ar-SA"/>
    </w:rPr>
  </w:style>
  <w:style w:type="paragraph" w:customStyle="1" w:styleId="298">
    <w:name w:val="方案正文"/>
    <w:basedOn w:val="1"/>
    <w:link w:val="299"/>
    <w:qFormat/>
    <w:uiPriority w:val="0"/>
    <w:pPr>
      <w:spacing w:before="156" w:line="360" w:lineRule="auto"/>
      <w:ind w:firstLine="359" w:firstLineChars="171"/>
      <w:jc w:val="left"/>
    </w:pPr>
    <w:rPr>
      <w:rFonts w:ascii="Arial" w:hAnsi="Arial" w:cs="宋体"/>
      <w:sz w:val="24"/>
      <w:szCs w:val="21"/>
    </w:rPr>
  </w:style>
  <w:style w:type="character" w:customStyle="1" w:styleId="299">
    <w:name w:val="方案正文 Char"/>
    <w:basedOn w:val="80"/>
    <w:link w:val="298"/>
    <w:qFormat/>
    <w:uiPriority w:val="0"/>
    <w:rPr>
      <w:rFonts w:ascii="Arial" w:hAnsi="Arial" w:cs="宋体"/>
      <w:kern w:val="2"/>
      <w:sz w:val="24"/>
      <w:szCs w:val="21"/>
    </w:rPr>
  </w:style>
  <w:style w:type="character" w:customStyle="1" w:styleId="300">
    <w:name w:val="unnamed11"/>
    <w:qFormat/>
    <w:uiPriority w:val="0"/>
  </w:style>
  <w:style w:type="character" w:customStyle="1" w:styleId="301">
    <w:name w:val="copyright"/>
    <w:basedOn w:val="80"/>
    <w:qFormat/>
    <w:uiPriority w:val="0"/>
    <w:rPr>
      <w:rFonts w:ascii="Tahoma" w:hAnsi="Tahoma"/>
      <w:sz w:val="24"/>
    </w:rPr>
  </w:style>
  <w:style w:type="character" w:customStyle="1" w:styleId="302">
    <w:name w:val="num2"/>
    <w:qFormat/>
    <w:uiPriority w:val="0"/>
    <w:rPr>
      <w:rFonts w:hint="default" w:ascii="Arial" w:hAnsi="Arial" w:cs="Arial"/>
      <w:color w:val="FF6600"/>
      <w:sz w:val="16"/>
      <w:szCs w:val="16"/>
    </w:rPr>
  </w:style>
  <w:style w:type="character" w:customStyle="1" w:styleId="303">
    <w:name w:val="arrow2"/>
    <w:basedOn w:val="80"/>
    <w:qFormat/>
    <w:uiPriority w:val="0"/>
    <w:rPr>
      <w:rFonts w:ascii="Tahoma" w:hAnsi="Tahoma"/>
      <w:sz w:val="24"/>
    </w:rPr>
  </w:style>
  <w:style w:type="character" w:customStyle="1" w:styleId="304">
    <w:name w:val="Char Char4"/>
    <w:qFormat/>
    <w:uiPriority w:val="0"/>
    <w:rPr>
      <w:rFonts w:ascii="Tahoma" w:hAnsi="Tahoma" w:eastAsia="宋体"/>
      <w:kern w:val="2"/>
      <w:sz w:val="18"/>
      <w:szCs w:val="18"/>
      <w:lang w:val="en-US" w:eastAsia="zh-CN" w:bidi="ar-SA"/>
    </w:rPr>
  </w:style>
  <w:style w:type="character" w:customStyle="1" w:styleId="305">
    <w:name w:val="arrow4"/>
    <w:basedOn w:val="80"/>
    <w:qFormat/>
    <w:uiPriority w:val="0"/>
    <w:rPr>
      <w:rFonts w:ascii="Tahoma" w:hAnsi="Tahoma"/>
      <w:sz w:val="24"/>
    </w:rPr>
  </w:style>
  <w:style w:type="character" w:customStyle="1" w:styleId="306">
    <w:name w:val="para1"/>
    <w:qFormat/>
    <w:uiPriority w:val="0"/>
    <w:rPr>
      <w:rFonts w:hint="default" w:ascii="Arial" w:hAnsi="Arial" w:cs="Arial"/>
      <w:sz w:val="18"/>
      <w:szCs w:val="18"/>
    </w:rPr>
  </w:style>
  <w:style w:type="character" w:customStyle="1" w:styleId="307">
    <w:name w:val="Char Char2"/>
    <w:qFormat/>
    <w:uiPriority w:val="0"/>
    <w:rPr>
      <w:rFonts w:ascii="华文仿宋" w:hAnsi="华文仿宋" w:eastAsia="华文仿宋"/>
      <w:color w:val="000000"/>
      <w:sz w:val="32"/>
      <w:szCs w:val="32"/>
      <w:lang w:val="en-US" w:eastAsia="zh-CN" w:bidi="ar-SA"/>
    </w:rPr>
  </w:style>
  <w:style w:type="character" w:customStyle="1" w:styleId="308">
    <w:name w:val="tmpztreemove_arrow"/>
    <w:basedOn w:val="80"/>
    <w:qFormat/>
    <w:uiPriority w:val="0"/>
    <w:rPr>
      <w:rFonts w:ascii="Tahoma" w:hAnsi="Tahoma"/>
      <w:sz w:val="24"/>
    </w:rPr>
  </w:style>
  <w:style w:type="character" w:customStyle="1" w:styleId="309">
    <w:name w:val="selected"/>
    <w:qFormat/>
    <w:uiPriority w:val="0"/>
    <w:rPr>
      <w:rFonts w:ascii="Tahoma" w:hAnsi="Tahoma"/>
      <w:sz w:val="24"/>
      <w:shd w:val="clear" w:color="auto" w:fill="B00006"/>
    </w:rPr>
  </w:style>
  <w:style w:type="character" w:customStyle="1" w:styleId="310">
    <w:name w:val="arrow3"/>
    <w:basedOn w:val="80"/>
    <w:qFormat/>
    <w:uiPriority w:val="0"/>
    <w:rPr>
      <w:rFonts w:ascii="Tahoma" w:hAnsi="Tahoma"/>
      <w:sz w:val="24"/>
    </w:rPr>
  </w:style>
  <w:style w:type="character" w:customStyle="1" w:styleId="311">
    <w:name w:val="button16"/>
    <w:basedOn w:val="80"/>
    <w:qFormat/>
    <w:uiPriority w:val="0"/>
    <w:rPr>
      <w:rFonts w:ascii="Tahoma" w:hAnsi="Tahoma"/>
      <w:sz w:val="24"/>
    </w:rPr>
  </w:style>
  <w:style w:type="character" w:customStyle="1" w:styleId="312">
    <w:name w:val="Char Char Char Char Char"/>
    <w:link w:val="313"/>
    <w:qFormat/>
    <w:uiPriority w:val="0"/>
    <w:rPr>
      <w:rFonts w:ascii="Verdana" w:hAnsi="Verdana"/>
      <w:sz w:val="24"/>
      <w:lang w:eastAsia="en-US"/>
    </w:rPr>
  </w:style>
  <w:style w:type="paragraph" w:customStyle="1" w:styleId="313">
    <w:name w:val="Char Char Char Char"/>
    <w:basedOn w:val="1"/>
    <w:link w:val="312"/>
    <w:qFormat/>
    <w:uiPriority w:val="0"/>
    <w:pPr>
      <w:widowControl/>
      <w:spacing w:after="160" w:line="240" w:lineRule="exact"/>
      <w:jc w:val="left"/>
    </w:pPr>
    <w:rPr>
      <w:rFonts w:ascii="Verdana" w:hAnsi="Verdana"/>
      <w:kern w:val="0"/>
      <w:sz w:val="24"/>
      <w:szCs w:val="20"/>
      <w:lang w:eastAsia="en-US"/>
    </w:rPr>
  </w:style>
  <w:style w:type="character" w:customStyle="1" w:styleId="314">
    <w:name w:val="custext1"/>
    <w:basedOn w:val="80"/>
    <w:qFormat/>
    <w:uiPriority w:val="0"/>
    <w:rPr>
      <w:rFonts w:ascii="Tahoma" w:hAnsi="Tahoma"/>
      <w:sz w:val="24"/>
    </w:rPr>
  </w:style>
  <w:style w:type="character" w:customStyle="1" w:styleId="315">
    <w:name w:val="unnamed1"/>
    <w:qFormat/>
    <w:uiPriority w:val="0"/>
  </w:style>
  <w:style w:type="character" w:customStyle="1" w:styleId="316">
    <w:name w:val="num3"/>
    <w:qFormat/>
    <w:uiPriority w:val="0"/>
    <w:rPr>
      <w:rFonts w:ascii="Tahoma" w:hAnsi="Tahoma"/>
      <w:color w:val="FFFFFF"/>
      <w:sz w:val="24"/>
      <w:shd w:val="clear" w:color="auto" w:fill="FF6600"/>
    </w:rPr>
  </w:style>
  <w:style w:type="character" w:customStyle="1" w:styleId="317">
    <w:name w:val="Char Char7"/>
    <w:qFormat/>
    <w:uiPriority w:val="0"/>
    <w:rPr>
      <w:rFonts w:ascii="Tahoma" w:hAnsi="Tahoma" w:eastAsia="宋体"/>
      <w:b/>
      <w:bCs/>
      <w:kern w:val="44"/>
      <w:sz w:val="44"/>
      <w:szCs w:val="44"/>
      <w:lang w:val="en-US" w:eastAsia="zh-CN" w:bidi="ar-SA"/>
    </w:rPr>
  </w:style>
  <w:style w:type="character" w:customStyle="1" w:styleId="318">
    <w:name w:val="custext"/>
    <w:basedOn w:val="80"/>
    <w:qFormat/>
    <w:uiPriority w:val="0"/>
    <w:rPr>
      <w:rFonts w:ascii="Tahoma" w:hAnsi="Tahoma"/>
      <w:sz w:val="24"/>
    </w:rPr>
  </w:style>
  <w:style w:type="character" w:customStyle="1" w:styleId="319">
    <w:name w:val="Char Char3"/>
    <w:semiHidden/>
    <w:qFormat/>
    <w:uiPriority w:val="0"/>
    <w:rPr>
      <w:rFonts w:ascii="Tahoma" w:hAnsi="Tahoma" w:eastAsia="宋体"/>
      <w:kern w:val="2"/>
      <w:sz w:val="18"/>
      <w:szCs w:val="18"/>
      <w:lang w:val="en-US" w:eastAsia="zh-CN" w:bidi="ar-SA"/>
    </w:rPr>
  </w:style>
  <w:style w:type="character" w:customStyle="1" w:styleId="320">
    <w:name w:val="标题 1.1 Char"/>
    <w:qFormat/>
    <w:uiPriority w:val="0"/>
    <w:rPr>
      <w:rFonts w:ascii="仿宋_GB2312" w:hAnsi="Arial" w:eastAsia="仿宋_GB2312" w:cs="Arial"/>
      <w:b/>
      <w:bCs/>
      <w:kern w:val="2"/>
      <w:sz w:val="24"/>
      <w:szCs w:val="24"/>
      <w:lang w:val="en-US" w:eastAsia="zh-CN" w:bidi="ar-SA"/>
    </w:rPr>
  </w:style>
  <w:style w:type="character" w:customStyle="1" w:styleId="321">
    <w:name w:val="普通文字 Char2"/>
    <w:qFormat/>
    <w:uiPriority w:val="0"/>
    <w:rPr>
      <w:rFonts w:ascii="宋体" w:hAnsi="Courier New" w:eastAsia="楷体_GB2312"/>
      <w:snapToGrid w:val="0"/>
      <w:color w:val="000000"/>
      <w:sz w:val="32"/>
      <w:szCs w:val="21"/>
      <w:lang w:val="en-US" w:eastAsia="zh-CN" w:bidi="ar-SA"/>
    </w:rPr>
  </w:style>
  <w:style w:type="character" w:customStyle="1" w:styleId="322">
    <w:name w:val="style51"/>
    <w:qFormat/>
    <w:uiPriority w:val="0"/>
    <w:rPr>
      <w:rFonts w:ascii="Tahoma" w:hAnsi="Tahoma"/>
      <w:b/>
      <w:bCs/>
      <w:color w:val="814107"/>
      <w:sz w:val="21"/>
      <w:szCs w:val="21"/>
    </w:rPr>
  </w:style>
  <w:style w:type="character" w:customStyle="1" w:styleId="323">
    <w:name w:val="num"/>
    <w:qFormat/>
    <w:uiPriority w:val="0"/>
    <w:rPr>
      <w:rFonts w:ascii="Arial" w:hAnsi="Arial" w:cs="Arial"/>
      <w:color w:val="FF6600"/>
      <w:sz w:val="16"/>
      <w:szCs w:val="16"/>
    </w:rPr>
  </w:style>
  <w:style w:type="character" w:customStyle="1" w:styleId="324">
    <w:name w:val="style111"/>
    <w:qFormat/>
    <w:uiPriority w:val="0"/>
    <w:rPr>
      <w:rFonts w:ascii="Tahoma" w:hAnsi="Tahoma"/>
      <w:sz w:val="22"/>
      <w:szCs w:val="22"/>
    </w:rPr>
  </w:style>
  <w:style w:type="character" w:customStyle="1" w:styleId="325">
    <w:name w:val="Header Char"/>
    <w:qFormat/>
    <w:locked/>
    <w:uiPriority w:val="0"/>
    <w:rPr>
      <w:rFonts w:ascii="Tahoma" w:hAnsi="Tahoma" w:cs="Times New Roman"/>
      <w:sz w:val="18"/>
      <w:szCs w:val="18"/>
    </w:rPr>
  </w:style>
  <w:style w:type="character" w:customStyle="1" w:styleId="326">
    <w:name w:val="Char Char5"/>
    <w:qFormat/>
    <w:uiPriority w:val="0"/>
    <w:rPr>
      <w:rFonts w:ascii="Tahoma" w:hAnsi="Tahoma" w:eastAsia="宋体"/>
      <w:kern w:val="2"/>
      <w:sz w:val="18"/>
      <w:szCs w:val="18"/>
      <w:lang w:val="en-US" w:eastAsia="zh-CN" w:bidi="ar-SA"/>
    </w:rPr>
  </w:style>
  <w:style w:type="character" w:customStyle="1" w:styleId="327">
    <w:name w:val="普通文字 Char Char Char Char Char Char Char Char Char Char Char Char Char Char Char Char Char Char Char"/>
    <w:qFormat/>
    <w:uiPriority w:val="0"/>
    <w:rPr>
      <w:rFonts w:ascii="宋体" w:hAnsi="Courier New" w:eastAsia="宋体"/>
      <w:kern w:val="2"/>
      <w:sz w:val="21"/>
      <w:szCs w:val="21"/>
      <w:lang w:val="en-US" w:eastAsia="zh-CN" w:bidi="ar-SA"/>
    </w:rPr>
  </w:style>
  <w:style w:type="character" w:customStyle="1" w:styleId="328">
    <w:name w:val="arrow5"/>
    <w:basedOn w:val="80"/>
    <w:qFormat/>
    <w:uiPriority w:val="0"/>
    <w:rPr>
      <w:rFonts w:ascii="Tahoma" w:hAnsi="Tahoma"/>
      <w:sz w:val="24"/>
    </w:rPr>
  </w:style>
  <w:style w:type="character" w:customStyle="1" w:styleId="329">
    <w:name w:val="gpa"/>
    <w:qFormat/>
    <w:uiPriority w:val="0"/>
    <w:rPr>
      <w:rFonts w:ascii="Arial" w:hAnsi="Arial" w:cs="Arial"/>
      <w:sz w:val="15"/>
      <w:szCs w:val="15"/>
    </w:rPr>
  </w:style>
  <w:style w:type="character" w:customStyle="1" w:styleId="330">
    <w:name w:val="标题 1.1 Char1"/>
    <w:qFormat/>
    <w:uiPriority w:val="0"/>
    <w:rPr>
      <w:rFonts w:ascii="Arial" w:hAnsi="Arial" w:eastAsia="黑体"/>
      <w:b/>
      <w:bCs/>
      <w:kern w:val="2"/>
      <w:sz w:val="32"/>
      <w:szCs w:val="32"/>
      <w:lang w:val="en-US" w:eastAsia="zh-CN" w:bidi="ar-SA"/>
    </w:rPr>
  </w:style>
  <w:style w:type="character" w:customStyle="1" w:styleId="331">
    <w:name w:val="style4"/>
    <w:qFormat/>
    <w:uiPriority w:val="0"/>
  </w:style>
  <w:style w:type="character" w:customStyle="1" w:styleId="332">
    <w:name w:val="ar_item"/>
    <w:basedOn w:val="80"/>
    <w:qFormat/>
    <w:uiPriority w:val="0"/>
    <w:rPr>
      <w:rFonts w:ascii="Tahoma" w:hAnsi="Tahoma"/>
      <w:sz w:val="24"/>
    </w:rPr>
  </w:style>
  <w:style w:type="character" w:customStyle="1" w:styleId="333">
    <w:name w:val="num1"/>
    <w:qFormat/>
    <w:uiPriority w:val="0"/>
    <w:rPr>
      <w:rFonts w:ascii="Tahoma" w:hAnsi="Tahoma"/>
      <w:color w:val="FFFFFF"/>
      <w:sz w:val="24"/>
      <w:shd w:val="clear" w:color="auto" w:fill="FF6600"/>
    </w:rPr>
  </w:style>
  <w:style w:type="character" w:customStyle="1" w:styleId="334">
    <w:name w:val="profont1"/>
    <w:qFormat/>
    <w:uiPriority w:val="0"/>
    <w:rPr>
      <w:rFonts w:hint="default" w:ascii="Verdana" w:hAnsi="Verdana"/>
      <w:b/>
      <w:bCs/>
      <w:color w:val="333333"/>
      <w:sz w:val="24"/>
      <w:szCs w:val="24"/>
      <w:u w:val="none"/>
    </w:rPr>
  </w:style>
  <w:style w:type="character" w:customStyle="1" w:styleId="335">
    <w:name w:val="small"/>
    <w:qFormat/>
    <w:uiPriority w:val="0"/>
  </w:style>
  <w:style w:type="character" w:customStyle="1" w:styleId="336">
    <w:name w:val="displayarti"/>
    <w:qFormat/>
    <w:uiPriority w:val="0"/>
    <w:rPr>
      <w:rFonts w:ascii="Tahoma" w:hAnsi="Tahoma"/>
      <w:color w:val="FFFFFF"/>
      <w:sz w:val="24"/>
      <w:shd w:val="clear" w:color="auto" w:fill="A00000"/>
    </w:rPr>
  </w:style>
  <w:style w:type="character" w:customStyle="1" w:styleId="337">
    <w:name w:val="Char Char6"/>
    <w:qFormat/>
    <w:uiPriority w:val="0"/>
    <w:rPr>
      <w:rFonts w:ascii="Tahoma" w:hAnsi="Tahoma" w:eastAsia="宋体"/>
      <w:b/>
      <w:bCs/>
      <w:kern w:val="2"/>
      <w:sz w:val="32"/>
      <w:szCs w:val="32"/>
      <w:lang w:val="en-US" w:eastAsia="zh-CN" w:bidi="ar-SA"/>
    </w:rPr>
  </w:style>
  <w:style w:type="character" w:customStyle="1" w:styleId="338">
    <w:name w:val="sign"/>
    <w:qFormat/>
    <w:uiPriority w:val="0"/>
    <w:rPr>
      <w:rFonts w:ascii="Tahoma" w:hAnsi="Tahoma"/>
      <w:color w:val="D40000"/>
      <w:sz w:val="24"/>
    </w:rPr>
  </w:style>
  <w:style w:type="paragraph" w:customStyle="1" w:styleId="339">
    <w:name w:val="三级条标题"/>
    <w:basedOn w:val="340"/>
    <w:next w:val="1"/>
    <w:qFormat/>
    <w:uiPriority w:val="0"/>
    <w:pPr>
      <w:numPr>
        <w:ilvl w:val="4"/>
      </w:numPr>
      <w:outlineLvl w:val="4"/>
    </w:pPr>
  </w:style>
  <w:style w:type="paragraph" w:customStyle="1" w:styleId="340">
    <w:name w:val="二级条标题"/>
    <w:basedOn w:val="341"/>
    <w:next w:val="1"/>
    <w:qFormat/>
    <w:uiPriority w:val="0"/>
    <w:pPr>
      <w:numPr>
        <w:ilvl w:val="3"/>
      </w:numPr>
      <w:outlineLvl w:val="3"/>
    </w:pPr>
  </w:style>
  <w:style w:type="paragraph" w:customStyle="1" w:styleId="341">
    <w:name w:val="一级条标题"/>
    <w:basedOn w:val="342"/>
    <w:next w:val="1"/>
    <w:qFormat/>
    <w:uiPriority w:val="0"/>
    <w:pPr>
      <w:numPr>
        <w:ilvl w:val="2"/>
      </w:numPr>
      <w:spacing w:before="0" w:beforeLines="0" w:after="0" w:afterLines="0"/>
      <w:outlineLvl w:val="2"/>
    </w:pPr>
  </w:style>
  <w:style w:type="paragraph" w:customStyle="1" w:styleId="342">
    <w:name w:val="章标题"/>
    <w:next w:val="1"/>
    <w:qFormat/>
    <w:uiPriority w:val="0"/>
    <w:pPr>
      <w:numPr>
        <w:ilvl w:val="1"/>
        <w:numId w:val="9"/>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343">
    <w:name w:val="样式9"/>
    <w:basedOn w:val="1"/>
    <w:qFormat/>
    <w:uiPriority w:val="0"/>
  </w:style>
  <w:style w:type="paragraph" w:customStyle="1" w:styleId="344">
    <w:name w:val="四级条标题"/>
    <w:basedOn w:val="339"/>
    <w:next w:val="1"/>
    <w:qFormat/>
    <w:uiPriority w:val="0"/>
    <w:pPr>
      <w:numPr>
        <w:ilvl w:val="5"/>
      </w:numPr>
      <w:outlineLvl w:val="5"/>
    </w:pPr>
  </w:style>
  <w:style w:type="paragraph" w:customStyle="1" w:styleId="345">
    <w:name w:val="样式 宋体 三号 加粗 居中 行距: 最小值 12 磅"/>
    <w:basedOn w:val="1"/>
    <w:qFormat/>
    <w:uiPriority w:val="0"/>
    <w:pPr>
      <w:spacing w:line="240" w:lineRule="atLeast"/>
      <w:jc w:val="center"/>
    </w:pPr>
    <w:rPr>
      <w:rFonts w:ascii="宋体" w:hAnsi="宋体" w:cs="宋体"/>
      <w:b/>
      <w:bCs/>
      <w:szCs w:val="20"/>
    </w:rPr>
  </w:style>
  <w:style w:type="paragraph" w:customStyle="1" w:styleId="346">
    <w:name w:val="正文+四号"/>
    <w:basedOn w:val="1"/>
    <w:qFormat/>
    <w:uiPriority w:val="0"/>
    <w:pPr>
      <w:widowControl/>
      <w:shd w:val="clear" w:color="auto" w:fill="FFFFFF"/>
      <w:spacing w:line="360" w:lineRule="atLeast"/>
      <w:jc w:val="left"/>
    </w:pPr>
    <w:rPr>
      <w:rFonts w:ascii="Arial" w:hAnsi="Arial" w:cs="Arial"/>
      <w:color w:val="333333"/>
      <w:kern w:val="0"/>
      <w:sz w:val="28"/>
      <w:szCs w:val="28"/>
    </w:rPr>
  </w:style>
  <w:style w:type="paragraph" w:customStyle="1" w:styleId="347">
    <w:name w:val="彩色列表1"/>
    <w:basedOn w:val="1"/>
    <w:qFormat/>
    <w:uiPriority w:val="34"/>
    <w:pPr>
      <w:ind w:firstLine="420" w:firstLineChars="200"/>
    </w:pPr>
    <w:rPr>
      <w:sz w:val="28"/>
    </w:rPr>
  </w:style>
  <w:style w:type="paragraph" w:customStyle="1" w:styleId="348">
    <w:name w:val="样式 标题 2 + 宋体 五号 非加粗 黑色"/>
    <w:basedOn w:val="3"/>
    <w:qFormat/>
    <w:uiPriority w:val="99"/>
    <w:rPr>
      <w:rFonts w:ascii="宋体" w:hAnsi="宋体" w:eastAsia="宋体" w:cs="宋体"/>
      <w:b w:val="0"/>
      <w:bCs w:val="0"/>
      <w:color w:val="000000"/>
      <w:sz w:val="21"/>
      <w:szCs w:val="21"/>
    </w:rPr>
  </w:style>
  <w:style w:type="paragraph" w:customStyle="1" w:styleId="349">
    <w:name w:val="tx1"/>
    <w:basedOn w:val="1"/>
    <w:qFormat/>
    <w:uiPriority w:val="0"/>
    <w:pPr>
      <w:widowControl/>
      <w:spacing w:after="120"/>
      <w:ind w:left="274"/>
      <w:jc w:val="left"/>
    </w:pPr>
    <w:rPr>
      <w:rFonts w:ascii="Arial" w:hAnsi="Arial"/>
      <w:kern w:val="0"/>
      <w:sz w:val="22"/>
      <w:szCs w:val="20"/>
      <w:lang w:eastAsia="en-US"/>
    </w:rPr>
  </w:style>
  <w:style w:type="paragraph" w:customStyle="1" w:styleId="350">
    <w:name w:val="批注框文本 Char Char"/>
    <w:basedOn w:val="1"/>
    <w:qFormat/>
    <w:uiPriority w:val="0"/>
    <w:rPr>
      <w:sz w:val="18"/>
      <w:szCs w:val="20"/>
    </w:rPr>
  </w:style>
  <w:style w:type="paragraph" w:customStyle="1" w:styleId="351">
    <w:name w:val="前言、引言标题"/>
    <w:next w:val="1"/>
    <w:qFormat/>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52">
    <w:name w:val="px12black"/>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53">
    <w:name w:val="Char Char Char"/>
    <w:basedOn w:val="1"/>
    <w:qFormat/>
    <w:uiPriority w:val="0"/>
    <w:rPr>
      <w:rFonts w:ascii="Tahoma" w:hAnsi="Tahoma"/>
      <w:sz w:val="24"/>
      <w:szCs w:val="20"/>
    </w:rPr>
  </w:style>
  <w:style w:type="paragraph" w:customStyle="1" w:styleId="354">
    <w:name w:val="样式4"/>
    <w:basedOn w:val="1"/>
    <w:qFormat/>
    <w:uiPriority w:val="0"/>
    <w:pPr>
      <w:tabs>
        <w:tab w:val="left" w:pos="432"/>
      </w:tabs>
      <w:spacing w:before="50" w:beforeLines="50"/>
      <w:ind w:left="432" w:hanging="432"/>
      <w:outlineLvl w:val="2"/>
    </w:pPr>
    <w:rPr>
      <w:rFonts w:ascii="宋体" w:hAnsi="宋体" w:cs="MS Shell Dlg"/>
      <w:b/>
      <w:kern w:val="0"/>
      <w:szCs w:val="21"/>
    </w:rPr>
  </w:style>
  <w:style w:type="paragraph" w:customStyle="1" w:styleId="355">
    <w:name w:val="Char Char Char Char Char Char"/>
    <w:basedOn w:val="1"/>
    <w:qFormat/>
    <w:uiPriority w:val="0"/>
    <w:rPr>
      <w:rFonts w:ascii="Tahoma" w:hAnsi="Tahoma"/>
      <w:sz w:val="24"/>
    </w:rPr>
  </w:style>
  <w:style w:type="paragraph" w:customStyle="1" w:styleId="356">
    <w:name w:val="_Style 54"/>
    <w:basedOn w:val="1"/>
    <w:next w:val="1"/>
    <w:qFormat/>
    <w:uiPriority w:val="0"/>
  </w:style>
  <w:style w:type="paragraph" w:customStyle="1" w:styleId="357">
    <w:name w:val="样式8"/>
    <w:basedOn w:val="1"/>
    <w:qFormat/>
    <w:uiPriority w:val="0"/>
    <w:pPr>
      <w:numPr>
        <w:ilvl w:val="3"/>
        <w:numId w:val="10"/>
      </w:numPr>
      <w:tabs>
        <w:tab w:val="left" w:pos="1838"/>
        <w:tab w:val="clear" w:pos="1271"/>
      </w:tabs>
      <w:ind w:left="1838"/>
      <w:outlineLvl w:val="2"/>
    </w:pPr>
    <w:rPr>
      <w:rFonts w:ascii="宋体" w:hAnsi="宋体" w:cs="MS Shell Dlg"/>
      <w:kern w:val="0"/>
      <w:szCs w:val="21"/>
    </w:rPr>
  </w:style>
  <w:style w:type="paragraph" w:customStyle="1" w:styleId="358">
    <w:name w:val="正文字缩2字"/>
    <w:basedOn w:val="1"/>
    <w:qFormat/>
    <w:uiPriority w:val="99"/>
    <w:pPr>
      <w:spacing w:before="60" w:after="60" w:line="360" w:lineRule="auto"/>
      <w:ind w:left="200" w:leftChars="200" w:firstLine="200" w:firstLineChars="200"/>
    </w:pPr>
  </w:style>
  <w:style w:type="paragraph" w:customStyle="1" w:styleId="359">
    <w:name w:val="排版"/>
    <w:basedOn w:val="1"/>
    <w:next w:val="29"/>
    <w:qFormat/>
    <w:uiPriority w:val="0"/>
    <w:pPr>
      <w:spacing w:line="600" w:lineRule="exact"/>
    </w:pPr>
    <w:rPr>
      <w:rFonts w:eastAsia="华文仿宋"/>
      <w:spacing w:val="6"/>
      <w:sz w:val="32"/>
    </w:rPr>
  </w:style>
  <w:style w:type="paragraph" w:customStyle="1" w:styleId="360">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361">
    <w:name w:val="_Style 2"/>
    <w:basedOn w:val="1"/>
    <w:qFormat/>
    <w:uiPriority w:val="34"/>
    <w:pPr>
      <w:ind w:firstLine="420" w:firstLineChars="200"/>
    </w:pPr>
  </w:style>
  <w:style w:type="paragraph" w:customStyle="1" w:styleId="36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63">
    <w:name w:val="Char1 Char Char Char"/>
    <w:basedOn w:val="1"/>
    <w:qFormat/>
    <w:uiPriority w:val="0"/>
    <w:pPr>
      <w:adjustRightInd w:val="0"/>
      <w:spacing w:line="360" w:lineRule="auto"/>
    </w:pPr>
    <w:rPr>
      <w:kern w:val="0"/>
      <w:sz w:val="24"/>
      <w:szCs w:val="20"/>
    </w:rPr>
  </w:style>
  <w:style w:type="paragraph" w:customStyle="1" w:styleId="364">
    <w:name w:val="文"/>
    <w:basedOn w:val="40"/>
    <w:qFormat/>
    <w:uiPriority w:val="0"/>
    <w:pPr>
      <w:spacing w:line="360" w:lineRule="auto"/>
      <w:ind w:firstLine="480" w:firstLineChars="200"/>
    </w:pPr>
    <w:rPr>
      <w:rFonts w:ascii="黑体" w:hAnsi="Times New Roman" w:eastAsia="黑体"/>
      <w:sz w:val="24"/>
    </w:rPr>
  </w:style>
  <w:style w:type="paragraph" w:customStyle="1" w:styleId="365">
    <w:name w:val="五级条标题"/>
    <w:basedOn w:val="344"/>
    <w:next w:val="1"/>
    <w:qFormat/>
    <w:uiPriority w:val="0"/>
    <w:pPr>
      <w:numPr>
        <w:ilvl w:val="6"/>
      </w:numPr>
      <w:outlineLvl w:val="6"/>
    </w:pPr>
  </w:style>
  <w:style w:type="paragraph" w:customStyle="1" w:styleId="366">
    <w:name w:val="样式6"/>
    <w:basedOn w:val="354"/>
    <w:qFormat/>
    <w:uiPriority w:val="0"/>
    <w:pPr>
      <w:tabs>
        <w:tab w:val="left" w:pos="720"/>
        <w:tab w:val="clear" w:pos="432"/>
      </w:tabs>
      <w:spacing w:before="156"/>
      <w:ind w:left="720" w:hanging="153"/>
      <w:outlineLvl w:val="4"/>
    </w:pPr>
    <w:rPr>
      <w:rFonts w:ascii="MS Shell Dlg" w:hAnsi="MS Shell Dlg"/>
    </w:rPr>
  </w:style>
  <w:style w:type="paragraph" w:customStyle="1" w:styleId="367">
    <w:name w:val="Char Char Char Char Char Char Char"/>
    <w:basedOn w:val="1"/>
    <w:qFormat/>
    <w:uiPriority w:val="0"/>
    <w:rPr>
      <w:rFonts w:ascii="Tahoma" w:hAnsi="Tahoma" w:cs="Arial"/>
      <w:szCs w:val="21"/>
    </w:rPr>
  </w:style>
  <w:style w:type="table" w:customStyle="1" w:styleId="368">
    <w:name w:val="网格型111"/>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69">
    <w:name w:val="正文2"/>
    <w:basedOn w:val="1"/>
    <w:link w:val="370"/>
    <w:qFormat/>
    <w:uiPriority w:val="0"/>
    <w:pPr>
      <w:spacing w:line="360" w:lineRule="auto"/>
      <w:ind w:left="200" w:leftChars="200"/>
    </w:pPr>
    <w:rPr>
      <w:sz w:val="24"/>
      <w:szCs w:val="22"/>
    </w:rPr>
  </w:style>
  <w:style w:type="character" w:customStyle="1" w:styleId="370">
    <w:name w:val="正文2 Char"/>
    <w:link w:val="369"/>
    <w:qFormat/>
    <w:uiPriority w:val="0"/>
    <w:rPr>
      <w:kern w:val="2"/>
      <w:sz w:val="24"/>
      <w:szCs w:val="22"/>
    </w:rPr>
  </w:style>
  <w:style w:type="paragraph" w:customStyle="1" w:styleId="371">
    <w:name w:val="小标题1"/>
    <w:basedOn w:val="1"/>
    <w:link w:val="373"/>
    <w:qFormat/>
    <w:uiPriority w:val="0"/>
    <w:pPr>
      <w:numPr>
        <w:ilvl w:val="0"/>
        <w:numId w:val="11"/>
      </w:numPr>
      <w:spacing w:line="360" w:lineRule="auto"/>
      <w:ind w:firstLine="0"/>
    </w:pPr>
    <w:rPr>
      <w:rFonts w:eastAsia="黑体"/>
      <w:sz w:val="24"/>
    </w:rPr>
  </w:style>
  <w:style w:type="paragraph" w:customStyle="1" w:styleId="372">
    <w:name w:val="小标题2"/>
    <w:basedOn w:val="1"/>
    <w:link w:val="375"/>
    <w:qFormat/>
    <w:uiPriority w:val="0"/>
    <w:pPr>
      <w:numPr>
        <w:ilvl w:val="0"/>
        <w:numId w:val="12"/>
      </w:numPr>
      <w:spacing w:line="360" w:lineRule="auto"/>
      <w:ind w:left="839" w:firstLine="0"/>
    </w:pPr>
    <w:rPr>
      <w:rFonts w:hAnsi="新宋体"/>
      <w:b/>
      <w:sz w:val="24"/>
    </w:rPr>
  </w:style>
  <w:style w:type="character" w:customStyle="1" w:styleId="373">
    <w:name w:val="小标题1 Char"/>
    <w:link w:val="371"/>
    <w:qFormat/>
    <w:uiPriority w:val="0"/>
    <w:rPr>
      <w:rFonts w:eastAsia="黑体"/>
      <w:kern w:val="2"/>
      <w:sz w:val="24"/>
      <w:szCs w:val="24"/>
    </w:rPr>
  </w:style>
  <w:style w:type="paragraph" w:customStyle="1" w:styleId="374">
    <w:name w:val="小标题3"/>
    <w:basedOn w:val="1"/>
    <w:link w:val="376"/>
    <w:qFormat/>
    <w:uiPriority w:val="0"/>
    <w:pPr>
      <w:numPr>
        <w:ilvl w:val="0"/>
        <w:numId w:val="13"/>
      </w:numPr>
      <w:spacing w:line="360" w:lineRule="auto"/>
      <w:ind w:firstLine="0"/>
    </w:pPr>
    <w:rPr>
      <w:rFonts w:hAnsi="新宋体"/>
      <w:sz w:val="24"/>
    </w:rPr>
  </w:style>
  <w:style w:type="character" w:customStyle="1" w:styleId="375">
    <w:name w:val="小标题2 Char"/>
    <w:link w:val="372"/>
    <w:qFormat/>
    <w:uiPriority w:val="0"/>
    <w:rPr>
      <w:rFonts w:hAnsi="新宋体"/>
      <w:b/>
      <w:kern w:val="2"/>
      <w:sz w:val="24"/>
      <w:szCs w:val="24"/>
    </w:rPr>
  </w:style>
  <w:style w:type="character" w:customStyle="1" w:styleId="376">
    <w:name w:val="小标题3 Char"/>
    <w:link w:val="374"/>
    <w:qFormat/>
    <w:uiPriority w:val="0"/>
    <w:rPr>
      <w:rFonts w:hAnsi="新宋体"/>
      <w:kern w:val="2"/>
      <w:sz w:val="24"/>
      <w:szCs w:val="24"/>
    </w:rPr>
  </w:style>
  <w:style w:type="paragraph" w:customStyle="1" w:styleId="377">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378">
    <w:name w:val="题注4"/>
    <w:basedOn w:val="1"/>
    <w:next w:val="20"/>
    <w:qFormat/>
    <w:uiPriority w:val="0"/>
    <w:pPr>
      <w:ind w:left="-132" w:leftChars="-64" w:right="-105" w:rightChars="-50" w:hanging="2"/>
      <w:jc w:val="center"/>
    </w:pPr>
    <w:rPr>
      <w:b/>
      <w:color w:val="FF0000"/>
      <w:szCs w:val="21"/>
      <w:lang w:val="en-GB"/>
    </w:rPr>
  </w:style>
  <w:style w:type="character" w:customStyle="1" w:styleId="379">
    <w:name w:val="不明显强调1"/>
    <w:qFormat/>
    <w:uiPriority w:val="19"/>
    <w:rPr>
      <w:i/>
      <w:iCs/>
      <w:color w:val="808080"/>
    </w:rPr>
  </w:style>
  <w:style w:type="paragraph" w:customStyle="1" w:styleId="380">
    <w:name w:val="标准正文"/>
    <w:basedOn w:val="1"/>
    <w:link w:val="499"/>
    <w:qFormat/>
    <w:uiPriority w:val="0"/>
    <w:pPr>
      <w:spacing w:beforeLines="50" w:afterLines="50" w:line="360" w:lineRule="auto"/>
      <w:ind w:firstLine="480" w:firstLineChars="200"/>
      <w:jc w:val="left"/>
    </w:pPr>
    <w:rPr>
      <w:kern w:val="0"/>
      <w:sz w:val="24"/>
    </w:rPr>
  </w:style>
  <w:style w:type="character" w:customStyle="1" w:styleId="381">
    <w:name w:val="标题 1 Char Char"/>
    <w:qFormat/>
    <w:uiPriority w:val="0"/>
    <w:rPr>
      <w:rFonts w:eastAsia="宋体"/>
      <w:b/>
      <w:bCs/>
      <w:kern w:val="44"/>
      <w:sz w:val="44"/>
      <w:szCs w:val="44"/>
      <w:lang w:val="en-US" w:eastAsia="zh-CN" w:bidi="ar-SA"/>
    </w:rPr>
  </w:style>
  <w:style w:type="character" w:customStyle="1" w:styleId="382">
    <w:name w:val="apple-converted-space"/>
    <w:qFormat/>
    <w:uiPriority w:val="0"/>
  </w:style>
  <w:style w:type="paragraph" w:customStyle="1" w:styleId="383">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4">
    <w:name w:val="*正文"/>
    <w:basedOn w:val="1"/>
    <w:link w:val="385"/>
    <w:qFormat/>
    <w:uiPriority w:val="0"/>
    <w:pPr>
      <w:spacing w:line="360" w:lineRule="auto"/>
      <w:ind w:firstLine="200" w:firstLineChars="200"/>
    </w:pPr>
    <w:rPr>
      <w:rFonts w:ascii="宋体" w:hAnsi="宋体"/>
      <w:sz w:val="22"/>
    </w:rPr>
  </w:style>
  <w:style w:type="character" w:customStyle="1" w:styleId="385">
    <w:name w:val="*正文 Char"/>
    <w:link w:val="384"/>
    <w:qFormat/>
    <w:uiPriority w:val="0"/>
    <w:rPr>
      <w:rFonts w:ascii="宋体" w:hAnsi="宋体"/>
      <w:kern w:val="2"/>
      <w:sz w:val="22"/>
      <w:szCs w:val="24"/>
    </w:rPr>
  </w:style>
  <w:style w:type="character" w:customStyle="1" w:styleId="386">
    <w:name w:val="明显参考2"/>
    <w:qFormat/>
    <w:uiPriority w:val="32"/>
    <w:rPr>
      <w:b/>
      <w:bCs/>
      <w:smallCaps/>
      <w:color w:val="C0504D"/>
      <w:spacing w:val="5"/>
      <w:u w:val="single"/>
    </w:rPr>
  </w:style>
  <w:style w:type="character" w:customStyle="1" w:styleId="387">
    <w:name w:val="题注 Char"/>
    <w:link w:val="20"/>
    <w:qFormat/>
    <w:uiPriority w:val="0"/>
    <w:rPr>
      <w:rFonts w:ascii="Cambria" w:hAnsi="Cambria" w:eastAsia="黑体"/>
      <w:kern w:val="2"/>
    </w:rPr>
  </w:style>
  <w:style w:type="character" w:customStyle="1" w:styleId="388">
    <w:name w:val="def正文 Char"/>
    <w:link w:val="389"/>
    <w:qFormat/>
    <w:uiPriority w:val="0"/>
    <w:rPr>
      <w:szCs w:val="21"/>
    </w:rPr>
  </w:style>
  <w:style w:type="paragraph" w:customStyle="1" w:styleId="389">
    <w:name w:val="def正文"/>
    <w:basedOn w:val="29"/>
    <w:link w:val="388"/>
    <w:qFormat/>
    <w:uiPriority w:val="0"/>
    <w:pPr>
      <w:widowControl/>
      <w:spacing w:line="276" w:lineRule="auto"/>
      <w:jc w:val="center"/>
    </w:pPr>
    <w:rPr>
      <w:kern w:val="0"/>
      <w:sz w:val="20"/>
      <w:szCs w:val="21"/>
    </w:rPr>
  </w:style>
  <w:style w:type="character" w:customStyle="1" w:styleId="390">
    <w:name w:val="文字 Char"/>
    <w:link w:val="391"/>
    <w:qFormat/>
    <w:locked/>
    <w:uiPriority w:val="0"/>
    <w:rPr>
      <w:rFonts w:ascii="宋体" w:hAnsi="宋体"/>
      <w:sz w:val="28"/>
    </w:rPr>
  </w:style>
  <w:style w:type="paragraph" w:customStyle="1" w:styleId="391">
    <w:name w:val="文字"/>
    <w:basedOn w:val="1"/>
    <w:link w:val="390"/>
    <w:qFormat/>
    <w:uiPriority w:val="0"/>
    <w:pPr>
      <w:tabs>
        <w:tab w:val="left" w:pos="8520"/>
      </w:tabs>
      <w:spacing w:line="312" w:lineRule="auto"/>
      <w:ind w:right="-210" w:firstLine="556"/>
    </w:pPr>
    <w:rPr>
      <w:rFonts w:ascii="宋体" w:hAnsi="宋体"/>
      <w:kern w:val="0"/>
      <w:sz w:val="28"/>
      <w:szCs w:val="20"/>
    </w:rPr>
  </w:style>
  <w:style w:type="paragraph" w:customStyle="1" w:styleId="392">
    <w:name w:val="附录章标题"/>
    <w:next w:val="1"/>
    <w:qFormat/>
    <w:uiPriority w:val="0"/>
    <w:pPr>
      <w:numPr>
        <w:ilvl w:val="1"/>
        <w:numId w:val="14"/>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93">
    <w:name w:val="Style First line:  1.71 ch"/>
    <w:basedOn w:val="1"/>
    <w:qFormat/>
    <w:uiPriority w:val="0"/>
    <w:pPr>
      <w:spacing w:line="360" w:lineRule="auto"/>
      <w:ind w:firstLine="171" w:firstLineChars="171"/>
    </w:pPr>
    <w:rPr>
      <w:sz w:val="24"/>
      <w:szCs w:val="20"/>
    </w:rPr>
  </w:style>
  <w:style w:type="paragraph" w:customStyle="1" w:styleId="394">
    <w:name w:val="样式 首行缩进:  0 字符"/>
    <w:basedOn w:val="1"/>
    <w:link w:val="421"/>
    <w:qFormat/>
    <w:uiPriority w:val="0"/>
    <w:pPr>
      <w:spacing w:line="360" w:lineRule="auto"/>
      <w:ind w:firstLine="200" w:firstLineChars="200"/>
    </w:pPr>
    <w:rPr>
      <w:rFonts w:cs="宋体"/>
      <w:sz w:val="24"/>
      <w:szCs w:val="20"/>
    </w:rPr>
  </w:style>
  <w:style w:type="character" w:customStyle="1" w:styleId="395">
    <w:name w:val="info4"/>
    <w:qFormat/>
    <w:uiPriority w:val="0"/>
  </w:style>
  <w:style w:type="paragraph" w:customStyle="1" w:styleId="396">
    <w:name w:val="Style1"/>
    <w:basedOn w:val="1"/>
    <w:qFormat/>
    <w:uiPriority w:val="0"/>
    <w:pPr>
      <w:numPr>
        <w:ilvl w:val="3"/>
        <w:numId w:val="15"/>
      </w:numPr>
      <w:ind w:right="100" w:rightChars="100" w:firstLine="0"/>
      <w:jc w:val="left"/>
    </w:pPr>
    <w:rPr>
      <w:rFonts w:ascii="Arial" w:hAnsi="Arial" w:eastAsia="Arial" w:cs="Arial"/>
      <w:kern w:val="0"/>
      <w:sz w:val="20"/>
      <w:szCs w:val="20"/>
    </w:rPr>
  </w:style>
  <w:style w:type="paragraph" w:customStyle="1" w:styleId="397">
    <w:name w:val="正文要点 Char"/>
    <w:basedOn w:val="1"/>
    <w:next w:val="1"/>
    <w:qFormat/>
    <w:uiPriority w:val="0"/>
    <w:pPr>
      <w:numPr>
        <w:ilvl w:val="0"/>
        <w:numId w:val="16"/>
      </w:numPr>
      <w:tabs>
        <w:tab w:val="left" w:pos="420"/>
      </w:tabs>
      <w:spacing w:line="360" w:lineRule="auto"/>
      <w:ind w:firstLine="0"/>
    </w:pPr>
  </w:style>
  <w:style w:type="paragraph" w:customStyle="1" w:styleId="398">
    <w:name w:val="普通(网站)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9">
    <w:name w:val="样式 样式 (中文) 仿宋_GB2312 四号 行距: 多倍行距 1.25 字行2 + 首行缩进:  2 字符"/>
    <w:basedOn w:val="1"/>
    <w:qFormat/>
    <w:uiPriority w:val="0"/>
    <w:pPr>
      <w:autoSpaceDE w:val="0"/>
      <w:autoSpaceDN w:val="0"/>
      <w:snapToGrid w:val="0"/>
      <w:spacing w:line="360" w:lineRule="auto"/>
      <w:ind w:firstLine="480" w:firstLineChars="200"/>
    </w:pPr>
    <w:rPr>
      <w:rFonts w:eastAsia="仿宋_GB2312"/>
      <w:color w:val="000000"/>
      <w:kern w:val="0"/>
      <w:sz w:val="24"/>
    </w:rPr>
  </w:style>
  <w:style w:type="paragraph" w:customStyle="1" w:styleId="400">
    <w:name w:val="Figure"/>
    <w:basedOn w:val="1"/>
    <w:qFormat/>
    <w:uiPriority w:val="0"/>
    <w:pPr>
      <w:keepNext/>
      <w:widowControl/>
      <w:pBdr>
        <w:top w:val="single" w:color="auto" w:sz="12" w:space="1"/>
        <w:left w:val="single" w:color="auto" w:sz="12" w:space="4"/>
        <w:bottom w:val="single" w:color="auto" w:sz="12" w:space="1"/>
        <w:right w:val="single" w:color="auto" w:sz="12" w:space="4"/>
      </w:pBdr>
      <w:shd w:val="clear" w:color="auto" w:fill="FFFFFF"/>
      <w:ind w:left="113" w:right="113"/>
      <w:jc w:val="center"/>
    </w:pPr>
    <w:rPr>
      <w:rFonts w:ascii="Tahoma" w:hAnsi="Tahoma" w:cs="Arial"/>
      <w:kern w:val="0"/>
      <w:sz w:val="20"/>
      <w:szCs w:val="20"/>
      <w:lang w:eastAsia="en-US"/>
    </w:rPr>
  </w:style>
  <w:style w:type="paragraph" w:customStyle="1" w:styleId="401">
    <w:name w:val="Bulleting First Indent 1"/>
    <w:basedOn w:val="76"/>
    <w:qFormat/>
    <w:uiPriority w:val="0"/>
    <w:pPr>
      <w:numPr>
        <w:ilvl w:val="0"/>
        <w:numId w:val="17"/>
      </w:numPr>
      <w:spacing w:before="20" w:after="20" w:line="300" w:lineRule="auto"/>
      <w:ind w:firstLine="0" w:firstLineChars="0"/>
    </w:pPr>
    <w:rPr>
      <w:rFonts w:ascii="Tahoma" w:hAnsi="Tahoma"/>
      <w:kern w:val="0"/>
      <w:sz w:val="21"/>
      <w:szCs w:val="21"/>
    </w:rPr>
  </w:style>
  <w:style w:type="paragraph" w:customStyle="1" w:styleId="402">
    <w:name w:val="Body Text First Indent Important"/>
    <w:basedOn w:val="76"/>
    <w:qFormat/>
    <w:uiPriority w:val="0"/>
    <w:pPr>
      <w:spacing w:before="120" w:after="120" w:line="300" w:lineRule="auto"/>
      <w:ind w:firstLine="431" w:firstLineChars="0"/>
    </w:pPr>
    <w:rPr>
      <w:rFonts w:ascii="Tahoma" w:hAnsi="Tahoma"/>
      <w:b/>
      <w:kern w:val="0"/>
      <w:sz w:val="22"/>
      <w:szCs w:val="21"/>
    </w:rPr>
  </w:style>
  <w:style w:type="character" w:customStyle="1" w:styleId="403">
    <w:name w:val="文档正文 Char"/>
    <w:link w:val="160"/>
    <w:qFormat/>
    <w:uiPriority w:val="0"/>
    <w:rPr>
      <w:rFonts w:ascii="长城仿宋"/>
      <w:sz w:val="24"/>
      <w:szCs w:val="24"/>
    </w:rPr>
  </w:style>
  <w:style w:type="paragraph" w:customStyle="1" w:styleId="404">
    <w:name w:val="正文首行缩进两字"/>
    <w:qFormat/>
    <w:uiPriority w:val="0"/>
    <w:pPr>
      <w:adjustRightInd w:val="0"/>
      <w:snapToGrid w:val="0"/>
      <w:spacing w:line="300" w:lineRule="auto"/>
      <w:ind w:firstLine="227" w:firstLineChars="108"/>
      <w:jc w:val="both"/>
    </w:pPr>
    <w:rPr>
      <w:rFonts w:ascii="Times New Roman" w:hAnsi="Times New Roman" w:eastAsia="宋体" w:cs="Times New Roman"/>
      <w:sz w:val="21"/>
      <w:szCs w:val="21"/>
      <w:lang w:val="en-US" w:eastAsia="zh-CN" w:bidi="ar-SA"/>
    </w:rPr>
  </w:style>
  <w:style w:type="character" w:customStyle="1" w:styleId="405">
    <w:name w:val="样式 宋体 加粗"/>
    <w:qFormat/>
    <w:uiPriority w:val="0"/>
    <w:rPr>
      <w:rFonts w:ascii="宋体" w:hAnsi="宋体"/>
      <w:b/>
      <w:bCs/>
      <w:sz w:val="32"/>
    </w:rPr>
  </w:style>
  <w:style w:type="paragraph" w:customStyle="1" w:styleId="406">
    <w:name w:val="正文首缩两字"/>
    <w:basedOn w:val="1"/>
    <w:link w:val="407"/>
    <w:qFormat/>
    <w:uiPriority w:val="0"/>
    <w:pPr>
      <w:spacing w:line="360" w:lineRule="auto"/>
      <w:ind w:firstLine="200" w:firstLineChars="200"/>
    </w:pPr>
    <w:rPr>
      <w:rFonts w:ascii="Verdana" w:hAnsi="Verdana"/>
      <w:sz w:val="24"/>
    </w:rPr>
  </w:style>
  <w:style w:type="character" w:customStyle="1" w:styleId="407">
    <w:name w:val="正文首缩两字 Char"/>
    <w:link w:val="406"/>
    <w:qFormat/>
    <w:uiPriority w:val="0"/>
    <w:rPr>
      <w:rFonts w:ascii="Verdana" w:hAnsi="Verdana"/>
      <w:kern w:val="2"/>
      <w:sz w:val="24"/>
      <w:szCs w:val="24"/>
    </w:rPr>
  </w:style>
  <w:style w:type="paragraph" w:customStyle="1" w:styleId="408">
    <w:name w:val="标准段"/>
    <w:basedOn w:val="1"/>
    <w:link w:val="409"/>
    <w:qFormat/>
    <w:uiPriority w:val="0"/>
    <w:pPr>
      <w:spacing w:beforeLines="50" w:line="360" w:lineRule="auto"/>
      <w:ind w:firstLine="200" w:firstLineChars="200"/>
    </w:pPr>
    <w:rPr>
      <w:rFonts w:ascii="仿宋_GB2312" w:hAnsi="宋体" w:eastAsia="仿宋_GB2312"/>
      <w:kern w:val="0"/>
      <w:sz w:val="24"/>
      <w:lang w:val="zh-CN"/>
    </w:rPr>
  </w:style>
  <w:style w:type="character" w:customStyle="1" w:styleId="409">
    <w:name w:val="标准段 Char"/>
    <w:link w:val="408"/>
    <w:qFormat/>
    <w:uiPriority w:val="0"/>
    <w:rPr>
      <w:rFonts w:ascii="仿宋_GB2312" w:hAnsi="宋体" w:eastAsia="仿宋_GB2312"/>
      <w:sz w:val="24"/>
      <w:szCs w:val="24"/>
      <w:lang w:val="zh-CN"/>
    </w:rPr>
  </w:style>
  <w:style w:type="character" w:customStyle="1" w:styleId="410">
    <w:name w:val="正文1 Char"/>
    <w:link w:val="146"/>
    <w:qFormat/>
    <w:uiPriority w:val="0"/>
    <w:rPr>
      <w:kern w:val="2"/>
      <w:sz w:val="21"/>
      <w:szCs w:val="24"/>
    </w:rPr>
  </w:style>
  <w:style w:type="character" w:customStyle="1" w:styleId="411">
    <w:name w:val="bsharetext"/>
    <w:qFormat/>
    <w:uiPriority w:val="0"/>
  </w:style>
  <w:style w:type="paragraph" w:customStyle="1" w:styleId="412">
    <w:name w:val="a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3">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415">
    <w:name w:val="p10"/>
    <w:basedOn w:val="1"/>
    <w:qFormat/>
    <w:uiPriority w:val="0"/>
    <w:pPr>
      <w:widowControl/>
      <w:spacing w:before="100" w:beforeAutospacing="1" w:after="100" w:afterAutospacing="1"/>
      <w:jc w:val="left"/>
    </w:pPr>
    <w:rPr>
      <w:rFonts w:ascii="Calibri" w:hAnsi="Calibri"/>
      <w:color w:val="000000"/>
      <w:kern w:val="0"/>
      <w:sz w:val="20"/>
      <w:szCs w:val="20"/>
    </w:rPr>
  </w:style>
  <w:style w:type="character" w:customStyle="1" w:styleId="416">
    <w:name w:val="apple-style-span"/>
    <w:basedOn w:val="80"/>
    <w:qFormat/>
    <w:uiPriority w:val="0"/>
  </w:style>
  <w:style w:type="character" w:customStyle="1" w:styleId="417">
    <w:name w:val="标题3 字符"/>
    <w:link w:val="418"/>
    <w:qFormat/>
    <w:uiPriority w:val="0"/>
    <w:rPr>
      <w:b/>
      <w:bCs/>
      <w:szCs w:val="24"/>
    </w:rPr>
  </w:style>
  <w:style w:type="paragraph" w:customStyle="1" w:styleId="418">
    <w:name w:val="标题3"/>
    <w:basedOn w:val="1"/>
    <w:link w:val="417"/>
    <w:qFormat/>
    <w:uiPriority w:val="0"/>
    <w:pPr>
      <w:jc w:val="left"/>
    </w:pPr>
    <w:rPr>
      <w:b/>
      <w:bCs/>
      <w:kern w:val="0"/>
      <w:sz w:val="20"/>
    </w:rPr>
  </w:style>
  <w:style w:type="character" w:customStyle="1" w:styleId="419">
    <w:name w:val="四级标题 Char"/>
    <w:link w:val="420"/>
    <w:qFormat/>
    <w:uiPriority w:val="0"/>
    <w:rPr>
      <w:rFonts w:ascii="微软雅黑" w:hAnsi="微软雅黑" w:eastAsia="微软雅黑"/>
      <w:b/>
      <w:sz w:val="24"/>
    </w:rPr>
  </w:style>
  <w:style w:type="paragraph" w:customStyle="1" w:styleId="420">
    <w:name w:val="四级标题"/>
    <w:basedOn w:val="1"/>
    <w:next w:val="1"/>
    <w:link w:val="419"/>
    <w:qFormat/>
    <w:uiPriority w:val="0"/>
    <w:pPr>
      <w:outlineLvl w:val="3"/>
    </w:pPr>
    <w:rPr>
      <w:rFonts w:ascii="微软雅黑" w:hAnsi="微软雅黑" w:eastAsia="微软雅黑"/>
      <w:b/>
      <w:kern w:val="0"/>
      <w:sz w:val="24"/>
      <w:szCs w:val="20"/>
    </w:rPr>
  </w:style>
  <w:style w:type="character" w:customStyle="1" w:styleId="421">
    <w:name w:val="样式 首行缩进:  0 字符 Char Char"/>
    <w:link w:val="394"/>
    <w:qFormat/>
    <w:uiPriority w:val="0"/>
    <w:rPr>
      <w:rFonts w:cs="宋体"/>
      <w:kern w:val="2"/>
      <w:sz w:val="24"/>
    </w:rPr>
  </w:style>
  <w:style w:type="character" w:customStyle="1" w:styleId="422">
    <w:name w:val="￥正文 Char"/>
    <w:qFormat/>
    <w:uiPriority w:val="0"/>
    <w:rPr>
      <w:sz w:val="28"/>
    </w:rPr>
  </w:style>
  <w:style w:type="character" w:customStyle="1" w:styleId="423">
    <w:name w:val="样式 图 字符"/>
    <w:link w:val="424"/>
    <w:qFormat/>
    <w:uiPriority w:val="0"/>
    <w:rPr>
      <w:rFonts w:eastAsia="仿宋"/>
      <w:b/>
      <w:szCs w:val="21"/>
    </w:rPr>
  </w:style>
  <w:style w:type="paragraph" w:customStyle="1" w:styleId="424">
    <w:name w:val="样式 图"/>
    <w:basedOn w:val="1"/>
    <w:link w:val="423"/>
    <w:qFormat/>
    <w:uiPriority w:val="0"/>
    <w:pPr>
      <w:spacing w:line="360" w:lineRule="auto"/>
      <w:jc w:val="center"/>
    </w:pPr>
    <w:rPr>
      <w:rFonts w:eastAsia="仿宋"/>
      <w:b/>
      <w:kern w:val="0"/>
      <w:sz w:val="20"/>
      <w:szCs w:val="21"/>
    </w:rPr>
  </w:style>
  <w:style w:type="character" w:customStyle="1" w:styleId="425">
    <w:name w:val="编号，小四 Char Char"/>
    <w:link w:val="426"/>
    <w:qFormat/>
    <w:uiPriority w:val="0"/>
    <w:rPr>
      <w:rFonts w:ascii="Verdana" w:hAnsi="Verdana" w:eastAsiaTheme="minorEastAsia" w:cstheme="minorBidi"/>
      <w:kern w:val="2"/>
      <w:sz w:val="24"/>
      <w:szCs w:val="24"/>
    </w:rPr>
  </w:style>
  <w:style w:type="paragraph" w:customStyle="1" w:styleId="426">
    <w:name w:val="编号，小四"/>
    <w:basedOn w:val="1"/>
    <w:link w:val="425"/>
    <w:qFormat/>
    <w:uiPriority w:val="0"/>
    <w:pPr>
      <w:numPr>
        <w:ilvl w:val="0"/>
        <w:numId w:val="18"/>
      </w:numPr>
      <w:tabs>
        <w:tab w:val="left" w:pos="360"/>
      </w:tabs>
      <w:ind w:firstLine="0"/>
      <w:jc w:val="left"/>
    </w:pPr>
    <w:rPr>
      <w:rFonts w:ascii="Verdana" w:hAnsi="Verdana" w:eastAsiaTheme="minorEastAsia" w:cstheme="minorBidi"/>
      <w:sz w:val="24"/>
    </w:rPr>
  </w:style>
  <w:style w:type="character" w:customStyle="1" w:styleId="427">
    <w:name w:val="正文首行缩进（绿盟科技） Char"/>
    <w:link w:val="428"/>
    <w:qFormat/>
    <w:uiPriority w:val="0"/>
    <w:rPr>
      <w:rFonts w:ascii="Arial" w:hAnsi="Arial" w:eastAsia="仿宋" w:cs="黑体"/>
      <w:sz w:val="24"/>
      <w:szCs w:val="21"/>
    </w:rPr>
  </w:style>
  <w:style w:type="paragraph" w:customStyle="1" w:styleId="428">
    <w:name w:val="正文首行缩进（绿盟科技）"/>
    <w:basedOn w:val="1"/>
    <w:link w:val="427"/>
    <w:qFormat/>
    <w:uiPriority w:val="0"/>
    <w:pPr>
      <w:widowControl/>
      <w:spacing w:after="50" w:line="300" w:lineRule="auto"/>
      <w:jc w:val="left"/>
    </w:pPr>
    <w:rPr>
      <w:rFonts w:ascii="Arial" w:hAnsi="Arial" w:eastAsia="仿宋" w:cs="黑体"/>
      <w:kern w:val="0"/>
      <w:sz w:val="24"/>
      <w:szCs w:val="21"/>
    </w:rPr>
  </w:style>
  <w:style w:type="character" w:customStyle="1" w:styleId="429">
    <w:name w:val="Ri正文 Char"/>
    <w:link w:val="430"/>
    <w:qFormat/>
    <w:uiPriority w:val="0"/>
    <w:rPr>
      <w:rFonts w:ascii="宋体" w:hAnsi="宋体"/>
      <w:sz w:val="24"/>
      <w:szCs w:val="24"/>
    </w:rPr>
  </w:style>
  <w:style w:type="paragraph" w:customStyle="1" w:styleId="430">
    <w:name w:val="Ri正文"/>
    <w:basedOn w:val="1"/>
    <w:link w:val="429"/>
    <w:qFormat/>
    <w:uiPriority w:val="0"/>
    <w:pPr>
      <w:widowControl/>
      <w:spacing w:before="120" w:after="120" w:line="360" w:lineRule="auto"/>
      <w:ind w:firstLine="480" w:firstLineChars="200"/>
      <w:jc w:val="left"/>
    </w:pPr>
    <w:rPr>
      <w:rFonts w:ascii="宋体" w:hAnsi="宋体"/>
      <w:kern w:val="0"/>
      <w:sz w:val="24"/>
    </w:rPr>
  </w:style>
  <w:style w:type="character" w:customStyle="1" w:styleId="431">
    <w:name w:val="样式 首行缩进:  0 字符 Char"/>
    <w:qFormat/>
    <w:uiPriority w:val="0"/>
    <w:rPr>
      <w:rFonts w:ascii="Times New Roman" w:hAnsi="Times New Roman" w:eastAsia="宋体" w:cs="Times New Roman"/>
      <w:kern w:val="0"/>
      <w:sz w:val="20"/>
      <w:szCs w:val="20"/>
    </w:rPr>
  </w:style>
  <w:style w:type="character" w:customStyle="1" w:styleId="432">
    <w:name w:val="MM Topic 3 Char"/>
    <w:link w:val="433"/>
    <w:qFormat/>
    <w:uiPriority w:val="0"/>
    <w:rPr>
      <w:b/>
      <w:bCs/>
      <w:sz w:val="32"/>
      <w:szCs w:val="32"/>
    </w:rPr>
  </w:style>
  <w:style w:type="paragraph" w:customStyle="1" w:styleId="433">
    <w:name w:val="MM Topic 3"/>
    <w:basedOn w:val="4"/>
    <w:link w:val="432"/>
    <w:qFormat/>
    <w:uiPriority w:val="0"/>
    <w:pPr>
      <w:autoSpaceDE/>
      <w:autoSpaceDN/>
      <w:adjustRightInd/>
      <w:spacing w:before="260" w:after="260" w:line="416" w:lineRule="auto"/>
      <w:ind w:left="425" w:hanging="425"/>
    </w:pPr>
    <w:rPr>
      <w:rFonts w:ascii="Times New Roman" w:eastAsia="宋体"/>
      <w:b/>
      <w:bCs/>
      <w:sz w:val="32"/>
      <w:szCs w:val="32"/>
    </w:rPr>
  </w:style>
  <w:style w:type="character" w:customStyle="1" w:styleId="434">
    <w:name w:val="正文加黑 Char"/>
    <w:link w:val="435"/>
    <w:qFormat/>
    <w:uiPriority w:val="0"/>
    <w:rPr>
      <w:rFonts w:ascii="仿宋" w:hAnsi="仿宋" w:eastAsia="仿宋"/>
      <w:b/>
      <w:color w:val="000000"/>
      <w:sz w:val="28"/>
      <w:szCs w:val="28"/>
    </w:rPr>
  </w:style>
  <w:style w:type="paragraph" w:customStyle="1" w:styleId="435">
    <w:name w:val="正文加黑"/>
    <w:basedOn w:val="436"/>
    <w:link w:val="434"/>
    <w:qFormat/>
    <w:uiPriority w:val="0"/>
    <w:pPr>
      <w:widowControl w:val="0"/>
      <w:spacing w:beforeLines="50" w:afterLines="50" w:line="360" w:lineRule="auto"/>
      <w:ind w:firstLine="0" w:firstLineChars="0"/>
      <w:jc w:val="both"/>
    </w:pPr>
    <w:rPr>
      <w:rFonts w:ascii="仿宋" w:hAnsi="仿宋" w:eastAsia="仿宋" w:cs="Times New Roman"/>
      <w:b/>
      <w:color w:val="000000"/>
      <w:kern w:val="0"/>
      <w:sz w:val="28"/>
      <w:szCs w:val="28"/>
    </w:rPr>
  </w:style>
  <w:style w:type="paragraph" w:customStyle="1" w:styleId="436">
    <w:name w:val="￥正文"/>
    <w:basedOn w:val="1"/>
    <w:link w:val="495"/>
    <w:qFormat/>
    <w:uiPriority w:val="0"/>
    <w:pPr>
      <w:widowControl/>
      <w:ind w:firstLine="200" w:firstLineChars="200"/>
      <w:jc w:val="left"/>
    </w:pPr>
    <w:rPr>
      <w:rFonts w:asciiTheme="minorHAnsi" w:hAnsiTheme="minorHAnsi" w:eastAsiaTheme="minorEastAsia" w:cstheme="minorBidi"/>
      <w:szCs w:val="22"/>
    </w:rPr>
  </w:style>
  <w:style w:type="character" w:customStyle="1" w:styleId="437">
    <w:name w:val="普通(网站) Char"/>
    <w:link w:val="71"/>
    <w:qFormat/>
    <w:uiPriority w:val="99"/>
    <w:rPr>
      <w:rFonts w:ascii="ˎ̥" w:hAnsi="ˎ̥" w:cs="宋体"/>
      <w:sz w:val="24"/>
      <w:szCs w:val="24"/>
    </w:rPr>
  </w:style>
  <w:style w:type="character" w:customStyle="1" w:styleId="438">
    <w:name w:val="样式 1） 字符"/>
    <w:link w:val="439"/>
    <w:qFormat/>
    <w:uiPriority w:val="0"/>
    <w:rPr>
      <w:rFonts w:eastAsia="仿宋"/>
      <w:color w:val="000000"/>
      <w:sz w:val="28"/>
    </w:rPr>
  </w:style>
  <w:style w:type="paragraph" w:customStyle="1" w:styleId="439">
    <w:name w:val="样式 1）"/>
    <w:basedOn w:val="102"/>
    <w:link w:val="438"/>
    <w:qFormat/>
    <w:uiPriority w:val="0"/>
    <w:pPr>
      <w:spacing w:line="360" w:lineRule="auto"/>
      <w:ind w:left="837" w:firstLine="0" w:firstLineChars="0"/>
    </w:pPr>
    <w:rPr>
      <w:rFonts w:eastAsia="仿宋"/>
      <w:color w:val="000000"/>
      <w:kern w:val="0"/>
      <w:sz w:val="28"/>
      <w:szCs w:val="20"/>
    </w:rPr>
  </w:style>
  <w:style w:type="character" w:customStyle="1" w:styleId="440">
    <w:name w:val="图片格式 Char"/>
    <w:link w:val="441"/>
    <w:qFormat/>
    <w:uiPriority w:val="0"/>
    <w:rPr>
      <w:rFonts w:ascii="宋体" w:hAnsi="宋体"/>
      <w:sz w:val="24"/>
      <w:szCs w:val="24"/>
      <w:lang w:eastAsia="en-US" w:bidi="en-US"/>
    </w:rPr>
  </w:style>
  <w:style w:type="paragraph" w:customStyle="1" w:styleId="441">
    <w:name w:val="图片格式"/>
    <w:basedOn w:val="1"/>
    <w:link w:val="440"/>
    <w:qFormat/>
    <w:uiPriority w:val="0"/>
    <w:pPr>
      <w:spacing w:line="360" w:lineRule="auto"/>
      <w:contextualSpacing/>
      <w:jc w:val="center"/>
    </w:pPr>
    <w:rPr>
      <w:rFonts w:ascii="宋体" w:hAnsi="宋体"/>
      <w:kern w:val="0"/>
      <w:sz w:val="24"/>
      <w:lang w:eastAsia="en-US" w:bidi="en-US"/>
    </w:rPr>
  </w:style>
  <w:style w:type="character" w:customStyle="1" w:styleId="442">
    <w:name w:val="3级标题 Char"/>
    <w:link w:val="443"/>
    <w:qFormat/>
    <w:uiPriority w:val="0"/>
    <w:rPr>
      <w:rFonts w:ascii="黑体" w:hAnsi="黑体" w:eastAsia="黑体"/>
      <w:sz w:val="28"/>
      <w:szCs w:val="36"/>
      <w:lang w:eastAsia="en-US" w:bidi="en-US"/>
    </w:rPr>
  </w:style>
  <w:style w:type="paragraph" w:customStyle="1" w:styleId="443">
    <w:name w:val="3级标题"/>
    <w:basedOn w:val="102"/>
    <w:link w:val="442"/>
    <w:qFormat/>
    <w:uiPriority w:val="0"/>
    <w:pPr>
      <w:keepLines/>
      <w:tabs>
        <w:tab w:val="left" w:pos="360"/>
      </w:tabs>
      <w:spacing w:before="120" w:after="120" w:line="360" w:lineRule="auto"/>
      <w:ind w:firstLine="0" w:firstLineChars="0"/>
      <w:contextualSpacing/>
      <w:jc w:val="left"/>
      <w:outlineLvl w:val="2"/>
    </w:pPr>
    <w:rPr>
      <w:rFonts w:ascii="黑体" w:hAnsi="黑体" w:eastAsia="黑体"/>
      <w:kern w:val="0"/>
      <w:sz w:val="28"/>
      <w:szCs w:val="36"/>
      <w:lang w:eastAsia="en-US" w:bidi="en-US"/>
    </w:rPr>
  </w:style>
  <w:style w:type="paragraph" w:customStyle="1" w:styleId="444">
    <w:name w:val="6"/>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character" w:customStyle="1" w:styleId="445">
    <w:name w:val="【正文】 Char Char"/>
    <w:link w:val="446"/>
    <w:qFormat/>
    <w:uiPriority w:val="0"/>
    <w:rPr>
      <w:sz w:val="24"/>
    </w:rPr>
  </w:style>
  <w:style w:type="paragraph" w:customStyle="1" w:styleId="446">
    <w:name w:val="【正文】"/>
    <w:basedOn w:val="1"/>
    <w:link w:val="445"/>
    <w:qFormat/>
    <w:uiPriority w:val="0"/>
    <w:pPr>
      <w:ind w:firstLine="480" w:firstLineChars="200"/>
      <w:jc w:val="left"/>
    </w:pPr>
    <w:rPr>
      <w:kern w:val="0"/>
      <w:sz w:val="24"/>
      <w:szCs w:val="20"/>
    </w:rPr>
  </w:style>
  <w:style w:type="character" w:customStyle="1" w:styleId="447">
    <w:name w:val="List Paragraph Char Char"/>
    <w:qFormat/>
    <w:locked/>
    <w:uiPriority w:val="0"/>
    <w:rPr>
      <w:rFonts w:ascii="Times New Roman" w:hAnsi="Times New Roman" w:eastAsia="宋体" w:cs="Times New Roman"/>
      <w:szCs w:val="24"/>
    </w:rPr>
  </w:style>
  <w:style w:type="character" w:customStyle="1" w:styleId="448">
    <w:name w:val="MM Title Char"/>
    <w:link w:val="449"/>
    <w:qFormat/>
    <w:uiPriority w:val="0"/>
    <w:rPr>
      <w:rFonts w:ascii="Cambria" w:hAnsi="Cambria"/>
      <w:b/>
      <w:bCs/>
      <w:sz w:val="32"/>
      <w:szCs w:val="32"/>
    </w:rPr>
  </w:style>
  <w:style w:type="paragraph" w:customStyle="1" w:styleId="449">
    <w:name w:val="MM Title"/>
    <w:basedOn w:val="74"/>
    <w:link w:val="448"/>
    <w:qFormat/>
    <w:uiPriority w:val="0"/>
    <w:pPr>
      <w:spacing w:line="360" w:lineRule="auto"/>
      <w:ind w:firstLine="200" w:firstLineChars="200"/>
    </w:pPr>
    <w:rPr>
      <w:kern w:val="0"/>
    </w:rPr>
  </w:style>
  <w:style w:type="character" w:customStyle="1" w:styleId="450">
    <w:name w:val="页码1"/>
    <w:basedOn w:val="80"/>
    <w:qFormat/>
    <w:uiPriority w:val="0"/>
  </w:style>
  <w:style w:type="character" w:customStyle="1" w:styleId="451">
    <w:name w:val="样式11 Char"/>
    <w:link w:val="452"/>
    <w:qFormat/>
    <w:uiPriority w:val="99"/>
    <w:rPr>
      <w:rFonts w:ascii="宋体" w:hAnsi="宋体" w:eastAsia="黑体"/>
      <w:b/>
      <w:bCs/>
      <w:sz w:val="28"/>
      <w:szCs w:val="28"/>
    </w:rPr>
  </w:style>
  <w:style w:type="paragraph" w:customStyle="1" w:styleId="452">
    <w:name w:val="样式11"/>
    <w:basedOn w:val="6"/>
    <w:link w:val="451"/>
    <w:qFormat/>
    <w:uiPriority w:val="99"/>
    <w:pPr>
      <w:keepLines/>
      <w:spacing w:before="280" w:after="290" w:line="376" w:lineRule="auto"/>
      <w:ind w:left="420" w:hanging="420"/>
    </w:pPr>
    <w:rPr>
      <w:rFonts w:ascii="宋体" w:hAnsi="宋体" w:eastAsia="黑体"/>
      <w:b/>
      <w:bCs/>
      <w:kern w:val="0"/>
      <w:szCs w:val="28"/>
    </w:rPr>
  </w:style>
  <w:style w:type="character" w:customStyle="1" w:styleId="453">
    <w:name w:val="表格正文 Char"/>
    <w:link w:val="454"/>
    <w:qFormat/>
    <w:uiPriority w:val="0"/>
    <w:rPr>
      <w:rFonts w:ascii="Arial" w:hAnsi="Arial"/>
      <w:sz w:val="22"/>
      <w:lang w:eastAsia="en-US"/>
    </w:rPr>
  </w:style>
  <w:style w:type="paragraph" w:customStyle="1" w:styleId="454">
    <w:name w:val="表格正文"/>
    <w:link w:val="453"/>
    <w:qFormat/>
    <w:uiPriority w:val="0"/>
    <w:rPr>
      <w:rFonts w:ascii="Arial" w:hAnsi="Arial" w:eastAsia="宋体" w:cs="Times New Roman"/>
      <w:sz w:val="22"/>
      <w:lang w:val="en-US" w:eastAsia="en-US" w:bidi="ar-SA"/>
    </w:rPr>
  </w:style>
  <w:style w:type="character" w:customStyle="1" w:styleId="455">
    <w:name w:val="样式 新宋体 小四"/>
    <w:qFormat/>
    <w:uiPriority w:val="0"/>
    <w:rPr>
      <w:rFonts w:hint="eastAsia" w:ascii="新宋体" w:hAnsi="新宋体" w:eastAsia="新宋体"/>
      <w:sz w:val="24"/>
      <w:u w:val="single"/>
    </w:rPr>
  </w:style>
  <w:style w:type="character" w:customStyle="1" w:styleId="456">
    <w:name w:val="表 字符"/>
    <w:link w:val="457"/>
    <w:qFormat/>
    <w:uiPriority w:val="0"/>
    <w:rPr>
      <w:rFonts w:eastAsia="黑体" w:cs="Arial"/>
      <w:b/>
      <w:bCs/>
      <w:szCs w:val="24"/>
    </w:rPr>
  </w:style>
  <w:style w:type="paragraph" w:customStyle="1" w:styleId="457">
    <w:name w:val="表"/>
    <w:basedOn w:val="20"/>
    <w:link w:val="456"/>
    <w:qFormat/>
    <w:uiPriority w:val="0"/>
    <w:pPr>
      <w:spacing w:line="360" w:lineRule="auto"/>
      <w:jc w:val="center"/>
    </w:pPr>
    <w:rPr>
      <w:rFonts w:ascii="Times New Roman" w:hAnsi="Times New Roman" w:cs="Arial"/>
      <w:b/>
      <w:bCs/>
      <w:kern w:val="0"/>
      <w:szCs w:val="24"/>
    </w:rPr>
  </w:style>
  <w:style w:type="character" w:customStyle="1" w:styleId="458">
    <w:name w:val="样式 样式 首行缩进:  2 字符 + Arial Char"/>
    <w:link w:val="459"/>
    <w:qFormat/>
    <w:uiPriority w:val="0"/>
    <w:rPr>
      <w:rFonts w:ascii="Arial" w:hAnsi="Arial" w:cs="宋体"/>
      <w:sz w:val="24"/>
      <w:szCs w:val="28"/>
    </w:rPr>
  </w:style>
  <w:style w:type="paragraph" w:customStyle="1" w:styleId="459">
    <w:name w:val="样式 样式 首行缩进:  2 字符 + Arial"/>
    <w:basedOn w:val="1"/>
    <w:link w:val="458"/>
    <w:qFormat/>
    <w:uiPriority w:val="0"/>
    <w:pPr>
      <w:spacing w:line="360" w:lineRule="auto"/>
      <w:ind w:firstLine="200" w:firstLineChars="200"/>
    </w:pPr>
    <w:rPr>
      <w:rFonts w:ascii="Arial" w:hAnsi="Arial" w:cs="宋体"/>
      <w:kern w:val="0"/>
      <w:sz w:val="24"/>
      <w:szCs w:val="28"/>
    </w:rPr>
  </w:style>
  <w:style w:type="character" w:customStyle="1" w:styleId="460">
    <w:name w:val="my正文 Char Char"/>
    <w:link w:val="461"/>
    <w:qFormat/>
    <w:locked/>
    <w:uiPriority w:val="0"/>
    <w:rPr>
      <w:rFonts w:ascii="宋体" w:hAnsi="宋体" w:cs="宋体"/>
      <w:sz w:val="24"/>
      <w:szCs w:val="28"/>
    </w:rPr>
  </w:style>
  <w:style w:type="paragraph" w:customStyle="1" w:styleId="461">
    <w:name w:val="my正文"/>
    <w:basedOn w:val="1"/>
    <w:link w:val="460"/>
    <w:qFormat/>
    <w:uiPriority w:val="0"/>
    <w:pPr>
      <w:widowControl/>
      <w:spacing w:before="120" w:after="120" w:line="360" w:lineRule="auto"/>
      <w:ind w:firstLine="566" w:firstLineChars="236"/>
      <w:jc w:val="left"/>
    </w:pPr>
    <w:rPr>
      <w:rFonts w:ascii="宋体" w:hAnsi="宋体" w:cs="宋体"/>
      <w:kern w:val="0"/>
      <w:sz w:val="24"/>
      <w:szCs w:val="28"/>
    </w:rPr>
  </w:style>
  <w:style w:type="character" w:customStyle="1" w:styleId="462">
    <w:name w:val="MM Topic 1 Char"/>
    <w:link w:val="463"/>
    <w:qFormat/>
    <w:uiPriority w:val="0"/>
    <w:rPr>
      <w:b/>
      <w:bCs/>
      <w:kern w:val="44"/>
      <w:sz w:val="44"/>
      <w:szCs w:val="44"/>
    </w:rPr>
  </w:style>
  <w:style w:type="paragraph" w:customStyle="1" w:styleId="463">
    <w:name w:val="MM Topic 1"/>
    <w:basedOn w:val="2"/>
    <w:link w:val="462"/>
    <w:qFormat/>
    <w:uiPriority w:val="0"/>
    <w:pPr>
      <w:ind w:left="840" w:hanging="420"/>
    </w:pPr>
  </w:style>
  <w:style w:type="character" w:customStyle="1" w:styleId="464">
    <w:name w:val="Item List Char"/>
    <w:link w:val="465"/>
    <w:qFormat/>
    <w:uiPriority w:val="0"/>
    <w:rPr>
      <w:rFonts w:ascii="Arial" w:hAnsi="Arial" w:cs="Arial" w:eastAsiaTheme="minorEastAsia"/>
      <w:kern w:val="2"/>
      <w:sz w:val="21"/>
      <w:szCs w:val="21"/>
      <w:shd w:val="clear" w:color="000000" w:fill="auto"/>
    </w:rPr>
  </w:style>
  <w:style w:type="paragraph" w:customStyle="1" w:styleId="465">
    <w:name w:val="Item List"/>
    <w:link w:val="464"/>
    <w:qFormat/>
    <w:uiPriority w:val="0"/>
    <w:pPr>
      <w:numPr>
        <w:ilvl w:val="0"/>
        <w:numId w:val="19"/>
      </w:numPr>
      <w:shd w:val="clear" w:color="000000" w:fill="auto"/>
      <w:tabs>
        <w:tab w:val="left" w:pos="851"/>
        <w:tab w:val="left" w:pos="1644"/>
      </w:tabs>
      <w:spacing w:line="300" w:lineRule="auto"/>
      <w:jc w:val="both"/>
    </w:pPr>
    <w:rPr>
      <w:rFonts w:ascii="Arial" w:hAnsi="Arial" w:cs="Arial" w:eastAsiaTheme="minorEastAsia"/>
      <w:kern w:val="2"/>
      <w:sz w:val="21"/>
      <w:szCs w:val="21"/>
      <w:lang w:val="en-US" w:eastAsia="zh-CN" w:bidi="ar-SA"/>
    </w:rPr>
  </w:style>
  <w:style w:type="character" w:customStyle="1" w:styleId="466">
    <w:name w:val="正文文本样式 Char"/>
    <w:link w:val="467"/>
    <w:qFormat/>
    <w:uiPriority w:val="0"/>
    <w:rPr>
      <w:sz w:val="24"/>
    </w:rPr>
  </w:style>
  <w:style w:type="paragraph" w:customStyle="1" w:styleId="467">
    <w:name w:val="正文文本样式"/>
    <w:link w:val="466"/>
    <w:qFormat/>
    <w:uiPriority w:val="0"/>
    <w:pPr>
      <w:spacing w:line="360" w:lineRule="auto"/>
      <w:ind w:firstLine="200" w:firstLineChars="200"/>
    </w:pPr>
    <w:rPr>
      <w:rFonts w:ascii="Times New Roman" w:hAnsi="Times New Roman" w:eastAsia="宋体" w:cs="Times New Roman"/>
      <w:sz w:val="24"/>
      <w:lang w:val="en-US" w:eastAsia="zh-CN" w:bidi="ar-SA"/>
    </w:rPr>
  </w:style>
  <w:style w:type="character" w:customStyle="1" w:styleId="468">
    <w:name w:val="引用 Char1"/>
    <w:qFormat/>
    <w:uiPriority w:val="0"/>
    <w:rPr>
      <w:i/>
      <w:iCs/>
      <w:color w:val="000000"/>
      <w:kern w:val="2"/>
      <w:sz w:val="21"/>
      <w:szCs w:val="24"/>
    </w:rPr>
  </w:style>
  <w:style w:type="character" w:customStyle="1" w:styleId="469">
    <w:name w:val="样式 表格 字符"/>
    <w:link w:val="470"/>
    <w:qFormat/>
    <w:uiPriority w:val="0"/>
    <w:rPr>
      <w:rFonts w:eastAsia="仿宋"/>
      <w:szCs w:val="21"/>
    </w:rPr>
  </w:style>
  <w:style w:type="paragraph" w:customStyle="1" w:styleId="470">
    <w:name w:val="样式 表格"/>
    <w:basedOn w:val="1"/>
    <w:link w:val="469"/>
    <w:qFormat/>
    <w:uiPriority w:val="0"/>
    <w:pPr>
      <w:spacing w:line="360" w:lineRule="auto"/>
    </w:pPr>
    <w:rPr>
      <w:rFonts w:eastAsia="仿宋"/>
      <w:kern w:val="0"/>
      <w:sz w:val="20"/>
      <w:szCs w:val="21"/>
    </w:rPr>
  </w:style>
  <w:style w:type="character" w:customStyle="1" w:styleId="471">
    <w:name w:val="样式（1） 字符"/>
    <w:link w:val="472"/>
    <w:qFormat/>
    <w:uiPriority w:val="0"/>
    <w:rPr>
      <w:rFonts w:eastAsia="仿宋"/>
      <w:sz w:val="28"/>
    </w:rPr>
  </w:style>
  <w:style w:type="paragraph" w:customStyle="1" w:styleId="472">
    <w:name w:val="样式（1）"/>
    <w:basedOn w:val="102"/>
    <w:link w:val="471"/>
    <w:qFormat/>
    <w:uiPriority w:val="0"/>
    <w:pPr>
      <w:spacing w:line="360" w:lineRule="auto"/>
      <w:ind w:firstLine="0" w:firstLineChars="0"/>
    </w:pPr>
    <w:rPr>
      <w:rFonts w:eastAsia="仿宋"/>
      <w:kern w:val="0"/>
      <w:sz w:val="28"/>
      <w:szCs w:val="20"/>
    </w:rPr>
  </w:style>
  <w:style w:type="character" w:customStyle="1" w:styleId="473">
    <w:name w:val="正文（标书） Char"/>
    <w:link w:val="474"/>
    <w:qFormat/>
    <w:uiPriority w:val="0"/>
    <w:rPr>
      <w:sz w:val="24"/>
      <w:szCs w:val="24"/>
    </w:rPr>
  </w:style>
  <w:style w:type="paragraph" w:customStyle="1" w:styleId="474">
    <w:name w:val="正文（标书）"/>
    <w:basedOn w:val="1"/>
    <w:link w:val="473"/>
    <w:qFormat/>
    <w:uiPriority w:val="0"/>
    <w:pPr>
      <w:spacing w:line="360" w:lineRule="auto"/>
      <w:ind w:firstLine="420"/>
    </w:pPr>
    <w:rPr>
      <w:kern w:val="0"/>
      <w:sz w:val="24"/>
    </w:rPr>
  </w:style>
  <w:style w:type="character" w:customStyle="1" w:styleId="475">
    <w:name w:val="正式格式 Char"/>
    <w:link w:val="476"/>
    <w:qFormat/>
    <w:uiPriority w:val="0"/>
    <w:rPr>
      <w:sz w:val="24"/>
      <w:szCs w:val="24"/>
    </w:rPr>
  </w:style>
  <w:style w:type="paragraph" w:customStyle="1" w:styleId="476">
    <w:name w:val="正式格式"/>
    <w:basedOn w:val="1"/>
    <w:link w:val="475"/>
    <w:qFormat/>
    <w:uiPriority w:val="0"/>
    <w:pPr>
      <w:spacing w:line="360" w:lineRule="auto"/>
      <w:ind w:firstLine="200" w:firstLineChars="200"/>
    </w:pPr>
    <w:rPr>
      <w:kern w:val="0"/>
      <w:sz w:val="24"/>
    </w:rPr>
  </w:style>
  <w:style w:type="character" w:customStyle="1" w:styleId="477">
    <w:name w:val="*正文 Char Char"/>
    <w:qFormat/>
    <w:uiPriority w:val="0"/>
    <w:rPr>
      <w:rFonts w:ascii="宋体" w:hAnsi="宋体"/>
      <w:szCs w:val="24"/>
    </w:rPr>
  </w:style>
  <w:style w:type="character" w:customStyle="1" w:styleId="478">
    <w:name w:val="引用 Char"/>
    <w:link w:val="479"/>
    <w:qFormat/>
    <w:uiPriority w:val="0"/>
    <w:rPr>
      <w:i/>
      <w:iCs/>
      <w:color w:val="000000"/>
      <w:sz w:val="22"/>
    </w:rPr>
  </w:style>
  <w:style w:type="paragraph" w:styleId="479">
    <w:name w:val="Quote"/>
    <w:basedOn w:val="1"/>
    <w:next w:val="1"/>
    <w:link w:val="478"/>
    <w:qFormat/>
    <w:uiPriority w:val="0"/>
    <w:pPr>
      <w:widowControl/>
      <w:spacing w:after="200" w:line="276" w:lineRule="auto"/>
      <w:jc w:val="left"/>
    </w:pPr>
    <w:rPr>
      <w:i/>
      <w:iCs/>
      <w:color w:val="000000"/>
      <w:kern w:val="0"/>
      <w:sz w:val="22"/>
      <w:szCs w:val="20"/>
    </w:rPr>
  </w:style>
  <w:style w:type="character" w:customStyle="1" w:styleId="480">
    <w:name w:val="引用 Char2"/>
    <w:basedOn w:val="80"/>
    <w:qFormat/>
    <w:uiPriority w:val="29"/>
    <w:rPr>
      <w:i/>
      <w:iCs/>
      <w:color w:val="000000" w:themeColor="text1"/>
      <w:kern w:val="2"/>
      <w:sz w:val="21"/>
      <w:szCs w:val="24"/>
      <w14:textFill>
        <w14:solidFill>
          <w14:schemeClr w14:val="tx1"/>
        </w14:solidFill>
      </w14:textFill>
    </w:rPr>
  </w:style>
  <w:style w:type="character" w:customStyle="1" w:styleId="481">
    <w:name w:val="正文（首行缩进两字） Char Char Char"/>
    <w:qFormat/>
    <w:locked/>
    <w:uiPriority w:val="0"/>
    <w:rPr>
      <w:rFonts w:ascii="宋体" w:hAnsi="宋体" w:eastAsia="宋体"/>
      <w:kern w:val="2"/>
      <w:sz w:val="24"/>
      <w:szCs w:val="24"/>
      <w:lang w:val="en-US" w:eastAsia="zh-CN" w:bidi="ar-SA"/>
    </w:rPr>
  </w:style>
  <w:style w:type="character" w:customStyle="1" w:styleId="482">
    <w:name w:val="【正文】 Char"/>
    <w:qFormat/>
    <w:uiPriority w:val="0"/>
    <w:rPr>
      <w:rFonts w:ascii="Times New Roman" w:hAnsi="Times New Roman" w:eastAsia="宋体" w:cs="Times New Roman"/>
      <w:kern w:val="0"/>
      <w:sz w:val="24"/>
    </w:rPr>
  </w:style>
  <w:style w:type="character" w:customStyle="1" w:styleId="483">
    <w:name w:val="脚注文本 Char1"/>
    <w:qFormat/>
    <w:uiPriority w:val="99"/>
    <w:rPr>
      <w:kern w:val="2"/>
      <w:sz w:val="18"/>
      <w:szCs w:val="18"/>
    </w:rPr>
  </w:style>
  <w:style w:type="character" w:customStyle="1" w:styleId="484">
    <w:name w:val="尖角符号样式 Char Char"/>
    <w:link w:val="485"/>
    <w:qFormat/>
    <w:uiPriority w:val="0"/>
    <w:rPr>
      <w:rFonts w:ascii="Arial" w:hAnsi="Arial" w:cs="宋体"/>
      <w:sz w:val="24"/>
    </w:rPr>
  </w:style>
  <w:style w:type="paragraph" w:customStyle="1" w:styleId="485">
    <w:name w:val="尖角符号样式"/>
    <w:basedOn w:val="1"/>
    <w:link w:val="484"/>
    <w:qFormat/>
    <w:uiPriority w:val="0"/>
    <w:pPr>
      <w:jc w:val="left"/>
    </w:pPr>
    <w:rPr>
      <w:rFonts w:ascii="Arial" w:hAnsi="Arial" w:cs="宋体"/>
      <w:kern w:val="0"/>
      <w:sz w:val="24"/>
      <w:szCs w:val="20"/>
    </w:rPr>
  </w:style>
  <w:style w:type="character" w:customStyle="1" w:styleId="486">
    <w:name w:val="正文ll Char"/>
    <w:link w:val="487"/>
    <w:qFormat/>
    <w:uiPriority w:val="0"/>
    <w:rPr>
      <w:sz w:val="24"/>
      <w:szCs w:val="24"/>
    </w:rPr>
  </w:style>
  <w:style w:type="paragraph" w:customStyle="1" w:styleId="487">
    <w:name w:val="正文ll"/>
    <w:basedOn w:val="1"/>
    <w:link w:val="486"/>
    <w:qFormat/>
    <w:uiPriority w:val="0"/>
    <w:pPr>
      <w:widowControl/>
      <w:spacing w:before="120" w:after="120" w:line="360" w:lineRule="auto"/>
      <w:ind w:firstLine="480" w:firstLineChars="200"/>
      <w:jc w:val="left"/>
    </w:pPr>
    <w:rPr>
      <w:kern w:val="0"/>
      <w:sz w:val="24"/>
    </w:rPr>
  </w:style>
  <w:style w:type="character" w:customStyle="1" w:styleId="488">
    <w:name w:val="MM Topic 4 Char"/>
    <w:link w:val="489"/>
    <w:qFormat/>
    <w:uiPriority w:val="0"/>
    <w:rPr>
      <w:rFonts w:ascii="Cambria" w:hAnsi="Cambria"/>
      <w:b/>
      <w:bCs/>
      <w:sz w:val="28"/>
      <w:szCs w:val="28"/>
    </w:rPr>
  </w:style>
  <w:style w:type="paragraph" w:customStyle="1" w:styleId="489">
    <w:name w:val="MM Topic 4"/>
    <w:basedOn w:val="6"/>
    <w:link w:val="488"/>
    <w:qFormat/>
    <w:uiPriority w:val="0"/>
    <w:pPr>
      <w:keepLines/>
      <w:spacing w:before="280" w:after="290" w:line="376" w:lineRule="auto"/>
      <w:ind w:left="2240" w:hanging="420"/>
    </w:pPr>
    <w:rPr>
      <w:rFonts w:ascii="Cambria" w:hAnsi="Cambria"/>
      <w:b/>
      <w:bCs/>
      <w:kern w:val="0"/>
      <w:szCs w:val="28"/>
    </w:rPr>
  </w:style>
  <w:style w:type="character" w:customStyle="1" w:styleId="490">
    <w:name w:val="正文2 Char Char"/>
    <w:qFormat/>
    <w:uiPriority w:val="0"/>
    <w:rPr>
      <w:rFonts w:ascii="楷体_GB2312" w:eastAsia="楷体_GB2312"/>
      <w:sz w:val="24"/>
    </w:rPr>
  </w:style>
  <w:style w:type="character" w:customStyle="1" w:styleId="491">
    <w:name w:val="4号正文 Char Char"/>
    <w:link w:val="492"/>
    <w:qFormat/>
    <w:uiPriority w:val="0"/>
    <w:rPr>
      <w:rFonts w:ascii="Arial" w:hAnsi="Arial"/>
      <w:spacing w:val="6"/>
      <w:sz w:val="24"/>
      <w:szCs w:val="28"/>
    </w:rPr>
  </w:style>
  <w:style w:type="paragraph" w:customStyle="1" w:styleId="492">
    <w:name w:val="4号正文"/>
    <w:basedOn w:val="5"/>
    <w:link w:val="491"/>
    <w:qFormat/>
    <w:uiPriority w:val="0"/>
    <w:pPr>
      <w:widowControl/>
      <w:autoSpaceDE/>
      <w:autoSpaceDN/>
      <w:adjustRightInd/>
      <w:spacing w:before="30" w:line="240" w:lineRule="auto"/>
      <w:ind w:firstLine="200" w:firstLineChars="200"/>
    </w:pPr>
    <w:rPr>
      <w:rFonts w:ascii="Arial" w:hAnsi="Arial" w:eastAsia="宋体"/>
      <w:spacing w:val="6"/>
      <w:sz w:val="24"/>
      <w:szCs w:val="28"/>
    </w:rPr>
  </w:style>
  <w:style w:type="character" w:customStyle="1" w:styleId="493">
    <w:name w:val="正文-2字符首行缩进 Char Char"/>
    <w:link w:val="494"/>
    <w:qFormat/>
    <w:uiPriority w:val="0"/>
    <w:rPr>
      <w:rFonts w:ascii="仿宋_GB2312" w:eastAsia="仿宋"/>
      <w:sz w:val="24"/>
    </w:rPr>
  </w:style>
  <w:style w:type="paragraph" w:customStyle="1" w:styleId="494">
    <w:name w:val="正文-2字符首行缩进"/>
    <w:basedOn w:val="1"/>
    <w:link w:val="493"/>
    <w:qFormat/>
    <w:uiPriority w:val="0"/>
    <w:pPr>
      <w:ind w:firstLine="200" w:firstLineChars="200"/>
      <w:jc w:val="left"/>
    </w:pPr>
    <w:rPr>
      <w:rFonts w:ascii="仿宋_GB2312" w:eastAsia="仿宋"/>
      <w:kern w:val="0"/>
      <w:sz w:val="24"/>
      <w:szCs w:val="20"/>
    </w:rPr>
  </w:style>
  <w:style w:type="character" w:customStyle="1" w:styleId="495">
    <w:name w:val="￥正文 Char Char"/>
    <w:link w:val="436"/>
    <w:qFormat/>
    <w:uiPriority w:val="0"/>
    <w:rPr>
      <w:rFonts w:asciiTheme="minorHAnsi" w:hAnsiTheme="minorHAnsi" w:eastAsiaTheme="minorEastAsia" w:cstheme="minorBidi"/>
      <w:kern w:val="2"/>
      <w:sz w:val="21"/>
      <w:szCs w:val="22"/>
    </w:rPr>
  </w:style>
  <w:style w:type="character" w:customStyle="1" w:styleId="496">
    <w:name w:val="明显强调2"/>
    <w:qFormat/>
    <w:uiPriority w:val="0"/>
    <w:rPr>
      <w:rFonts w:eastAsia="仿宋_GB2312"/>
      <w:bCs/>
      <w:iCs/>
      <w:color w:val="auto"/>
      <w:sz w:val="32"/>
    </w:rPr>
  </w:style>
  <w:style w:type="character" w:customStyle="1" w:styleId="497">
    <w:name w:val="正文（小四） Char"/>
    <w:link w:val="498"/>
    <w:qFormat/>
    <w:uiPriority w:val="0"/>
    <w:rPr>
      <w:rFonts w:ascii="仿宋_GB2312"/>
      <w:sz w:val="24"/>
      <w:szCs w:val="32"/>
    </w:rPr>
  </w:style>
  <w:style w:type="paragraph" w:customStyle="1" w:styleId="498">
    <w:name w:val="正文（小四）"/>
    <w:basedOn w:val="1"/>
    <w:link w:val="497"/>
    <w:qFormat/>
    <w:uiPriority w:val="0"/>
    <w:pPr>
      <w:spacing w:line="360" w:lineRule="auto"/>
      <w:ind w:firstLine="640" w:firstLineChars="200"/>
    </w:pPr>
    <w:rPr>
      <w:rFonts w:ascii="仿宋_GB2312"/>
      <w:kern w:val="0"/>
      <w:sz w:val="24"/>
      <w:szCs w:val="32"/>
    </w:rPr>
  </w:style>
  <w:style w:type="character" w:customStyle="1" w:styleId="499">
    <w:name w:val="标准正文 Char"/>
    <w:link w:val="380"/>
    <w:qFormat/>
    <w:locked/>
    <w:uiPriority w:val="0"/>
    <w:rPr>
      <w:sz w:val="24"/>
      <w:szCs w:val="24"/>
    </w:rPr>
  </w:style>
  <w:style w:type="character" w:customStyle="1" w:styleId="500">
    <w:name w:val="编号，小四 Char"/>
    <w:qFormat/>
    <w:uiPriority w:val="0"/>
    <w:rPr>
      <w:rFonts w:ascii="Arial" w:hAnsi="Arial" w:cs="宋体"/>
      <w:sz w:val="24"/>
    </w:rPr>
  </w:style>
  <w:style w:type="character" w:customStyle="1" w:styleId="501">
    <w:name w:val="页码11"/>
    <w:basedOn w:val="80"/>
    <w:qFormat/>
    <w:uiPriority w:val="0"/>
  </w:style>
  <w:style w:type="character" w:customStyle="1" w:styleId="502">
    <w:name w:val="MM Topic 2 Char"/>
    <w:link w:val="503"/>
    <w:qFormat/>
    <w:uiPriority w:val="0"/>
    <w:rPr>
      <w:rFonts w:ascii="Cambria" w:hAnsi="Cambria"/>
      <w:b/>
      <w:bCs/>
      <w:sz w:val="32"/>
      <w:szCs w:val="32"/>
    </w:rPr>
  </w:style>
  <w:style w:type="paragraph" w:customStyle="1" w:styleId="503">
    <w:name w:val="MM Topic 2"/>
    <w:basedOn w:val="3"/>
    <w:link w:val="502"/>
    <w:qFormat/>
    <w:uiPriority w:val="0"/>
    <w:pPr>
      <w:ind w:left="425" w:hanging="425"/>
    </w:pPr>
    <w:rPr>
      <w:rFonts w:ascii="Cambria" w:hAnsi="Cambria" w:eastAsia="宋体"/>
      <w:kern w:val="0"/>
    </w:rPr>
  </w:style>
  <w:style w:type="character" w:customStyle="1" w:styleId="504">
    <w:name w:val="表格非标题文字 Char Char"/>
    <w:link w:val="505"/>
    <w:qFormat/>
    <w:uiPriority w:val="0"/>
    <w:rPr>
      <w:rFonts w:ascii="Arial" w:hAnsi="Arial"/>
      <w:sz w:val="18"/>
      <w:szCs w:val="21"/>
    </w:rPr>
  </w:style>
  <w:style w:type="paragraph" w:customStyle="1" w:styleId="505">
    <w:name w:val="表格非标题文字"/>
    <w:link w:val="504"/>
    <w:qFormat/>
    <w:uiPriority w:val="0"/>
    <w:pPr>
      <w:snapToGrid w:val="0"/>
      <w:spacing w:before="80" w:after="40"/>
    </w:pPr>
    <w:rPr>
      <w:rFonts w:ascii="Arial" w:hAnsi="Arial" w:eastAsia="宋体" w:cs="Times New Roman"/>
      <w:sz w:val="18"/>
      <w:szCs w:val="21"/>
      <w:lang w:val="en-US" w:eastAsia="zh-CN" w:bidi="ar-SA"/>
    </w:rPr>
  </w:style>
  <w:style w:type="character" w:customStyle="1" w:styleId="506">
    <w:name w:val="正文样式1 Char"/>
    <w:link w:val="507"/>
    <w:qFormat/>
    <w:locked/>
    <w:uiPriority w:val="0"/>
    <w:rPr>
      <w:rFonts w:ascii="宋体"/>
      <w:sz w:val="24"/>
      <w:szCs w:val="24"/>
    </w:rPr>
  </w:style>
  <w:style w:type="paragraph" w:customStyle="1" w:styleId="507">
    <w:name w:val="正文样式1"/>
    <w:basedOn w:val="1"/>
    <w:link w:val="506"/>
    <w:qFormat/>
    <w:uiPriority w:val="0"/>
    <w:pPr>
      <w:widowControl/>
      <w:spacing w:before="120" w:after="120" w:line="440" w:lineRule="atLeast"/>
      <w:ind w:firstLine="480"/>
      <w:jc w:val="left"/>
    </w:pPr>
    <w:rPr>
      <w:rFonts w:ascii="宋体"/>
      <w:kern w:val="0"/>
      <w:sz w:val="24"/>
    </w:rPr>
  </w:style>
  <w:style w:type="character" w:customStyle="1" w:styleId="508">
    <w:name w:val="*正文 Char Char Char"/>
    <w:qFormat/>
    <w:uiPriority w:val="0"/>
    <w:rPr>
      <w:rFonts w:ascii="宋体" w:hAnsi="宋体" w:eastAsia="宋体" w:cs="Times New Roman"/>
      <w:sz w:val="22"/>
      <w:szCs w:val="24"/>
      <w:lang w:eastAsia="zh-CN"/>
    </w:rPr>
  </w:style>
  <w:style w:type="character" w:customStyle="1" w:styleId="509">
    <w:name w:val="WLWDB正文 Char"/>
    <w:link w:val="510"/>
    <w:qFormat/>
    <w:uiPriority w:val="0"/>
    <w:rPr>
      <w:rFonts w:ascii="Arial" w:hAnsi="Arial" w:cs="宋体"/>
      <w:sz w:val="28"/>
      <w:szCs w:val="28"/>
    </w:rPr>
  </w:style>
  <w:style w:type="paragraph" w:customStyle="1" w:styleId="510">
    <w:name w:val="WLWDB正文"/>
    <w:basedOn w:val="459"/>
    <w:link w:val="509"/>
    <w:qFormat/>
    <w:uiPriority w:val="0"/>
    <w:pPr>
      <w:ind w:firstLine="560"/>
    </w:pPr>
    <w:rPr>
      <w:sz w:val="28"/>
    </w:rPr>
  </w:style>
  <w:style w:type="character" w:customStyle="1" w:styleId="511">
    <w:name w:val="表格标题 字符"/>
    <w:link w:val="512"/>
    <w:qFormat/>
    <w:uiPriority w:val="0"/>
    <w:rPr>
      <w:rFonts w:ascii="Arial" w:hAnsi="Arial" w:eastAsia="黑体" w:cs="Arial"/>
      <w:kern w:val="18"/>
      <w:sz w:val="18"/>
    </w:rPr>
  </w:style>
  <w:style w:type="paragraph" w:customStyle="1" w:styleId="512">
    <w:name w:val="表格标题"/>
    <w:basedOn w:val="513"/>
    <w:link w:val="511"/>
    <w:qFormat/>
    <w:uiPriority w:val="0"/>
    <w:pPr>
      <w:tabs>
        <w:tab w:val="left" w:pos="284"/>
        <w:tab w:val="left" w:pos="425"/>
      </w:tabs>
    </w:pPr>
    <w:rPr>
      <w:rFonts w:ascii="Arial" w:hAnsi="Arial" w:eastAsia="黑体" w:cs="Arial"/>
      <w:szCs w:val="20"/>
    </w:rPr>
  </w:style>
  <w:style w:type="paragraph" w:customStyle="1" w:styleId="513">
    <w:name w:val="图例样式"/>
    <w:basedOn w:val="1"/>
    <w:qFormat/>
    <w:uiPriority w:val="0"/>
    <w:pPr>
      <w:tabs>
        <w:tab w:val="left" w:pos="284"/>
        <w:tab w:val="left" w:pos="425"/>
      </w:tabs>
      <w:adjustRightInd w:val="0"/>
      <w:snapToGrid w:val="0"/>
      <w:jc w:val="center"/>
      <w:textAlignment w:val="center"/>
    </w:pPr>
    <w:rPr>
      <w:rFonts w:ascii="Calibri" w:hAnsi="Calibri"/>
      <w:kern w:val="18"/>
      <w:sz w:val="18"/>
      <w:szCs w:val="22"/>
    </w:rPr>
  </w:style>
  <w:style w:type="character" w:customStyle="1" w:styleId="514">
    <w:name w:val="MM Topic 5 Char"/>
    <w:link w:val="515"/>
    <w:qFormat/>
    <w:uiPriority w:val="0"/>
    <w:rPr>
      <w:b/>
      <w:bCs/>
      <w:sz w:val="28"/>
      <w:szCs w:val="28"/>
    </w:rPr>
  </w:style>
  <w:style w:type="paragraph" w:customStyle="1" w:styleId="515">
    <w:name w:val="MM Topic 5"/>
    <w:basedOn w:val="7"/>
    <w:link w:val="514"/>
    <w:qFormat/>
    <w:uiPriority w:val="0"/>
    <w:pPr>
      <w:ind w:left="2660" w:hanging="420"/>
    </w:pPr>
    <w:rPr>
      <w:kern w:val="0"/>
    </w:rPr>
  </w:style>
  <w:style w:type="character" w:customStyle="1" w:styleId="516">
    <w:name w:val="Default Char"/>
    <w:link w:val="130"/>
    <w:qFormat/>
    <w:uiPriority w:val="0"/>
    <w:rPr>
      <w:color w:val="000000"/>
      <w:sz w:val="24"/>
      <w:szCs w:val="24"/>
    </w:rPr>
  </w:style>
  <w:style w:type="character" w:customStyle="1" w:styleId="517">
    <w:name w:val="z-窗体底端 Char"/>
    <w:link w:val="518"/>
    <w:qFormat/>
    <w:uiPriority w:val="0"/>
    <w:rPr>
      <w:rFonts w:ascii="Arial" w:hAnsi="Arial"/>
      <w:vanish/>
      <w:sz w:val="16"/>
      <w:szCs w:val="16"/>
    </w:rPr>
  </w:style>
  <w:style w:type="paragraph" w:customStyle="1" w:styleId="518">
    <w:name w:val="z-窗体底端2"/>
    <w:basedOn w:val="1"/>
    <w:next w:val="1"/>
    <w:link w:val="517"/>
    <w:qFormat/>
    <w:uiPriority w:val="0"/>
    <w:pPr>
      <w:widowControl/>
      <w:pBdr>
        <w:top w:val="single" w:color="auto" w:sz="6" w:space="1"/>
      </w:pBdr>
      <w:jc w:val="center"/>
    </w:pPr>
    <w:rPr>
      <w:rFonts w:ascii="Arial" w:hAnsi="Arial"/>
      <w:vanish/>
      <w:kern w:val="0"/>
      <w:sz w:val="16"/>
      <w:szCs w:val="16"/>
    </w:rPr>
  </w:style>
  <w:style w:type="character" w:customStyle="1" w:styleId="519">
    <w:name w:val="QB正文 Char"/>
    <w:link w:val="520"/>
    <w:qFormat/>
    <w:uiPriority w:val="0"/>
    <w:rPr>
      <w:rFonts w:ascii="宋体"/>
      <w:sz w:val="24"/>
    </w:rPr>
  </w:style>
  <w:style w:type="paragraph" w:customStyle="1" w:styleId="520">
    <w:name w:val="QB正文"/>
    <w:basedOn w:val="1"/>
    <w:link w:val="519"/>
    <w:qFormat/>
    <w:uiPriority w:val="0"/>
    <w:pPr>
      <w:widowControl/>
      <w:autoSpaceDE w:val="0"/>
      <w:autoSpaceDN w:val="0"/>
      <w:spacing w:line="360" w:lineRule="auto"/>
      <w:ind w:firstLine="200" w:firstLineChars="200"/>
    </w:pPr>
    <w:rPr>
      <w:rFonts w:ascii="宋体"/>
      <w:kern w:val="0"/>
      <w:sz w:val="24"/>
      <w:szCs w:val="20"/>
    </w:rPr>
  </w:style>
  <w:style w:type="character" w:customStyle="1" w:styleId="521">
    <w:name w:val="图 字符"/>
    <w:qFormat/>
    <w:uiPriority w:val="0"/>
    <w:rPr>
      <w:rFonts w:ascii="Times New Roman" w:hAnsi="Times New Roman" w:eastAsia="黑体" w:cs="Times New Roman"/>
      <w:b/>
      <w:bCs/>
      <w:sz w:val="24"/>
      <w:szCs w:val="24"/>
    </w:rPr>
  </w:style>
  <w:style w:type="character" w:customStyle="1" w:styleId="522">
    <w:name w:val="自定义样式 正文 Char"/>
    <w:link w:val="523"/>
    <w:qFormat/>
    <w:uiPriority w:val="0"/>
    <w:rPr>
      <w:rFonts w:ascii="Arial" w:hAnsi="Arial" w:eastAsia="仿宋_GB2312"/>
      <w:bCs/>
      <w:sz w:val="24"/>
      <w:szCs w:val="24"/>
    </w:rPr>
  </w:style>
  <w:style w:type="paragraph" w:customStyle="1" w:styleId="523">
    <w:name w:val="自定义样式 正文"/>
    <w:basedOn w:val="1"/>
    <w:link w:val="522"/>
    <w:qFormat/>
    <w:uiPriority w:val="0"/>
    <w:pPr>
      <w:widowControl/>
      <w:spacing w:before="120" w:after="120" w:line="360" w:lineRule="auto"/>
      <w:ind w:firstLine="480" w:firstLineChars="200"/>
      <w:jc w:val="left"/>
    </w:pPr>
    <w:rPr>
      <w:rFonts w:ascii="Arial" w:hAnsi="Arial" w:eastAsia="仿宋_GB2312"/>
      <w:bCs/>
      <w:kern w:val="0"/>
      <w:sz w:val="24"/>
    </w:rPr>
  </w:style>
  <w:style w:type="paragraph" w:customStyle="1" w:styleId="524">
    <w:name w:val="样式 目录 5 + 左侧:  8 字符 首行缩进:  2 字符"/>
    <w:basedOn w:val="1"/>
    <w:next w:val="1"/>
    <w:qFormat/>
    <w:uiPriority w:val="0"/>
    <w:pPr>
      <w:ind w:firstLine="720" w:firstLineChars="300"/>
      <w:jc w:val="left"/>
    </w:pPr>
    <w:rPr>
      <w:rFonts w:ascii="Calibri" w:hAnsi="Calibri" w:cs="宋体"/>
      <w:kern w:val="0"/>
      <w:sz w:val="28"/>
    </w:rPr>
  </w:style>
  <w:style w:type="paragraph" w:customStyle="1" w:styleId="525">
    <w:name w:val="xw一般正文"/>
    <w:basedOn w:val="1"/>
    <w:qFormat/>
    <w:uiPriority w:val="0"/>
    <w:pPr>
      <w:ind w:firstLine="540" w:firstLineChars="225"/>
      <w:jc w:val="left"/>
    </w:pPr>
    <w:rPr>
      <w:rFonts w:ascii="宋体" w:hAnsi="宋体"/>
      <w:sz w:val="28"/>
      <w:szCs w:val="21"/>
    </w:rPr>
  </w:style>
  <w:style w:type="paragraph" w:customStyle="1" w:styleId="52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character" w:customStyle="1" w:styleId="527">
    <w:name w:val="电子邮件签名 Char1"/>
    <w:basedOn w:val="80"/>
    <w:semiHidden/>
    <w:qFormat/>
    <w:uiPriority w:val="99"/>
    <w:rPr>
      <w:rFonts w:ascii="Times New Roman" w:hAnsi="Times New Roman" w:eastAsia="宋体" w:cs="Times New Roman"/>
      <w:szCs w:val="24"/>
    </w:rPr>
  </w:style>
  <w:style w:type="character" w:customStyle="1" w:styleId="528">
    <w:name w:val="尾注文本 Char1"/>
    <w:basedOn w:val="80"/>
    <w:semiHidden/>
    <w:qFormat/>
    <w:uiPriority w:val="99"/>
    <w:rPr>
      <w:rFonts w:ascii="Times New Roman" w:hAnsi="Times New Roman" w:eastAsia="宋体" w:cs="Times New Roman"/>
      <w:szCs w:val="24"/>
    </w:rPr>
  </w:style>
  <w:style w:type="character" w:customStyle="1" w:styleId="529">
    <w:name w:val="脚注文本 Char2"/>
    <w:basedOn w:val="80"/>
    <w:semiHidden/>
    <w:qFormat/>
    <w:uiPriority w:val="99"/>
    <w:rPr>
      <w:sz w:val="18"/>
      <w:szCs w:val="18"/>
    </w:rPr>
  </w:style>
  <w:style w:type="paragraph" w:customStyle="1" w:styleId="530">
    <w:name w:val="Char1"/>
    <w:basedOn w:val="76"/>
    <w:qFormat/>
    <w:uiPriority w:val="0"/>
    <w:pPr>
      <w:spacing w:line="360" w:lineRule="auto"/>
      <w:ind w:firstLine="200" w:firstLineChars="200"/>
    </w:pPr>
    <w:rPr>
      <w:rFonts w:ascii="Tahoma" w:hAnsi="Tahoma"/>
      <w:sz w:val="36"/>
      <w:szCs w:val="36"/>
    </w:rPr>
  </w:style>
  <w:style w:type="character" w:customStyle="1" w:styleId="531">
    <w:name w:val="结束语 Char1"/>
    <w:basedOn w:val="80"/>
    <w:semiHidden/>
    <w:qFormat/>
    <w:uiPriority w:val="99"/>
    <w:rPr>
      <w:rFonts w:ascii="Times New Roman" w:hAnsi="Times New Roman" w:eastAsia="宋体" w:cs="Times New Roman"/>
      <w:szCs w:val="24"/>
    </w:rPr>
  </w:style>
  <w:style w:type="character" w:customStyle="1" w:styleId="532">
    <w:name w:val="签名 Char1"/>
    <w:basedOn w:val="80"/>
    <w:semiHidden/>
    <w:qFormat/>
    <w:uiPriority w:val="99"/>
    <w:rPr>
      <w:rFonts w:ascii="Times New Roman" w:hAnsi="Times New Roman" w:eastAsia="宋体" w:cs="Times New Roman"/>
      <w:szCs w:val="24"/>
    </w:rPr>
  </w:style>
  <w:style w:type="paragraph" w:customStyle="1" w:styleId="533">
    <w:name w:val="font7"/>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534">
    <w:name w:val="font8"/>
    <w:basedOn w:val="1"/>
    <w:qFormat/>
    <w:uiPriority w:val="0"/>
    <w:pPr>
      <w:widowControl/>
      <w:spacing w:before="100" w:beforeAutospacing="1" w:after="100" w:afterAutospacing="1"/>
      <w:jc w:val="left"/>
    </w:pPr>
    <w:rPr>
      <w:rFonts w:ascii="Calibri" w:hAnsi="Calibri"/>
      <w:kern w:val="0"/>
      <w:sz w:val="20"/>
      <w:szCs w:val="20"/>
    </w:rPr>
  </w:style>
  <w:style w:type="paragraph" w:customStyle="1" w:styleId="535">
    <w:name w:val="TOC 标题3"/>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536">
    <w:name w:val="HTML 地址 Char1"/>
    <w:basedOn w:val="80"/>
    <w:semiHidden/>
    <w:qFormat/>
    <w:uiPriority w:val="99"/>
    <w:rPr>
      <w:rFonts w:ascii="Times New Roman" w:hAnsi="Times New Roman" w:eastAsia="宋体" w:cs="Times New Roman"/>
      <w:i/>
      <w:iCs/>
      <w:szCs w:val="24"/>
    </w:rPr>
  </w:style>
  <w:style w:type="paragraph" w:customStyle="1" w:styleId="537">
    <w:name w:val="font9"/>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38">
    <w:name w:val="正文模板"/>
    <w:basedOn w:val="62"/>
    <w:qFormat/>
    <w:uiPriority w:val="0"/>
    <w:pPr>
      <w:spacing w:after="0" w:line="240" w:lineRule="auto"/>
      <w:ind w:firstLine="200" w:firstLineChars="200"/>
      <w:jc w:val="left"/>
    </w:pPr>
    <w:rPr>
      <w:rFonts w:ascii="Times" w:hAnsi="Times"/>
      <w:szCs w:val="24"/>
    </w:rPr>
  </w:style>
  <w:style w:type="paragraph" w:customStyle="1" w:styleId="539">
    <w:name w:val="正文G"/>
    <w:basedOn w:val="5"/>
    <w:qFormat/>
    <w:uiPriority w:val="99"/>
    <w:pPr>
      <w:autoSpaceDE/>
      <w:autoSpaceDN/>
      <w:adjustRightInd/>
      <w:spacing w:before="120" w:after="120" w:line="420" w:lineRule="auto"/>
      <w:ind w:firstLine="560"/>
    </w:pPr>
    <w:rPr>
      <w:rFonts w:ascii="仿宋_GB2312" w:hAnsi="宋体" w:eastAsia="仿宋_GB2312"/>
      <w:snapToGrid w:val="0"/>
      <w:szCs w:val="28"/>
    </w:rPr>
  </w:style>
  <w:style w:type="paragraph" w:customStyle="1" w:styleId="540">
    <w:name w:val="默认段落字体 Para Char Char Char Char"/>
    <w:basedOn w:val="1"/>
    <w:qFormat/>
    <w:uiPriority w:val="0"/>
    <w:pPr>
      <w:spacing w:line="240" w:lineRule="atLeast"/>
      <w:ind w:left="420" w:firstLine="420"/>
    </w:pPr>
    <w:rPr>
      <w:rFonts w:ascii="Calibri" w:hAnsi="Calibri"/>
      <w:szCs w:val="22"/>
    </w:rPr>
  </w:style>
  <w:style w:type="paragraph" w:customStyle="1" w:styleId="54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kern w:val="0"/>
      <w:sz w:val="20"/>
      <w:szCs w:val="20"/>
    </w:rPr>
  </w:style>
  <w:style w:type="paragraph" w:customStyle="1" w:styleId="542">
    <w:name w:val="JS正文"/>
    <w:basedOn w:val="1"/>
    <w:qFormat/>
    <w:uiPriority w:val="0"/>
    <w:pPr>
      <w:widowControl/>
      <w:spacing w:after="160" w:line="360" w:lineRule="auto"/>
      <w:ind w:firstLine="420" w:firstLineChars="200"/>
      <w:jc w:val="left"/>
    </w:pPr>
    <w:rPr>
      <w:rFonts w:ascii="Calibri" w:hAnsi="Calibri"/>
      <w:kern w:val="0"/>
      <w:sz w:val="24"/>
      <w:lang w:eastAsia="en-US" w:bidi="en-US"/>
    </w:rPr>
  </w:style>
  <w:style w:type="paragraph" w:customStyle="1" w:styleId="543">
    <w:name w:val="默认段落字体 Para Char Char Char Char Char Char Char"/>
    <w:basedOn w:val="1"/>
    <w:qFormat/>
    <w:uiPriority w:val="0"/>
    <w:pPr>
      <w:tabs>
        <w:tab w:val="right" w:pos="-2120"/>
      </w:tabs>
      <w:snapToGrid w:val="0"/>
      <w:jc w:val="left"/>
    </w:pPr>
    <w:rPr>
      <w:rFonts w:ascii="Tahoma" w:hAnsi="Tahoma"/>
      <w:spacing w:val="6"/>
      <w:sz w:val="28"/>
      <w:szCs w:val="20"/>
    </w:rPr>
  </w:style>
  <w:style w:type="paragraph" w:customStyle="1" w:styleId="544">
    <w:name w:val="正文（首行缩进2字符）"/>
    <w:basedOn w:val="1"/>
    <w:qFormat/>
    <w:uiPriority w:val="0"/>
    <w:pPr>
      <w:ind w:firstLine="480" w:firstLineChars="200"/>
    </w:pPr>
    <w:rPr>
      <w:rFonts w:ascii="Calibri" w:hAnsi="Calibri"/>
      <w:sz w:val="24"/>
    </w:rPr>
  </w:style>
  <w:style w:type="paragraph" w:customStyle="1" w:styleId="545">
    <w:name w:val="【标题8】"/>
    <w:basedOn w:val="10"/>
    <w:qFormat/>
    <w:uiPriority w:val="99"/>
    <w:pPr>
      <w:snapToGrid w:val="0"/>
      <w:spacing w:beforeLines="100" w:afterLines="100" w:line="240" w:lineRule="auto"/>
      <w:ind w:left="4394" w:hanging="1418"/>
    </w:pPr>
    <w:rPr>
      <w:rFonts w:ascii="Calibri" w:hAnsi="Calibri"/>
      <w:b/>
      <w:sz w:val="28"/>
      <w:szCs w:val="28"/>
    </w:rPr>
  </w:style>
  <w:style w:type="paragraph" w:customStyle="1" w:styleId="546">
    <w:name w:val="xl64"/>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18"/>
      <w:szCs w:val="18"/>
    </w:rPr>
  </w:style>
  <w:style w:type="paragraph" w:customStyle="1" w:styleId="547">
    <w:name w:val="表格标题格式"/>
    <w:basedOn w:val="1"/>
    <w:qFormat/>
    <w:uiPriority w:val="0"/>
    <w:pPr>
      <w:spacing w:line="360" w:lineRule="auto"/>
      <w:jc w:val="center"/>
    </w:pPr>
    <w:rPr>
      <w:b/>
      <w:szCs w:val="22"/>
    </w:rPr>
  </w:style>
  <w:style w:type="paragraph" w:customStyle="1" w:styleId="548">
    <w:name w:val="北仑 【标题2】"/>
    <w:basedOn w:val="3"/>
    <w:qFormat/>
    <w:uiPriority w:val="99"/>
    <w:pPr>
      <w:snapToGrid w:val="0"/>
      <w:spacing w:beforeLines="100" w:afterLines="100" w:line="240" w:lineRule="auto"/>
      <w:ind w:left="1320" w:hanging="420"/>
    </w:pPr>
    <w:rPr>
      <w:rFonts w:ascii="Times New Roman" w:hAnsi="Times New Roman" w:eastAsia="宋体"/>
      <w:szCs w:val="36"/>
    </w:rPr>
  </w:style>
  <w:style w:type="paragraph" w:customStyle="1" w:styleId="549">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50">
    <w:name w:val="二级标题"/>
    <w:basedOn w:val="1"/>
    <w:next w:val="1"/>
    <w:qFormat/>
    <w:uiPriority w:val="0"/>
    <w:pPr>
      <w:outlineLvl w:val="1"/>
    </w:pPr>
    <w:rPr>
      <w:rFonts w:ascii="微软雅黑" w:hAnsi="微软雅黑" w:eastAsia="微软雅黑"/>
      <w:b/>
      <w:sz w:val="30"/>
      <w:szCs w:val="22"/>
    </w:rPr>
  </w:style>
  <w:style w:type="paragraph" w:customStyle="1" w:styleId="551">
    <w:name w:val="样式 标题 5 + 段前: 0.5 行"/>
    <w:basedOn w:val="7"/>
    <w:qFormat/>
    <w:uiPriority w:val="0"/>
    <w:pPr>
      <w:snapToGrid w:val="0"/>
      <w:spacing w:before="156" w:beforeLines="50" w:after="180" w:line="360" w:lineRule="auto"/>
      <w:ind w:left="1272" w:hanging="420"/>
      <w:jc w:val="left"/>
    </w:pPr>
    <w:rPr>
      <w:rFonts w:ascii="Arial" w:hAnsi="Arial" w:eastAsia="黑体" w:cs="宋体"/>
      <w:b w:val="0"/>
      <w:bCs w:val="0"/>
      <w:szCs w:val="20"/>
    </w:rPr>
  </w:style>
  <w:style w:type="paragraph" w:customStyle="1" w:styleId="552">
    <w:name w:val="xl50"/>
    <w:basedOn w:val="1"/>
    <w:qFormat/>
    <w:uiPriority w:val="0"/>
    <w:pPr>
      <w:widowControl/>
      <w:spacing w:before="100" w:beforeAutospacing="1" w:after="100" w:afterAutospacing="1"/>
      <w:jc w:val="center"/>
    </w:pPr>
    <w:rPr>
      <w:rFonts w:ascii="宋体" w:hAnsi="宋体"/>
      <w:kern w:val="0"/>
      <w:sz w:val="20"/>
      <w:szCs w:val="20"/>
    </w:rPr>
  </w:style>
  <w:style w:type="character" w:customStyle="1" w:styleId="553">
    <w:name w:val="正文文本 2 Char1"/>
    <w:basedOn w:val="80"/>
    <w:semiHidden/>
    <w:qFormat/>
    <w:uiPriority w:val="99"/>
    <w:rPr>
      <w:kern w:val="2"/>
      <w:sz w:val="24"/>
      <w:szCs w:val="22"/>
    </w:rPr>
  </w:style>
  <w:style w:type="character" w:customStyle="1" w:styleId="554">
    <w:name w:val="注释标题 Char1"/>
    <w:basedOn w:val="80"/>
    <w:semiHidden/>
    <w:qFormat/>
    <w:uiPriority w:val="99"/>
    <w:rPr>
      <w:rFonts w:ascii="Times New Roman" w:hAnsi="Times New Roman" w:eastAsia="宋体" w:cs="Times New Roman"/>
      <w:szCs w:val="24"/>
    </w:rPr>
  </w:style>
  <w:style w:type="paragraph" w:customStyle="1" w:styleId="555">
    <w:name w:val="表格标题(居中)"/>
    <w:basedOn w:val="2"/>
    <w:link w:val="668"/>
    <w:qFormat/>
    <w:uiPriority w:val="0"/>
    <w:pPr>
      <w:keepNext w:val="0"/>
      <w:keepLines w:val="0"/>
      <w:snapToGrid w:val="0"/>
      <w:spacing w:before="0" w:after="0" w:line="300" w:lineRule="auto"/>
      <w:jc w:val="center"/>
      <w:outlineLvl w:val="9"/>
    </w:pPr>
    <w:rPr>
      <w:rFonts w:ascii="Calibri" w:hAnsi="Calibri" w:eastAsia="黑体" w:cs="Calibri"/>
      <w:b w:val="0"/>
      <w:bCs w:val="0"/>
      <w:kern w:val="2"/>
      <w:sz w:val="24"/>
      <w:szCs w:val="20"/>
    </w:rPr>
  </w:style>
  <w:style w:type="paragraph" w:customStyle="1" w:styleId="55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57">
    <w:name w:val="xl70"/>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58">
    <w:name w:val="样式 标题 2H2Heading 2 HiddenHeading 2 CCBSheading 22nd levelh..."/>
    <w:basedOn w:val="3"/>
    <w:qFormat/>
    <w:uiPriority w:val="99"/>
    <w:pPr>
      <w:spacing w:before="120" w:after="120" w:line="240" w:lineRule="auto"/>
      <w:ind w:left="576" w:hanging="576"/>
    </w:pPr>
    <w:rPr>
      <w:rFonts w:cs="宋体"/>
      <w:b w:val="0"/>
      <w:bCs w:val="0"/>
      <w:sz w:val="28"/>
      <w:szCs w:val="28"/>
    </w:rPr>
  </w:style>
  <w:style w:type="paragraph" w:customStyle="1" w:styleId="55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60">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6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62">
    <w:name w:val="样式"/>
    <w:qFormat/>
    <w:uiPriority w:val="99"/>
    <w:pPr>
      <w:widowControl w:val="0"/>
      <w:autoSpaceDE w:val="0"/>
      <w:autoSpaceDN w:val="0"/>
      <w:adjustRightInd w:val="0"/>
    </w:pPr>
    <w:rPr>
      <w:rFonts w:ascii="Arial" w:hAnsi="Arial" w:eastAsia="宋体" w:cs="Arial"/>
      <w:sz w:val="24"/>
      <w:szCs w:val="24"/>
      <w:lang w:val="en-US" w:eastAsia="zh-CN" w:bidi="ar-SA"/>
    </w:rPr>
  </w:style>
  <w:style w:type="paragraph" w:customStyle="1" w:styleId="563">
    <w:name w:val="附件(1)"/>
    <w:basedOn w:val="1"/>
    <w:qFormat/>
    <w:uiPriority w:val="99"/>
    <w:pPr>
      <w:tabs>
        <w:tab w:val="left" w:pos="840"/>
      </w:tabs>
      <w:spacing w:line="360" w:lineRule="auto"/>
    </w:pPr>
    <w:rPr>
      <w:sz w:val="24"/>
    </w:rPr>
  </w:style>
  <w:style w:type="paragraph" w:customStyle="1" w:styleId="56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65">
    <w:name w:val="Char1 Char Char Char Char Char Char Char Char Char Char Char Char Char Char Char"/>
    <w:basedOn w:val="1"/>
    <w:qFormat/>
    <w:uiPriority w:val="0"/>
    <w:pPr>
      <w:jc w:val="left"/>
    </w:pPr>
    <w:rPr>
      <w:rFonts w:ascii="Tahoma" w:hAnsi="Tahoma"/>
      <w:sz w:val="28"/>
      <w:szCs w:val="20"/>
    </w:rPr>
  </w:style>
  <w:style w:type="paragraph" w:customStyle="1" w:styleId="566">
    <w:name w:val="xl35"/>
    <w:basedOn w:val="1"/>
    <w:qFormat/>
    <w:uiPriority w:val="0"/>
    <w:pPr>
      <w:widowControl/>
      <w:spacing w:before="100" w:beforeAutospacing="1" w:after="100" w:afterAutospacing="1"/>
      <w:jc w:val="center"/>
    </w:pPr>
    <w:rPr>
      <w:rFonts w:ascii="宋体" w:hAnsi="宋体"/>
      <w:b/>
      <w:bCs/>
      <w:kern w:val="0"/>
      <w:sz w:val="36"/>
      <w:szCs w:val="36"/>
    </w:rPr>
  </w:style>
  <w:style w:type="paragraph" w:customStyle="1" w:styleId="56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68">
    <w:name w:val="0正文"/>
    <w:basedOn w:val="1"/>
    <w:qFormat/>
    <w:uiPriority w:val="0"/>
    <w:pPr>
      <w:ind w:firstLine="480" w:firstLineChars="200"/>
      <w:jc w:val="left"/>
    </w:pPr>
    <w:rPr>
      <w:rFonts w:ascii="Calibri" w:hAnsi="Calibri" w:eastAsia="华文中宋"/>
      <w:color w:val="0070C0"/>
      <w:kern w:val="0"/>
      <w:sz w:val="28"/>
    </w:rPr>
  </w:style>
  <w:style w:type="paragraph" w:customStyle="1" w:styleId="569">
    <w:name w:val="条款节部分"/>
    <w:basedOn w:val="1"/>
    <w:qFormat/>
    <w:uiPriority w:val="0"/>
    <w:pPr>
      <w:numPr>
        <w:ilvl w:val="0"/>
        <w:numId w:val="20"/>
      </w:numPr>
      <w:tabs>
        <w:tab w:val="left" w:pos="2850"/>
      </w:tabs>
      <w:ind w:firstLine="0"/>
    </w:pPr>
    <w:rPr>
      <w:rFonts w:ascii="Calibri" w:hAnsi="Calibri" w:eastAsia="仿宋_GB2312"/>
      <w:sz w:val="32"/>
      <w:szCs w:val="32"/>
    </w:rPr>
  </w:style>
  <w:style w:type="paragraph" w:customStyle="1" w:styleId="570">
    <w:name w:val="xl6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71">
    <w:name w:val="Char11"/>
    <w:basedOn w:val="76"/>
    <w:qFormat/>
    <w:uiPriority w:val="0"/>
    <w:pPr>
      <w:spacing w:line="360" w:lineRule="auto"/>
      <w:ind w:firstLine="200" w:firstLineChars="200"/>
    </w:pPr>
    <w:rPr>
      <w:rFonts w:ascii="Tahoma" w:hAnsi="Tahoma"/>
      <w:sz w:val="36"/>
      <w:szCs w:val="36"/>
    </w:rPr>
  </w:style>
  <w:style w:type="paragraph" w:customStyle="1" w:styleId="57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573">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74">
    <w:name w:val="xl79"/>
    <w:basedOn w:val="1"/>
    <w:qFormat/>
    <w:uiPriority w:val="0"/>
    <w:pPr>
      <w:widowControl/>
      <w:pBdr>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75">
    <w:name w:val="表1"/>
    <w:basedOn w:val="1"/>
    <w:qFormat/>
    <w:uiPriority w:val="0"/>
    <w:pPr>
      <w:numPr>
        <w:ilvl w:val="0"/>
        <w:numId w:val="21"/>
      </w:numPr>
      <w:tabs>
        <w:tab w:val="left" w:pos="632"/>
      </w:tabs>
      <w:ind w:left="0" w:firstLine="0"/>
      <w:jc w:val="center"/>
    </w:pPr>
    <w:rPr>
      <w:rFonts w:ascii="Arial" w:hAnsi="Arial" w:cs="宋体"/>
      <w:szCs w:val="20"/>
    </w:rPr>
  </w:style>
  <w:style w:type="paragraph" w:customStyle="1" w:styleId="576">
    <w:name w:val="xl69"/>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77">
    <w:name w:val="z-窗体底端1"/>
    <w:basedOn w:val="1"/>
    <w:next w:val="1"/>
    <w:qFormat/>
    <w:uiPriority w:val="0"/>
    <w:pPr>
      <w:widowControl/>
      <w:pBdr>
        <w:top w:val="single" w:color="auto" w:sz="6" w:space="1"/>
      </w:pBdr>
      <w:jc w:val="center"/>
    </w:pPr>
    <w:rPr>
      <w:rFonts w:ascii="Arial" w:hAnsi="Arial"/>
      <w:vanish/>
      <w:sz w:val="16"/>
      <w:szCs w:val="16"/>
    </w:rPr>
  </w:style>
  <w:style w:type="character" w:customStyle="1" w:styleId="578">
    <w:name w:val="称呼 Char1"/>
    <w:basedOn w:val="80"/>
    <w:semiHidden/>
    <w:qFormat/>
    <w:uiPriority w:val="99"/>
    <w:rPr>
      <w:rFonts w:ascii="Times New Roman" w:hAnsi="Times New Roman" w:eastAsia="宋体" w:cs="Times New Roman"/>
      <w:szCs w:val="24"/>
    </w:rPr>
  </w:style>
  <w:style w:type="paragraph" w:customStyle="1" w:styleId="579">
    <w:name w:val="样式 样式 仿宋_GB2312 四号 + 首行缩进:  2 字符"/>
    <w:basedOn w:val="1"/>
    <w:qFormat/>
    <w:uiPriority w:val="99"/>
    <w:pPr>
      <w:widowControl/>
      <w:spacing w:before="120" w:after="120" w:line="440" w:lineRule="exact"/>
      <w:ind w:firstLine="560" w:firstLineChars="200"/>
      <w:jc w:val="left"/>
    </w:pPr>
    <w:rPr>
      <w:rFonts w:ascii="仿宋_GB2312" w:hAnsi="宋体" w:eastAsia="仿宋_GB2312" w:cs="宋体"/>
      <w:sz w:val="24"/>
      <w:szCs w:val="20"/>
    </w:rPr>
  </w:style>
  <w:style w:type="paragraph" w:customStyle="1" w:styleId="580">
    <w:name w:val="xl71"/>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581">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82">
    <w:name w:val="样式 标题 2h2Level 2 Topic HeadingHD2Heading 2 HiddenHeading 2 ..."/>
    <w:basedOn w:val="2"/>
    <w:qFormat/>
    <w:uiPriority w:val="99"/>
    <w:pPr>
      <w:pageBreakBefore/>
      <w:spacing w:before="0" w:after="0"/>
      <w:ind w:left="1402" w:hanging="420"/>
    </w:pPr>
    <w:rPr>
      <w:rFonts w:eastAsia="仿宋"/>
      <w:sz w:val="48"/>
      <w:szCs w:val="36"/>
    </w:rPr>
  </w:style>
  <w:style w:type="paragraph" w:customStyle="1" w:styleId="583">
    <w:name w:val="样式 楷体_GB2312 左 行距: 固定值 24 磅"/>
    <w:basedOn w:val="1"/>
    <w:qFormat/>
    <w:uiPriority w:val="0"/>
    <w:pPr>
      <w:spacing w:line="480" w:lineRule="exact"/>
      <w:ind w:firstLine="480" w:firstLineChars="200"/>
      <w:jc w:val="left"/>
    </w:pPr>
    <w:rPr>
      <w:rFonts w:ascii="楷体_GB2312" w:hAnsi="Calibri" w:eastAsia="楷体_GB2312" w:cs="宋体"/>
      <w:kern w:val="0"/>
      <w:sz w:val="28"/>
      <w:szCs w:val="20"/>
    </w:rPr>
  </w:style>
  <w:style w:type="paragraph" w:customStyle="1" w:styleId="584">
    <w:name w:val="【标题7】"/>
    <w:basedOn w:val="9"/>
    <w:qFormat/>
    <w:uiPriority w:val="99"/>
    <w:pPr>
      <w:snapToGrid w:val="0"/>
      <w:spacing w:beforeLines="100" w:afterLines="100" w:line="240" w:lineRule="auto"/>
      <w:ind w:left="1276" w:hanging="1276"/>
    </w:pPr>
    <w:rPr>
      <w:rFonts w:ascii="Calibri" w:hAnsi="Calibri" w:eastAsia="黑体"/>
      <w:sz w:val="28"/>
      <w:szCs w:val="28"/>
    </w:rPr>
  </w:style>
  <w:style w:type="character" w:customStyle="1" w:styleId="585">
    <w:name w:val="正文首行缩进 2 Char1"/>
    <w:basedOn w:val="120"/>
    <w:semiHidden/>
    <w:qFormat/>
    <w:uiPriority w:val="99"/>
    <w:rPr>
      <w:rFonts w:ascii="Times New Roman" w:hAnsi="Times New Roman" w:eastAsia="楷体_GB2312" w:cs="Times New Roman"/>
      <w:kern w:val="0"/>
      <w:sz w:val="30"/>
      <w:szCs w:val="20"/>
    </w:rPr>
  </w:style>
  <w:style w:type="paragraph" w:customStyle="1" w:styleId="586">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587">
    <w:name w:val="贺式正文"/>
    <w:basedOn w:val="1"/>
    <w:qFormat/>
    <w:uiPriority w:val="0"/>
    <w:pPr>
      <w:ind w:firstLine="480" w:firstLineChars="200"/>
      <w:jc w:val="left"/>
    </w:pPr>
    <w:rPr>
      <w:rFonts w:ascii="Calibri" w:hAnsi="Calibri" w:cs="宋体"/>
      <w:sz w:val="28"/>
      <w:szCs w:val="20"/>
    </w:rPr>
  </w:style>
  <w:style w:type="character" w:customStyle="1" w:styleId="588">
    <w:name w:val="标题 Char2"/>
    <w:basedOn w:val="80"/>
    <w:qFormat/>
    <w:uiPriority w:val="10"/>
    <w:rPr>
      <w:rFonts w:ascii="Cambria" w:hAnsi="Cambria" w:cs="Times New Roman"/>
      <w:b/>
      <w:bCs/>
      <w:kern w:val="2"/>
      <w:sz w:val="32"/>
      <w:szCs w:val="32"/>
    </w:rPr>
  </w:style>
  <w:style w:type="paragraph" w:customStyle="1" w:styleId="589">
    <w:name w:val="xl78"/>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90">
    <w:name w:val="xl45"/>
    <w:basedOn w:val="1"/>
    <w:qFormat/>
    <w:uiPriority w:val="0"/>
    <w:pPr>
      <w:widowControl/>
      <w:spacing w:before="100" w:beforeAutospacing="1" w:after="100" w:afterAutospacing="1"/>
      <w:jc w:val="right"/>
    </w:pPr>
    <w:rPr>
      <w:rFonts w:ascii="宋体" w:hAnsi="宋体"/>
      <w:kern w:val="0"/>
      <w:sz w:val="24"/>
    </w:rPr>
  </w:style>
  <w:style w:type="paragraph" w:customStyle="1" w:styleId="591">
    <w:name w:val="xl67"/>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92">
    <w:name w:val="1级标题"/>
    <w:basedOn w:val="102"/>
    <w:qFormat/>
    <w:uiPriority w:val="0"/>
    <w:pPr>
      <w:keepLines/>
      <w:pageBreakBefore/>
      <w:tabs>
        <w:tab w:val="left" w:pos="360"/>
      </w:tabs>
      <w:spacing w:before="240" w:after="240" w:line="360" w:lineRule="auto"/>
      <w:ind w:left="900" w:firstLine="0" w:firstLineChars="0"/>
      <w:contextualSpacing/>
      <w:jc w:val="center"/>
      <w:outlineLvl w:val="0"/>
    </w:pPr>
    <w:rPr>
      <w:rFonts w:ascii="黑体" w:hAnsi="黑体" w:eastAsia="黑体"/>
      <w:kern w:val="0"/>
      <w:sz w:val="36"/>
      <w:szCs w:val="36"/>
      <w:lang w:eastAsia="en-US" w:bidi="en-US"/>
    </w:rPr>
  </w:style>
  <w:style w:type="character" w:customStyle="1" w:styleId="593">
    <w:name w:val="信息标题 Char1"/>
    <w:basedOn w:val="80"/>
    <w:semiHidden/>
    <w:qFormat/>
    <w:uiPriority w:val="99"/>
    <w:rPr>
      <w:rFonts w:asciiTheme="majorHAnsi" w:hAnsiTheme="majorHAnsi" w:eastAsiaTheme="majorEastAsia" w:cstheme="majorBidi"/>
      <w:sz w:val="24"/>
      <w:szCs w:val="24"/>
      <w:shd w:val="pct20" w:color="auto" w:fill="auto"/>
    </w:rPr>
  </w:style>
  <w:style w:type="paragraph" w:customStyle="1" w:styleId="594">
    <w:name w:val="【标题6】"/>
    <w:basedOn w:val="8"/>
    <w:qFormat/>
    <w:uiPriority w:val="99"/>
    <w:pPr>
      <w:snapToGrid w:val="0"/>
      <w:spacing w:beforeLines="100" w:afterLines="100" w:line="240" w:lineRule="auto"/>
      <w:ind w:left="1134" w:hanging="1134"/>
    </w:pPr>
    <w:rPr>
      <w:rFonts w:ascii="Calibri" w:hAnsi="Calibri"/>
      <w:sz w:val="28"/>
      <w:szCs w:val="28"/>
    </w:rPr>
  </w:style>
  <w:style w:type="paragraph" w:customStyle="1" w:styleId="595">
    <w:name w:val="CM10"/>
    <w:basedOn w:val="1"/>
    <w:next w:val="1"/>
    <w:qFormat/>
    <w:uiPriority w:val="99"/>
    <w:pPr>
      <w:autoSpaceDE w:val="0"/>
      <w:autoSpaceDN w:val="0"/>
      <w:adjustRightInd w:val="0"/>
      <w:spacing w:line="473" w:lineRule="atLeast"/>
      <w:jc w:val="left"/>
    </w:pPr>
    <w:rPr>
      <w:rFonts w:ascii="宋体" w:cs="宋体"/>
      <w:kern w:val="0"/>
      <w:sz w:val="24"/>
    </w:rPr>
  </w:style>
  <w:style w:type="paragraph" w:customStyle="1" w:styleId="596">
    <w:name w:val="附件圈"/>
    <w:basedOn w:val="563"/>
    <w:qFormat/>
    <w:uiPriority w:val="99"/>
    <w:pPr>
      <w:tabs>
        <w:tab w:val="left" w:pos="980"/>
      </w:tabs>
    </w:pPr>
  </w:style>
  <w:style w:type="paragraph" w:customStyle="1" w:styleId="597">
    <w:name w:val="Style First line:  2 ch"/>
    <w:basedOn w:val="1"/>
    <w:qFormat/>
    <w:uiPriority w:val="99"/>
    <w:pPr>
      <w:ind w:firstLine="480"/>
    </w:pPr>
    <w:rPr>
      <w:rFonts w:eastAsia="仿宋" w:cs="黑体"/>
      <w:szCs w:val="22"/>
    </w:rPr>
  </w:style>
  <w:style w:type="character" w:customStyle="1" w:styleId="598">
    <w:name w:val="HTML 预设格式 Char1"/>
    <w:basedOn w:val="80"/>
    <w:semiHidden/>
    <w:qFormat/>
    <w:uiPriority w:val="99"/>
    <w:rPr>
      <w:rFonts w:ascii="Courier New" w:hAnsi="Courier New" w:eastAsia="宋体" w:cs="Courier New"/>
      <w:sz w:val="20"/>
      <w:szCs w:val="20"/>
    </w:rPr>
  </w:style>
  <w:style w:type="paragraph" w:customStyle="1" w:styleId="599">
    <w:name w:val="引用1"/>
    <w:basedOn w:val="1"/>
    <w:next w:val="1"/>
    <w:qFormat/>
    <w:uiPriority w:val="0"/>
    <w:rPr>
      <w:rFonts w:ascii="Calibri" w:hAnsi="Calibri"/>
      <w:i/>
      <w:iCs/>
      <w:color w:val="000000"/>
      <w:szCs w:val="22"/>
    </w:rPr>
  </w:style>
  <w:style w:type="paragraph" w:customStyle="1" w:styleId="60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2">
    <w:name w:val="样式 标题 2第一章 标题 2Heading 2 HiddenHeading 2 CCBSheading 2H2h2..."/>
    <w:basedOn w:val="3"/>
    <w:qFormat/>
    <w:uiPriority w:val="0"/>
    <w:pPr>
      <w:keepNext w:val="0"/>
      <w:numPr>
        <w:ilvl w:val="1"/>
        <w:numId w:val="22"/>
      </w:numPr>
      <w:tabs>
        <w:tab w:val="left" w:pos="2040"/>
      </w:tabs>
      <w:spacing w:before="0" w:after="0" w:line="360" w:lineRule="auto"/>
      <w:ind w:left="0" w:firstLine="0"/>
      <w:jc w:val="left"/>
    </w:pPr>
    <w:rPr>
      <w:rFonts w:eastAsia="宋体"/>
      <w:color w:val="000000"/>
      <w:sz w:val="24"/>
      <w:szCs w:val="20"/>
      <w:lang w:val="zh-CN"/>
    </w:rPr>
  </w:style>
  <w:style w:type="paragraph" w:customStyle="1" w:styleId="603">
    <w:name w:val="正文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604">
    <w:name w:val="xl72"/>
    <w:basedOn w:val="1"/>
    <w:qFormat/>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jc w:val="left"/>
      <w:textAlignment w:val="center"/>
    </w:pPr>
    <w:rPr>
      <w:rFonts w:ascii="宋体" w:hAnsi="宋体" w:cs="宋体"/>
      <w:color w:val="000000"/>
      <w:kern w:val="0"/>
      <w:sz w:val="18"/>
      <w:szCs w:val="18"/>
    </w:rPr>
  </w:style>
  <w:style w:type="paragraph" w:customStyle="1" w:styleId="60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6">
    <w:name w:val="正文3"/>
    <w:qFormat/>
    <w:uiPriority w:val="0"/>
    <w:pPr>
      <w:widowControl w:val="0"/>
      <w:spacing w:line="360" w:lineRule="auto"/>
      <w:ind w:firstLine="480" w:firstLineChars="200"/>
      <w:jc w:val="both"/>
    </w:pPr>
    <w:rPr>
      <w:rFonts w:ascii="微软雅黑" w:hAnsi="微软雅黑" w:eastAsia="微软雅黑" w:cs="Calibri"/>
      <w:color w:val="000000"/>
      <w:kern w:val="2"/>
      <w:sz w:val="24"/>
      <w:szCs w:val="24"/>
      <w:lang w:val="en-US" w:eastAsia="zh-CN" w:bidi="ar-SA"/>
    </w:rPr>
  </w:style>
  <w:style w:type="paragraph" w:customStyle="1" w:styleId="607">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608">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09">
    <w:name w:val="样式 标题 2h2Level 2 Topic HeadingHD2Heading 2 HiddenHeading 2 ...1"/>
    <w:basedOn w:val="8"/>
    <w:next w:val="1"/>
    <w:qFormat/>
    <w:uiPriority w:val="99"/>
    <w:pPr>
      <w:spacing w:before="0" w:after="0"/>
      <w:ind w:left="3502"/>
    </w:pPr>
    <w:rPr>
      <w:color w:val="000000"/>
      <w:sz w:val="28"/>
      <w:szCs w:val="28"/>
    </w:rPr>
  </w:style>
  <w:style w:type="paragraph" w:customStyle="1" w:styleId="610">
    <w:name w:val="样式 标题 3h3H3level_3PIM 3Level 3 HeadHeading 3 - oldsect1.2..."/>
    <w:basedOn w:val="4"/>
    <w:qFormat/>
    <w:uiPriority w:val="0"/>
    <w:pPr>
      <w:keepNext w:val="0"/>
      <w:keepLines w:val="0"/>
      <w:numPr>
        <w:ilvl w:val="2"/>
        <w:numId w:val="22"/>
      </w:numPr>
      <w:tabs>
        <w:tab w:val="left" w:pos="2040"/>
      </w:tabs>
      <w:autoSpaceDE/>
      <w:autoSpaceDN/>
      <w:adjustRightInd/>
      <w:spacing w:before="0" w:after="0" w:line="413" w:lineRule="auto"/>
      <w:ind w:left="0" w:firstLine="0"/>
      <w:jc w:val="left"/>
    </w:pPr>
    <w:rPr>
      <w:rFonts w:ascii="Times New Roman" w:eastAsia="宋体"/>
      <w:kern w:val="2"/>
      <w:sz w:val="24"/>
      <w:lang w:val="zh-CN"/>
    </w:rPr>
  </w:style>
  <w:style w:type="paragraph" w:customStyle="1" w:styleId="611">
    <w:name w:val="标题8"/>
    <w:basedOn w:val="10"/>
    <w:next w:val="1"/>
    <w:qFormat/>
    <w:uiPriority w:val="0"/>
    <w:pPr>
      <w:numPr>
        <w:ilvl w:val="7"/>
        <w:numId w:val="18"/>
      </w:numPr>
      <w:spacing w:line="319" w:lineRule="auto"/>
      <w:jc w:val="left"/>
    </w:pPr>
    <w:rPr>
      <w:rFonts w:ascii="Cambria" w:hAnsi="Cambria"/>
      <w:sz w:val="28"/>
      <w:lang w:eastAsia="en-US"/>
    </w:rPr>
  </w:style>
  <w:style w:type="paragraph" w:customStyle="1" w:styleId="612">
    <w:name w:val="样式 标题 4h4First SubheadingH4sect 1.2.3.4Ref Heading 1rh1se..."/>
    <w:basedOn w:val="6"/>
    <w:qFormat/>
    <w:uiPriority w:val="99"/>
    <w:pPr>
      <w:keepLines/>
      <w:spacing w:line="376" w:lineRule="auto"/>
      <w:ind w:left="2246" w:hanging="420"/>
    </w:pPr>
    <w:rPr>
      <w:rFonts w:eastAsia="仿宋"/>
      <w:b/>
      <w:bCs/>
      <w:sz w:val="32"/>
      <w:szCs w:val="28"/>
    </w:rPr>
  </w:style>
  <w:style w:type="paragraph" w:customStyle="1" w:styleId="613">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61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615">
    <w:name w:val="TOC 标题4"/>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16">
    <w:name w:val="标题 31"/>
    <w:basedOn w:val="606"/>
    <w:next w:val="606"/>
    <w:qFormat/>
    <w:uiPriority w:val="0"/>
    <w:pPr>
      <w:keepNext/>
      <w:keepLines/>
      <w:numPr>
        <w:ilvl w:val="2"/>
        <w:numId w:val="23"/>
      </w:numPr>
      <w:spacing w:before="260" w:after="260"/>
      <w:ind w:firstLine="0" w:firstLineChars="0"/>
      <w:outlineLvl w:val="2"/>
    </w:pPr>
    <w:rPr>
      <w:rFonts w:ascii="Times" w:hAnsi="Times"/>
      <w:b/>
      <w:bCs/>
      <w:sz w:val="28"/>
      <w:szCs w:val="32"/>
    </w:rPr>
  </w:style>
  <w:style w:type="paragraph" w:customStyle="1" w:styleId="617">
    <w:name w:val="!BECC正文"/>
    <w:basedOn w:val="1"/>
    <w:qFormat/>
    <w:uiPriority w:val="0"/>
    <w:pPr>
      <w:tabs>
        <w:tab w:val="left" w:pos="0"/>
      </w:tabs>
      <w:spacing w:before="156" w:beforeLines="50" w:after="156" w:afterLines="50"/>
      <w:ind w:firstLine="200" w:firstLineChars="200"/>
      <w:contextualSpacing/>
      <w:jc w:val="left"/>
    </w:pPr>
    <w:rPr>
      <w:kern w:val="0"/>
      <w:sz w:val="28"/>
    </w:rPr>
  </w:style>
  <w:style w:type="paragraph" w:customStyle="1" w:styleId="618">
    <w:name w:val="表标题"/>
    <w:basedOn w:val="1"/>
    <w:qFormat/>
    <w:uiPriority w:val="0"/>
    <w:pPr>
      <w:spacing w:line="305" w:lineRule="auto"/>
      <w:ind w:firstLine="50" w:firstLineChars="50"/>
    </w:pPr>
    <w:rPr>
      <w:rFonts w:ascii="黑体" w:hAnsi="宋体" w:eastAsia="黑体"/>
      <w:kern w:val="44"/>
      <w:sz w:val="24"/>
    </w:rPr>
  </w:style>
  <w:style w:type="paragraph" w:customStyle="1" w:styleId="619">
    <w:name w:val="项目1"/>
    <w:basedOn w:val="1"/>
    <w:next w:val="1"/>
    <w:qFormat/>
    <w:uiPriority w:val="0"/>
    <w:pPr>
      <w:numPr>
        <w:ilvl w:val="4"/>
        <w:numId w:val="24"/>
      </w:numPr>
      <w:tabs>
        <w:tab w:val="left" w:pos="960"/>
      </w:tabs>
      <w:adjustRightInd w:val="0"/>
      <w:ind w:left="200" w:leftChars="200" w:hanging="200" w:hangingChars="200"/>
      <w:jc w:val="left"/>
    </w:pPr>
    <w:rPr>
      <w:rFonts w:ascii="Calibri" w:hAnsi="Calibri"/>
      <w:kern w:val="0"/>
      <w:sz w:val="28"/>
    </w:rPr>
  </w:style>
  <w:style w:type="paragraph" w:customStyle="1" w:styleId="62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b/>
      <w:bCs/>
      <w:kern w:val="0"/>
      <w:sz w:val="20"/>
      <w:szCs w:val="20"/>
    </w:rPr>
  </w:style>
  <w:style w:type="paragraph" w:customStyle="1" w:styleId="621">
    <w:name w:val="Char2 Char Char Char Char Char Char Char Char Char1 Char Char Char Char Char Char"/>
    <w:basedOn w:val="23"/>
    <w:qFormat/>
    <w:uiPriority w:val="0"/>
    <w:pPr>
      <w:shd w:val="clear" w:color="auto" w:fill="000080"/>
      <w:jc w:val="left"/>
    </w:pPr>
    <w:rPr>
      <w:rFonts w:ascii="Tahoma" w:hAnsi="Tahoma"/>
      <w:sz w:val="24"/>
      <w:szCs w:val="24"/>
      <w:shd w:val="clear" w:color="auto" w:fill="000080"/>
      <w:lang w:val="zh-CN"/>
    </w:rPr>
  </w:style>
  <w:style w:type="paragraph" w:customStyle="1" w:styleId="622">
    <w:name w:val="附件标题"/>
    <w:basedOn w:val="1"/>
    <w:qFormat/>
    <w:uiPriority w:val="99"/>
    <w:pPr>
      <w:spacing w:line="360" w:lineRule="auto"/>
      <w:jc w:val="center"/>
    </w:pPr>
    <w:rPr>
      <w:rFonts w:ascii="Arial" w:hAnsi="Arial" w:eastAsia="黑体"/>
      <w:sz w:val="24"/>
    </w:rPr>
  </w:style>
  <w:style w:type="paragraph" w:customStyle="1" w:styleId="623">
    <w:name w:val="标题7"/>
    <w:basedOn w:val="9"/>
    <w:next w:val="1"/>
    <w:qFormat/>
    <w:uiPriority w:val="0"/>
    <w:pPr>
      <w:numPr>
        <w:ilvl w:val="6"/>
        <w:numId w:val="18"/>
      </w:numPr>
      <w:spacing w:line="319" w:lineRule="auto"/>
      <w:jc w:val="left"/>
    </w:pPr>
    <w:rPr>
      <w:rFonts w:ascii="Arial" w:hAnsi="Arial" w:eastAsia="黑体" w:cs="宋体"/>
      <w:b w:val="0"/>
      <w:sz w:val="28"/>
      <w:lang w:eastAsia="en-US"/>
    </w:rPr>
  </w:style>
  <w:style w:type="paragraph" w:customStyle="1" w:styleId="624">
    <w:name w:val="标题2"/>
    <w:basedOn w:val="1"/>
    <w:qFormat/>
    <w:uiPriority w:val="0"/>
    <w:pPr>
      <w:numPr>
        <w:ilvl w:val="1"/>
        <w:numId w:val="25"/>
      </w:numPr>
      <w:ind w:firstLine="0"/>
      <w:jc w:val="left"/>
      <w:outlineLvl w:val="1"/>
    </w:pPr>
    <w:rPr>
      <w:rFonts w:ascii="黑体" w:hAnsi="宋体" w:eastAsia="黑体"/>
      <w:b/>
      <w:bCs/>
      <w:sz w:val="28"/>
    </w:rPr>
  </w:style>
  <w:style w:type="paragraph" w:customStyle="1" w:styleId="625">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paragraph" w:customStyle="1" w:styleId="626">
    <w:name w:val="xl7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27">
    <w:name w:val="xl6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28">
    <w:name w:val="xl7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29">
    <w:name w:val="Style Verdana First line:  2 ch"/>
    <w:basedOn w:val="1"/>
    <w:qFormat/>
    <w:uiPriority w:val="99"/>
    <w:pPr>
      <w:ind w:firstLine="480"/>
    </w:pPr>
    <w:rPr>
      <w:rFonts w:ascii="Verdana" w:hAnsi="Verdana" w:eastAsia="仿宋" w:cs="黑体"/>
      <w:sz w:val="28"/>
      <w:szCs w:val="22"/>
    </w:rPr>
  </w:style>
  <w:style w:type="paragraph" w:customStyle="1" w:styleId="630">
    <w:name w:val="2.6.10"/>
    <w:basedOn w:val="1"/>
    <w:qFormat/>
    <w:uiPriority w:val="99"/>
    <w:pPr>
      <w:numPr>
        <w:ilvl w:val="0"/>
        <w:numId w:val="26"/>
      </w:numPr>
      <w:ind w:left="0" w:firstLine="0"/>
      <w:jc w:val="center"/>
    </w:pPr>
    <w:rPr>
      <w:rFonts w:ascii="Calibri" w:hAnsi="Calibri" w:cs="黑体"/>
      <w:szCs w:val="22"/>
    </w:rPr>
  </w:style>
  <w:style w:type="paragraph" w:customStyle="1" w:styleId="631">
    <w:name w:val="2级标题"/>
    <w:basedOn w:val="102"/>
    <w:qFormat/>
    <w:uiPriority w:val="0"/>
    <w:pPr>
      <w:keepLines/>
      <w:tabs>
        <w:tab w:val="left" w:pos="360"/>
      </w:tabs>
      <w:spacing w:before="240" w:after="120" w:line="360" w:lineRule="auto"/>
      <w:ind w:left="1320" w:firstLine="0" w:firstLineChars="0"/>
      <w:contextualSpacing/>
      <w:jc w:val="left"/>
      <w:outlineLvl w:val="1"/>
    </w:pPr>
    <w:rPr>
      <w:rFonts w:ascii="黑体" w:hAnsi="黑体" w:eastAsia="黑体"/>
      <w:kern w:val="0"/>
      <w:sz w:val="32"/>
      <w:szCs w:val="36"/>
      <w:lang w:eastAsia="en-US" w:bidi="en-US"/>
    </w:rPr>
  </w:style>
  <w:style w:type="paragraph" w:customStyle="1" w:styleId="632">
    <w:name w:val="正文 首行缩进:  2 字符 Char"/>
    <w:basedOn w:val="1"/>
    <w:qFormat/>
    <w:uiPriority w:val="99"/>
    <w:pPr>
      <w:spacing w:line="360" w:lineRule="auto"/>
      <w:ind w:firstLine="480"/>
    </w:pPr>
    <w:rPr>
      <w:rFonts w:eastAsia="仿宋" w:cs="宋体"/>
      <w:sz w:val="24"/>
      <w:szCs w:val="20"/>
    </w:rPr>
  </w:style>
  <w:style w:type="paragraph" w:customStyle="1" w:styleId="633">
    <w:name w:val="xl7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4">
    <w:name w:val="正文文本缩进 211"/>
    <w:basedOn w:val="1"/>
    <w:qFormat/>
    <w:uiPriority w:val="0"/>
    <w:pPr>
      <w:adjustRightInd w:val="0"/>
      <w:spacing w:line="480" w:lineRule="exact"/>
      <w:ind w:left="105" w:firstLine="200" w:firstLineChars="200"/>
      <w:jc w:val="left"/>
      <w:textAlignment w:val="baseline"/>
    </w:pPr>
    <w:rPr>
      <w:rFonts w:ascii="Calibri" w:hAnsi="Calibri"/>
      <w:kern w:val="0"/>
      <w:sz w:val="24"/>
      <w:szCs w:val="20"/>
    </w:rPr>
  </w:style>
  <w:style w:type="paragraph" w:customStyle="1" w:styleId="635">
    <w:name w:val="一级标题"/>
    <w:basedOn w:val="2"/>
    <w:next w:val="1"/>
    <w:qFormat/>
    <w:uiPriority w:val="0"/>
    <w:pPr>
      <w:spacing w:before="0" w:after="0" w:line="240" w:lineRule="auto"/>
    </w:pPr>
    <w:rPr>
      <w:rFonts w:ascii="微软雅黑" w:hAnsi="微软雅黑" w:eastAsia="微软雅黑"/>
      <w:sz w:val="32"/>
    </w:rPr>
  </w:style>
  <w:style w:type="paragraph" w:customStyle="1" w:styleId="636">
    <w:name w:val="项目2"/>
    <w:basedOn w:val="1"/>
    <w:next w:val="1"/>
    <w:qFormat/>
    <w:uiPriority w:val="0"/>
    <w:pPr>
      <w:numPr>
        <w:ilvl w:val="5"/>
        <w:numId w:val="24"/>
      </w:numPr>
      <w:tabs>
        <w:tab w:val="left" w:pos="960"/>
      </w:tabs>
      <w:ind w:left="400" w:leftChars="200" w:hanging="200" w:hangingChars="200"/>
      <w:jc w:val="left"/>
    </w:pPr>
    <w:rPr>
      <w:rFonts w:ascii="Calibri" w:hAnsi="Calibri"/>
      <w:kern w:val="0"/>
      <w:sz w:val="28"/>
    </w:rPr>
  </w:style>
  <w:style w:type="paragraph" w:customStyle="1" w:styleId="637">
    <w:name w:val="题注 + 居中"/>
    <w:basedOn w:val="1"/>
    <w:qFormat/>
    <w:uiPriority w:val="0"/>
    <w:pPr>
      <w:jc w:val="center"/>
    </w:pPr>
    <w:rPr>
      <w:rFonts w:ascii="Arial" w:hAnsi="Arial" w:cs="宋体"/>
      <w:sz w:val="28"/>
    </w:rPr>
  </w:style>
  <w:style w:type="paragraph" w:customStyle="1" w:styleId="638">
    <w:name w:val="xl7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9">
    <w:name w:val="项目3"/>
    <w:basedOn w:val="1"/>
    <w:next w:val="1"/>
    <w:qFormat/>
    <w:uiPriority w:val="0"/>
    <w:pPr>
      <w:numPr>
        <w:ilvl w:val="6"/>
        <w:numId w:val="24"/>
      </w:numPr>
      <w:tabs>
        <w:tab w:val="left" w:pos="960"/>
      </w:tabs>
      <w:ind w:left="200" w:leftChars="200" w:hanging="200" w:hangingChars="200"/>
      <w:jc w:val="left"/>
    </w:pPr>
    <w:rPr>
      <w:rFonts w:ascii="Calibri" w:hAnsi="Calibri"/>
      <w:kern w:val="0"/>
      <w:sz w:val="28"/>
    </w:rPr>
  </w:style>
  <w:style w:type="paragraph" w:customStyle="1" w:styleId="64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6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642">
    <w:name w:val="Char3"/>
    <w:basedOn w:val="1"/>
    <w:qFormat/>
    <w:uiPriority w:val="0"/>
    <w:pPr>
      <w:adjustRightInd w:val="0"/>
      <w:jc w:val="left"/>
    </w:pPr>
    <w:rPr>
      <w:rFonts w:ascii="Calibri" w:hAnsi="Calibri"/>
      <w:kern w:val="0"/>
      <w:sz w:val="28"/>
      <w:szCs w:val="20"/>
    </w:rPr>
  </w:style>
  <w:style w:type="paragraph" w:customStyle="1" w:styleId="643">
    <w:name w:val="图片标题格式"/>
    <w:basedOn w:val="441"/>
    <w:next w:val="476"/>
    <w:qFormat/>
    <w:uiPriority w:val="0"/>
    <w:rPr>
      <w:rFonts w:ascii="Times New Roman" w:hAnsi="Times New Roman"/>
      <w:b/>
      <w:sz w:val="21"/>
      <w:szCs w:val="22"/>
      <w:lang w:eastAsia="zh-CN" w:bidi="ar-SA"/>
    </w:rPr>
  </w:style>
  <w:style w:type="paragraph" w:customStyle="1" w:styleId="644">
    <w:name w:val="xl34"/>
    <w:basedOn w:val="1"/>
    <w:qFormat/>
    <w:uiPriority w:val="0"/>
    <w:pPr>
      <w:widowControl/>
      <w:spacing w:before="100" w:beforeAutospacing="1" w:after="100" w:afterAutospacing="1"/>
      <w:jc w:val="left"/>
    </w:pPr>
    <w:rPr>
      <w:rFonts w:ascii="宋体" w:hAnsi="宋体"/>
      <w:b/>
      <w:bCs/>
      <w:kern w:val="0"/>
      <w:sz w:val="24"/>
    </w:rPr>
  </w:style>
  <w:style w:type="paragraph" w:customStyle="1" w:styleId="64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46">
    <w:name w:val="xl68"/>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47">
    <w:name w:val="CM51"/>
    <w:basedOn w:val="130"/>
    <w:next w:val="130"/>
    <w:qFormat/>
    <w:uiPriority w:val="99"/>
    <w:pPr>
      <w:spacing w:after="103"/>
    </w:pPr>
    <w:rPr>
      <w:rFonts w:ascii="黑体" w:hAnsi="Calibri" w:eastAsia="黑体"/>
      <w:color w:val="auto"/>
    </w:rPr>
  </w:style>
  <w:style w:type="paragraph" w:customStyle="1" w:styleId="648">
    <w:name w:val="纯文本1"/>
    <w:basedOn w:val="1"/>
    <w:qFormat/>
    <w:uiPriority w:val="0"/>
    <w:pPr>
      <w:widowControl/>
      <w:adjustRightInd w:val="0"/>
      <w:spacing w:line="305" w:lineRule="auto"/>
      <w:ind w:firstLine="420"/>
      <w:textAlignment w:val="baseline"/>
    </w:pPr>
    <w:rPr>
      <w:rFonts w:ascii="宋体" w:hAnsi="Courier New"/>
      <w:szCs w:val="20"/>
    </w:rPr>
  </w:style>
  <w:style w:type="paragraph" w:customStyle="1" w:styleId="649">
    <w:name w:val="xl80"/>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6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51">
    <w:name w:val="样式 标题 2H2Heading 2 HiddenHeading 2 CCBSheading 22nd levelh...1"/>
    <w:basedOn w:val="3"/>
    <w:qFormat/>
    <w:uiPriority w:val="99"/>
    <w:pPr>
      <w:spacing w:before="240" w:after="240" w:line="240" w:lineRule="auto"/>
      <w:ind w:left="576" w:hanging="576"/>
    </w:pPr>
    <w:rPr>
      <w:rFonts w:ascii="宋体" w:hAnsi="宋体" w:eastAsia="宋体"/>
      <w:b w:val="0"/>
      <w:bCs w:val="0"/>
      <w:sz w:val="28"/>
      <w:szCs w:val="28"/>
    </w:rPr>
  </w:style>
  <w:style w:type="paragraph" w:customStyle="1" w:styleId="65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53">
    <w:name w:val="标题1"/>
    <w:basedOn w:val="1"/>
    <w:qFormat/>
    <w:uiPriority w:val="99"/>
    <w:pPr>
      <w:pageBreakBefore/>
      <w:jc w:val="left"/>
      <w:outlineLvl w:val="0"/>
    </w:pPr>
    <w:rPr>
      <w:rFonts w:ascii="黑体" w:hAnsi="宋体" w:eastAsia="黑体"/>
      <w:b/>
      <w:bCs/>
      <w:sz w:val="30"/>
    </w:rPr>
  </w:style>
  <w:style w:type="paragraph" w:customStyle="1" w:styleId="654">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宋体" w:hAnsi="宋体" w:eastAsia="宋体" w:cs="Times New Roman"/>
      <w:sz w:val="24"/>
      <w:szCs w:val="24"/>
      <w:lang w:val="en-US" w:eastAsia="zh-CN" w:bidi="ar-SA"/>
    </w:rPr>
  </w:style>
  <w:style w:type="paragraph" w:customStyle="1" w:styleId="655">
    <w:name w:val="xl22"/>
    <w:basedOn w:val="1"/>
    <w:qFormat/>
    <w:uiPriority w:val="0"/>
    <w:pPr>
      <w:widowControl/>
      <w:pBdr>
        <w:bottom w:val="single" w:color="auto" w:sz="4" w:space="0"/>
        <w:right w:val="single" w:color="auto" w:sz="4" w:space="0"/>
      </w:pBdr>
      <w:spacing w:before="100" w:beforeAutospacing="1" w:after="100" w:afterAutospacing="1"/>
      <w:jc w:val="center"/>
    </w:pPr>
    <w:rPr>
      <w:rFonts w:ascii="Calibri" w:hAnsi="Calibri" w:eastAsia="Arial Unicode MS"/>
      <w:kern w:val="0"/>
      <w:sz w:val="20"/>
      <w:szCs w:val="20"/>
    </w:rPr>
  </w:style>
  <w:style w:type="paragraph" w:customStyle="1" w:styleId="656">
    <w:name w:val="样式 样式 首行缩进:  2 字符3 + 首行缩进:  2 字符"/>
    <w:basedOn w:val="1"/>
    <w:qFormat/>
    <w:uiPriority w:val="0"/>
    <w:pPr>
      <w:numPr>
        <w:ilvl w:val="0"/>
        <w:numId w:val="27"/>
      </w:numPr>
      <w:ind w:firstLine="0"/>
      <w:jc w:val="left"/>
    </w:pPr>
    <w:rPr>
      <w:rFonts w:ascii="Calibri" w:hAnsi="Calibri"/>
      <w:sz w:val="28"/>
      <w:szCs w:val="20"/>
    </w:rPr>
  </w:style>
  <w:style w:type="paragraph" w:customStyle="1" w:styleId="657">
    <w:name w:val="List Paragraph*"/>
    <w:basedOn w:val="1"/>
    <w:qFormat/>
    <w:uiPriority w:val="0"/>
    <w:pPr>
      <w:ind w:firstLine="420"/>
      <w:jc w:val="left"/>
    </w:pPr>
    <w:rPr>
      <w:rFonts w:ascii="Calibri" w:hAnsi="Calibri" w:cs="Calibri"/>
      <w:color w:val="000000"/>
      <w:kern w:val="1"/>
      <w:szCs w:val="22"/>
    </w:rPr>
  </w:style>
  <w:style w:type="paragraph" w:customStyle="1" w:styleId="658">
    <w:name w:val="【标题9】"/>
    <w:basedOn w:val="11"/>
    <w:qFormat/>
    <w:uiPriority w:val="99"/>
    <w:pPr>
      <w:snapToGrid w:val="0"/>
      <w:spacing w:beforeLines="100" w:afterLines="100" w:line="240" w:lineRule="auto"/>
      <w:ind w:left="5102" w:hanging="1700"/>
    </w:pPr>
    <w:rPr>
      <w:rFonts w:ascii="Calibri" w:hAnsi="Calibri"/>
      <w:b/>
      <w:sz w:val="28"/>
      <w:szCs w:val="28"/>
    </w:rPr>
  </w:style>
  <w:style w:type="paragraph" w:customStyle="1" w:styleId="659">
    <w:name w:val="_Style 87"/>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660">
    <w:name w:val="xl51"/>
    <w:basedOn w:val="1"/>
    <w:qFormat/>
    <w:uiPriority w:val="0"/>
    <w:pPr>
      <w:widowControl/>
      <w:pBdr>
        <w:bottom w:val="single" w:color="auto" w:sz="4" w:space="0"/>
      </w:pBdr>
      <w:spacing w:before="100" w:beforeAutospacing="1" w:after="100" w:afterAutospacing="1"/>
      <w:jc w:val="left"/>
    </w:pPr>
    <w:rPr>
      <w:rFonts w:ascii="宋体" w:hAnsi="宋体"/>
      <w:kern w:val="0"/>
      <w:sz w:val="20"/>
      <w:szCs w:val="20"/>
    </w:rPr>
  </w:style>
  <w:style w:type="paragraph" w:customStyle="1" w:styleId="66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62">
    <w:name w:val="标题9"/>
    <w:basedOn w:val="11"/>
    <w:next w:val="1"/>
    <w:qFormat/>
    <w:uiPriority w:val="0"/>
    <w:pPr>
      <w:numPr>
        <w:ilvl w:val="8"/>
        <w:numId w:val="18"/>
      </w:numPr>
      <w:tabs>
        <w:tab w:val="left" w:pos="1584"/>
      </w:tabs>
      <w:spacing w:line="319" w:lineRule="auto"/>
      <w:jc w:val="left"/>
    </w:pPr>
    <w:rPr>
      <w:rFonts w:ascii="Cambria" w:hAnsi="Cambria" w:eastAsia="宋体"/>
      <w:lang w:eastAsia="en-US"/>
    </w:rPr>
  </w:style>
  <w:style w:type="paragraph" w:customStyle="1" w:styleId="663">
    <w:name w:val="附件1."/>
    <w:basedOn w:val="2"/>
    <w:qFormat/>
    <w:uiPriority w:val="99"/>
    <w:pPr>
      <w:keepNext w:val="0"/>
      <w:keepLines w:val="0"/>
      <w:tabs>
        <w:tab w:val="left" w:pos="360"/>
        <w:tab w:val="left" w:pos="420"/>
      </w:tabs>
      <w:spacing w:before="0" w:after="0" w:line="360" w:lineRule="auto"/>
      <w:ind w:left="567" w:hanging="567"/>
    </w:pPr>
    <w:rPr>
      <w:b w:val="0"/>
      <w:sz w:val="24"/>
    </w:rPr>
  </w:style>
  <w:style w:type="table" w:customStyle="1" w:styleId="664">
    <w:name w:val="网格型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5">
    <w:name w:val="标题 11"/>
    <w:basedOn w:val="1"/>
    <w:next w:val="1"/>
    <w:qFormat/>
    <w:uiPriority w:val="0"/>
    <w:pPr>
      <w:keepNext/>
      <w:keepLines/>
      <w:spacing w:before="120" w:after="120" w:line="360" w:lineRule="auto"/>
      <w:ind w:left="425"/>
      <w:outlineLvl w:val="0"/>
    </w:pPr>
    <w:rPr>
      <w:rFonts w:ascii="微软雅黑" w:hAnsi="微软雅黑" w:eastAsia="微软雅黑" w:cs="Calibri"/>
      <w:b/>
      <w:bCs/>
      <w:color w:val="000000"/>
      <w:kern w:val="44"/>
      <w:sz w:val="44"/>
      <w:szCs w:val="44"/>
    </w:rPr>
  </w:style>
  <w:style w:type="paragraph" w:customStyle="1" w:styleId="666">
    <w:name w:val="标题 21"/>
    <w:basedOn w:val="1"/>
    <w:next w:val="1"/>
    <w:qFormat/>
    <w:uiPriority w:val="0"/>
    <w:pPr>
      <w:keepNext/>
      <w:keepLines/>
      <w:spacing w:before="260" w:after="260" w:line="360" w:lineRule="auto"/>
      <w:ind w:left="992"/>
      <w:outlineLvl w:val="1"/>
    </w:pPr>
    <w:rPr>
      <w:rFonts w:ascii="Arial" w:hAnsi="Arial" w:eastAsia="黑体" w:cs="Calibri"/>
      <w:b/>
      <w:bCs/>
      <w:color w:val="000000"/>
      <w:sz w:val="32"/>
      <w:szCs w:val="32"/>
    </w:rPr>
  </w:style>
  <w:style w:type="paragraph" w:customStyle="1" w:styleId="667">
    <w:name w:val="标题 41"/>
    <w:basedOn w:val="1"/>
    <w:next w:val="1"/>
    <w:qFormat/>
    <w:uiPriority w:val="0"/>
    <w:pPr>
      <w:keepNext/>
      <w:keepLines/>
      <w:spacing w:before="280" w:after="290" w:line="360" w:lineRule="auto"/>
      <w:ind w:left="1984"/>
      <w:outlineLvl w:val="3"/>
    </w:pPr>
    <w:rPr>
      <w:rFonts w:ascii="Arial" w:hAnsi="Arial" w:eastAsia="黑体" w:cs="Calibri"/>
      <w:b/>
      <w:bCs/>
      <w:color w:val="000000"/>
      <w:sz w:val="28"/>
      <w:szCs w:val="28"/>
    </w:rPr>
  </w:style>
  <w:style w:type="character" w:customStyle="1" w:styleId="668">
    <w:name w:val="表格标题(居中) Char Char"/>
    <w:link w:val="555"/>
    <w:qFormat/>
    <w:uiPriority w:val="0"/>
    <w:rPr>
      <w:rFonts w:ascii="Calibri" w:hAnsi="Calibri" w:eastAsia="黑体" w:cs="Calibri"/>
      <w:kern w:val="2"/>
      <w:sz w:val="24"/>
    </w:rPr>
  </w:style>
  <w:style w:type="paragraph" w:customStyle="1" w:styleId="669">
    <w:name w:val="样式 标题 6BOD 4H6第五层条h6Third SubheadingL6BOD 4 + 宋体PIM 6●..."/>
    <w:basedOn w:val="1"/>
    <w:qFormat/>
    <w:uiPriority w:val="0"/>
    <w:pPr>
      <w:keepNext/>
      <w:keepLines/>
      <w:spacing w:beforeLines="50" w:after="200" w:afterLines="50"/>
      <w:ind w:left="425" w:hanging="425"/>
      <w:outlineLvl w:val="5"/>
    </w:pPr>
    <w:rPr>
      <w:rFonts w:ascii="Calibri" w:hAnsi="Calibri" w:eastAsia="微软雅黑" w:cs="Calibri"/>
      <w:b/>
      <w:bCs/>
      <w:kern w:val="28"/>
      <w:sz w:val="24"/>
    </w:rPr>
  </w:style>
  <w:style w:type="character" w:customStyle="1" w:styleId="670">
    <w:name w:val="正文首行缩进 Char1"/>
    <w:basedOn w:val="231"/>
    <w:semiHidden/>
    <w:qFormat/>
    <w:uiPriority w:val="99"/>
    <w:rPr>
      <w:rFonts w:ascii="Tahoma" w:hAnsi="Tahoma" w:eastAsia="宋体" w:cs="Times New Roman"/>
      <w:sz w:val="28"/>
      <w:szCs w:val="20"/>
    </w:rPr>
  </w:style>
  <w:style w:type="paragraph" w:customStyle="1" w:styleId="671">
    <w:name w:val="标题 32"/>
    <w:basedOn w:val="146"/>
    <w:next w:val="146"/>
    <w:qFormat/>
    <w:uiPriority w:val="0"/>
    <w:pPr>
      <w:keepNext/>
      <w:keepLines/>
      <w:numPr>
        <w:ilvl w:val="0"/>
        <w:numId w:val="28"/>
      </w:numPr>
      <w:tabs>
        <w:tab w:val="clear" w:pos="360"/>
      </w:tabs>
      <w:spacing w:before="260" w:after="260" w:line="360" w:lineRule="auto"/>
      <w:ind w:left="900" w:firstLine="0"/>
      <w:outlineLvl w:val="2"/>
    </w:pPr>
    <w:rPr>
      <w:rFonts w:ascii="Times" w:hAnsi="Times" w:eastAsia="微软雅黑" w:cs="Calibri"/>
      <w:b/>
      <w:bCs/>
      <w:color w:val="000000"/>
      <w:sz w:val="28"/>
      <w:szCs w:val="32"/>
    </w:rPr>
  </w:style>
  <w:style w:type="paragraph" w:customStyle="1" w:styleId="672">
    <w:name w:val="样式 标题 4H4Ref Heading 1rh1Heading sqlsect 1.2.3.4点标题条 24t..."/>
    <w:basedOn w:val="6"/>
    <w:qFormat/>
    <w:uiPriority w:val="0"/>
    <w:pPr>
      <w:keepLines/>
      <w:numPr>
        <w:ilvl w:val="3"/>
        <w:numId w:val="29"/>
      </w:numPr>
      <w:spacing w:line="360" w:lineRule="auto"/>
    </w:pPr>
    <w:rPr>
      <w:rFonts w:ascii="宋体" w:hAnsi="宋体"/>
      <w:b/>
      <w:bCs/>
      <w:color w:val="800080"/>
      <w:sz w:val="24"/>
    </w:rPr>
  </w:style>
  <w:style w:type="paragraph" w:customStyle="1" w:styleId="673">
    <w:name w:val="!标题1 Ctrl+1"/>
    <w:basedOn w:val="2"/>
    <w:next w:val="1"/>
    <w:qFormat/>
    <w:uiPriority w:val="0"/>
    <w:pPr>
      <w:keepNext w:val="0"/>
      <w:keepLines w:val="0"/>
      <w:pageBreakBefore/>
      <w:tabs>
        <w:tab w:val="left" w:pos="1800"/>
      </w:tabs>
      <w:adjustRightInd w:val="0"/>
      <w:snapToGrid w:val="0"/>
      <w:spacing w:beforeLines="100" w:afterLines="100" w:line="240" w:lineRule="auto"/>
      <w:jc w:val="center"/>
    </w:pPr>
    <w:rPr>
      <w:rFonts w:ascii="Arial" w:hAnsi="Arial" w:eastAsia="黑体"/>
      <w:kern w:val="2"/>
    </w:rPr>
  </w:style>
  <w:style w:type="paragraph" w:customStyle="1" w:styleId="674">
    <w:name w:val="!标题2 Ctrl+2"/>
    <w:basedOn w:val="3"/>
    <w:next w:val="1"/>
    <w:qFormat/>
    <w:uiPriority w:val="0"/>
    <w:pPr>
      <w:keepNext w:val="0"/>
      <w:keepLines w:val="0"/>
      <w:adjustRightInd w:val="0"/>
      <w:snapToGrid w:val="0"/>
      <w:spacing w:beforeLines="200" w:afterLines="50" w:line="360" w:lineRule="auto"/>
      <w:ind w:left="851" w:hanging="425"/>
    </w:pPr>
    <w:rPr>
      <w:bCs w:val="0"/>
      <w:sz w:val="30"/>
      <w:szCs w:val="36"/>
    </w:rPr>
  </w:style>
  <w:style w:type="paragraph" w:customStyle="1" w:styleId="675">
    <w:name w:val="!标题3 Ctrl+3"/>
    <w:basedOn w:val="4"/>
    <w:next w:val="1"/>
    <w:qFormat/>
    <w:uiPriority w:val="0"/>
    <w:pPr>
      <w:keepNext w:val="0"/>
      <w:keepLines w:val="0"/>
      <w:tabs>
        <w:tab w:val="left" w:pos="709"/>
      </w:tabs>
      <w:autoSpaceDE/>
      <w:autoSpaceDN/>
      <w:snapToGrid w:val="0"/>
      <w:spacing w:before="260" w:beforeLines="75" w:after="260" w:afterLines="25" w:line="360" w:lineRule="auto"/>
      <w:ind w:left="709" w:hanging="709"/>
    </w:pPr>
    <w:rPr>
      <w:rFonts w:ascii="Arial" w:hAnsi="Arial"/>
      <w:b/>
      <w:kern w:val="2"/>
      <w:sz w:val="24"/>
      <w:szCs w:val="32"/>
    </w:rPr>
  </w:style>
  <w:style w:type="paragraph" w:customStyle="1" w:styleId="676">
    <w:name w:val="!标题4 Ctrl+4"/>
    <w:basedOn w:val="1"/>
    <w:next w:val="1"/>
    <w:qFormat/>
    <w:uiPriority w:val="0"/>
    <w:pPr>
      <w:tabs>
        <w:tab w:val="left" w:pos="851"/>
      </w:tabs>
      <w:adjustRightInd w:val="0"/>
      <w:snapToGrid w:val="0"/>
      <w:spacing w:beforeLines="50" w:afterLines="50"/>
      <w:ind w:left="851"/>
      <w:outlineLvl w:val="3"/>
    </w:pPr>
    <w:rPr>
      <w:rFonts w:ascii="Arial" w:hAnsi="Arial" w:eastAsia="黑体"/>
      <w:b/>
      <w:sz w:val="24"/>
      <w:szCs w:val="30"/>
    </w:rPr>
  </w:style>
  <w:style w:type="paragraph" w:customStyle="1" w:styleId="677">
    <w:name w:val="!标题5 Ctrl+5"/>
    <w:basedOn w:val="1"/>
    <w:next w:val="1"/>
    <w:qFormat/>
    <w:uiPriority w:val="0"/>
    <w:pPr>
      <w:numPr>
        <w:ilvl w:val="4"/>
        <w:numId w:val="30"/>
      </w:numPr>
      <w:adjustRightInd w:val="0"/>
      <w:snapToGrid w:val="0"/>
      <w:spacing w:beforeLines="75" w:afterLines="50"/>
      <w:ind w:firstLine="0"/>
      <w:outlineLvl w:val="4"/>
    </w:pPr>
    <w:rPr>
      <w:rFonts w:ascii="Arial" w:hAnsi="Arial" w:eastAsia="黑体"/>
      <w:b/>
      <w:sz w:val="28"/>
      <w:szCs w:val="28"/>
    </w:rPr>
  </w:style>
  <w:style w:type="paragraph" w:customStyle="1" w:styleId="678">
    <w:name w:val="!标题6 Ctrl+6"/>
    <w:basedOn w:val="1"/>
    <w:next w:val="1"/>
    <w:qFormat/>
    <w:uiPriority w:val="0"/>
    <w:pPr>
      <w:numPr>
        <w:ilvl w:val="5"/>
        <w:numId w:val="30"/>
      </w:numPr>
      <w:adjustRightInd w:val="0"/>
      <w:snapToGrid w:val="0"/>
      <w:spacing w:beforeLines="75" w:afterLines="50"/>
      <w:ind w:firstLine="0"/>
      <w:outlineLvl w:val="5"/>
    </w:pPr>
    <w:rPr>
      <w:rFonts w:ascii="Arial" w:hAnsi="Arial" w:eastAsia="黑体"/>
      <w:b/>
      <w:sz w:val="24"/>
    </w:rPr>
  </w:style>
  <w:style w:type="paragraph" w:customStyle="1" w:styleId="679">
    <w:name w:val="正文（缩进）"/>
    <w:basedOn w:val="1"/>
    <w:qFormat/>
    <w:uiPriority w:val="0"/>
    <w:pPr>
      <w:spacing w:before="156" w:after="156"/>
    </w:pPr>
    <w:rPr>
      <w:sz w:val="28"/>
    </w:rPr>
  </w:style>
  <w:style w:type="paragraph" w:customStyle="1" w:styleId="680">
    <w:name w:val="A2"/>
    <w:basedOn w:val="3"/>
    <w:qFormat/>
    <w:uiPriority w:val="0"/>
    <w:pPr>
      <w:keepNext w:val="0"/>
      <w:keepLines w:val="0"/>
      <w:widowControl/>
      <w:pBdr>
        <w:bottom w:val="single" w:color="4F81BD" w:sz="8" w:space="1"/>
      </w:pBdr>
      <w:tabs>
        <w:tab w:val="left" w:pos="840"/>
      </w:tabs>
      <w:spacing w:before="200" w:beforeLines="100" w:after="80" w:afterLines="100" w:line="240" w:lineRule="auto"/>
      <w:ind w:left="840" w:hanging="420"/>
      <w:jc w:val="left"/>
    </w:pPr>
    <w:rPr>
      <w:rFonts w:ascii="Cambria" w:hAnsi="Cambria" w:eastAsia="宋体"/>
      <w:color w:val="365F91"/>
      <w:kern w:val="0"/>
      <w:sz w:val="24"/>
      <w:szCs w:val="22"/>
    </w:rPr>
  </w:style>
  <w:style w:type="paragraph" w:customStyle="1" w:styleId="681">
    <w:name w:val="样式 标题 3 + (符号) 宋体 三号 黑色 段前: 1 行 段后: 1 行2"/>
    <w:basedOn w:val="4"/>
    <w:qFormat/>
    <w:uiPriority w:val="0"/>
    <w:pPr>
      <w:keepNext w:val="0"/>
      <w:keepLines w:val="0"/>
      <w:widowControl/>
      <w:pBdr>
        <w:bottom w:val="single" w:color="95B3D7" w:sz="4" w:space="1"/>
      </w:pBdr>
      <w:tabs>
        <w:tab w:val="left" w:pos="1134"/>
      </w:tabs>
      <w:autoSpaceDE/>
      <w:autoSpaceDN/>
      <w:adjustRightInd/>
      <w:spacing w:before="200" w:beforeLines="100" w:after="80" w:afterLines="100" w:line="240" w:lineRule="auto"/>
      <w:ind w:left="425" w:hanging="425"/>
      <w:jc w:val="left"/>
    </w:pPr>
    <w:rPr>
      <w:rFonts w:ascii="Cambria" w:hAnsi="宋体" w:eastAsia="微软雅黑"/>
      <w:b/>
      <w:bCs/>
      <w:color w:val="000000"/>
      <w:sz w:val="32"/>
      <w:szCs w:val="24"/>
    </w:rPr>
  </w:style>
  <w:style w:type="character" w:customStyle="1" w:styleId="682">
    <w:name w:val="表格 Char"/>
    <w:qFormat/>
    <w:uiPriority w:val="35"/>
    <w:rPr>
      <w:rFonts w:ascii="Arial Unicode MS" w:hAnsi="Arial Unicode MS" w:eastAsia="宋体" w:cs="宋体"/>
      <w:szCs w:val="20"/>
    </w:rPr>
  </w:style>
  <w:style w:type="paragraph" w:customStyle="1" w:styleId="683">
    <w:name w:val="z-窗体底端11"/>
    <w:basedOn w:val="1"/>
    <w:next w:val="1"/>
    <w:qFormat/>
    <w:uiPriority w:val="0"/>
    <w:pPr>
      <w:widowControl/>
      <w:pBdr>
        <w:top w:val="single" w:color="auto" w:sz="6" w:space="1"/>
      </w:pBdr>
      <w:jc w:val="center"/>
    </w:pPr>
    <w:rPr>
      <w:rFonts w:ascii="Arial" w:hAnsi="Arial"/>
      <w:vanish/>
      <w:sz w:val="16"/>
      <w:szCs w:val="16"/>
    </w:rPr>
  </w:style>
  <w:style w:type="paragraph" w:customStyle="1" w:styleId="684">
    <w:name w:val="TOC 标题5"/>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85">
    <w:name w:val="正文11"/>
    <w:qFormat/>
    <w:uiPriority w:val="0"/>
    <w:pPr>
      <w:ind w:firstLine="420" w:firstLineChars="200"/>
    </w:pPr>
    <w:rPr>
      <w:rFonts w:ascii="Calibri" w:hAnsi="Calibri" w:eastAsia="宋体" w:cs="宋体"/>
      <w:lang w:val="en-US" w:eastAsia="zh-CN" w:bidi="ar-SA"/>
    </w:rPr>
  </w:style>
  <w:style w:type="paragraph" w:customStyle="1" w:styleId="686">
    <w:name w:val="无间隔1"/>
    <w:basedOn w:val="1"/>
    <w:qFormat/>
    <w:uiPriority w:val="0"/>
    <w:rPr>
      <w:rFonts w:ascii="Calibri" w:hAnsi="Calibri"/>
      <w:szCs w:val="21"/>
    </w:rPr>
  </w:style>
  <w:style w:type="paragraph" w:customStyle="1" w:styleId="687">
    <w:name w:val="正文-带编号1)"/>
    <w:basedOn w:val="1"/>
    <w:qFormat/>
    <w:uiPriority w:val="0"/>
    <w:pPr>
      <w:numPr>
        <w:ilvl w:val="0"/>
        <w:numId w:val="31"/>
      </w:numPr>
      <w:spacing w:line="400" w:lineRule="exact"/>
      <w:ind w:firstLine="0"/>
    </w:pPr>
    <w:rPr>
      <w:rFonts w:ascii="Arial" w:hAnsi="Arial"/>
    </w:rPr>
  </w:style>
  <w:style w:type="character" w:customStyle="1" w:styleId="688">
    <w:name w:val="列表段落 字符"/>
    <w:link w:val="189"/>
    <w:qFormat/>
    <w:uiPriority w:val="34"/>
    <w:rPr>
      <w:rFonts w:asciiTheme="minorHAnsi" w:hAnsiTheme="minorHAnsi" w:cstheme="minorBidi"/>
      <w:kern w:val="2"/>
      <w:sz w:val="21"/>
      <w:szCs w:val="22"/>
    </w:rPr>
  </w:style>
  <w:style w:type="paragraph" w:customStyle="1" w:styleId="689">
    <w:name w:val="正文格式"/>
    <w:basedOn w:val="1"/>
    <w:qFormat/>
    <w:uiPriority w:val="0"/>
    <w:pPr>
      <w:widowControl/>
      <w:numPr>
        <w:ilvl w:val="1"/>
        <w:numId w:val="32"/>
      </w:numPr>
      <w:adjustRightInd w:val="0"/>
      <w:snapToGrid w:val="0"/>
      <w:spacing w:line="360" w:lineRule="atLeast"/>
      <w:ind w:left="0" w:firstLine="482"/>
      <w:textAlignment w:val="baseline"/>
    </w:pPr>
    <w:rPr>
      <w:kern w:val="0"/>
      <w:sz w:val="24"/>
      <w:szCs w:val="20"/>
    </w:rPr>
  </w:style>
  <w:style w:type="table" w:customStyle="1" w:styleId="690">
    <w:name w:val="Table Normal"/>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1">
    <w:name w:val="Table Normal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2">
    <w:name w:val="网格型2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网格型3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Normal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5">
    <w:name w:val="Table Normal11"/>
    <w:semiHidden/>
    <w:unhideWhenUsed/>
    <w:qFormat/>
    <w:uiPriority w:val="2"/>
    <w:pPr>
      <w:widowControl w:val="0"/>
    </w:pPr>
    <w:rPr>
      <w:sz w:val="22"/>
      <w:lang w:eastAsia="en-US"/>
    </w:rPr>
    <w:tblPr>
      <w:tblCellMar>
        <w:top w:w="0" w:type="dxa"/>
        <w:left w:w="0" w:type="dxa"/>
        <w:bottom w:w="0" w:type="dxa"/>
        <w:right w:w="0" w:type="dxa"/>
      </w:tblCellMar>
    </w:tblPr>
  </w:style>
  <w:style w:type="paragraph" w:customStyle="1" w:styleId="696">
    <w:name w:val="Y正文"/>
    <w:basedOn w:val="1"/>
    <w:qFormat/>
    <w:uiPriority w:val="0"/>
    <w:pPr>
      <w:spacing w:before="50" w:beforeLines="50" w:after="50" w:afterLines="50" w:line="360" w:lineRule="auto"/>
    </w:pPr>
    <w:rPr>
      <w:rFonts w:ascii="Calibri" w:hAnsi="Calibri"/>
    </w:rPr>
  </w:style>
  <w:style w:type="paragraph" w:customStyle="1" w:styleId="697">
    <w:name w:val="表题1"/>
    <w:basedOn w:val="1"/>
    <w:qFormat/>
    <w:uiPriority w:val="0"/>
    <w:pPr>
      <w:widowControl/>
      <w:jc w:val="center"/>
    </w:pPr>
    <w:rPr>
      <w:rFonts w:ascii="宋体" w:hAnsi="Calibri"/>
      <w:b/>
      <w:kern w:val="21"/>
    </w:rPr>
  </w:style>
  <w:style w:type="paragraph" w:customStyle="1" w:styleId="698">
    <w:name w:val="表内1"/>
    <w:basedOn w:val="1"/>
    <w:qFormat/>
    <w:uiPriority w:val="0"/>
    <w:pPr>
      <w:widowControl/>
      <w:jc w:val="left"/>
    </w:pPr>
    <w:rPr>
      <w:rFonts w:ascii="宋体" w:hAnsi="Calibri"/>
      <w:kern w:val="21"/>
      <w:sz w:val="18"/>
      <w:szCs w:val="18"/>
    </w:rPr>
  </w:style>
  <w:style w:type="character" w:customStyle="1" w:styleId="699">
    <w:name w:val="活动属性描述文字"/>
    <w:qFormat/>
    <w:uiPriority w:val="0"/>
    <w:rPr>
      <w:color w:val="auto"/>
    </w:rPr>
  </w:style>
  <w:style w:type="table" w:customStyle="1" w:styleId="700">
    <w:name w:val="Table"/>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701">
    <w:name w:val="网格型4"/>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网格型5"/>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网格型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网格型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网格型1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网格型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网格型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网格型2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网格型32"/>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10">
    <w:name w:val="xl59"/>
    <w:basedOn w:val="1"/>
    <w:qFormat/>
    <w:uiPriority w:val="0"/>
    <w:pPr>
      <w:widowControl/>
      <w:spacing w:before="100" w:beforeAutospacing="1" w:after="100" w:afterAutospacing="1"/>
      <w:jc w:val="center"/>
    </w:pPr>
    <w:rPr>
      <w:rFonts w:ascii="宋体" w:hAnsi="宋体"/>
      <w:kern w:val="0"/>
      <w:sz w:val="16"/>
      <w:szCs w:val="16"/>
    </w:rPr>
  </w:style>
  <w:style w:type="paragraph" w:customStyle="1" w:styleId="711">
    <w:name w:val="title2"/>
    <w:basedOn w:val="712"/>
    <w:qFormat/>
    <w:uiPriority w:val="0"/>
    <w:rPr>
      <w:rFonts w:cs="宋体"/>
      <w:szCs w:val="18"/>
    </w:rPr>
  </w:style>
  <w:style w:type="paragraph" w:customStyle="1" w:styleId="712">
    <w:name w:val="title1"/>
    <w:basedOn w:val="653"/>
    <w:qFormat/>
    <w:uiPriority w:val="0"/>
    <w:pPr>
      <w:pageBreakBefore w:val="0"/>
    </w:pPr>
    <w:rPr>
      <w:rFonts w:ascii="宋体" w:eastAsia="宋体" w:cs="Arial"/>
      <w:sz w:val="18"/>
      <w:szCs w:val="32"/>
    </w:rPr>
  </w:style>
  <w:style w:type="paragraph" w:customStyle="1" w:styleId="713">
    <w:name w:val="xl6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14">
    <w:name w:val="_Style 73"/>
    <w:basedOn w:val="1"/>
    <w:next w:val="5"/>
    <w:qFormat/>
    <w:uiPriority w:val="0"/>
    <w:pPr>
      <w:adjustRightInd w:val="0"/>
      <w:snapToGrid w:val="0"/>
      <w:spacing w:line="360" w:lineRule="auto"/>
      <w:ind w:firstLine="465"/>
    </w:pPr>
    <w:rPr>
      <w:rFonts w:ascii="宋体"/>
      <w:szCs w:val="20"/>
    </w:rPr>
  </w:style>
  <w:style w:type="paragraph" w:customStyle="1" w:styleId="715">
    <w:name w:val="xl56"/>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716">
    <w:name w:val="xl58"/>
    <w:basedOn w:val="1"/>
    <w:qFormat/>
    <w:uiPriority w:val="0"/>
    <w:pPr>
      <w:widowControl/>
      <w:spacing w:before="100" w:beforeAutospacing="1" w:after="100" w:afterAutospacing="1"/>
      <w:jc w:val="left"/>
    </w:pPr>
    <w:rPr>
      <w:rFonts w:ascii="宋体" w:hAnsi="宋体"/>
      <w:kern w:val="0"/>
      <w:sz w:val="16"/>
      <w:szCs w:val="16"/>
    </w:rPr>
  </w:style>
  <w:style w:type="paragraph" w:customStyle="1" w:styleId="717">
    <w:name w:val="xl61"/>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18">
    <w:name w:val="xl60"/>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pPr>
    <w:rPr>
      <w:rFonts w:ascii="宋体" w:hAnsi="宋体"/>
      <w:kern w:val="0"/>
      <w:sz w:val="16"/>
      <w:szCs w:val="16"/>
    </w:rPr>
  </w:style>
  <w:style w:type="paragraph" w:customStyle="1" w:styleId="719">
    <w:name w:val="font10"/>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720">
    <w:name w:val="xl57"/>
    <w:basedOn w:val="1"/>
    <w:qFormat/>
    <w:uiPriority w:val="0"/>
    <w:pPr>
      <w:widowControl/>
      <w:spacing w:before="100" w:beforeAutospacing="1" w:after="100" w:afterAutospacing="1"/>
      <w:jc w:val="left"/>
    </w:pPr>
    <w:rPr>
      <w:rFonts w:ascii="宋体" w:hAnsi="宋体"/>
      <w:kern w:val="0"/>
      <w:sz w:val="16"/>
      <w:szCs w:val="16"/>
    </w:rPr>
  </w:style>
  <w:style w:type="table" w:customStyle="1" w:styleId="721">
    <w:name w:val="网格型1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网格型2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网格型3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网格型41"/>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网格型5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网格型1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网格型3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网格型111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网格型211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11"/>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31">
    <w:name w:val="网格型11111"/>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网格型11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Table Normal3"/>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4">
    <w:name w:val="Table Normal1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5">
    <w:name w:val="网格型2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网格型3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le Normal2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8">
    <w:name w:val="Table Normal11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9">
    <w:name w:val="Table1"/>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740">
    <w:name w:val="网格型411"/>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网格型511"/>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网格型6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43">
    <w:name w:val="font12"/>
    <w:qFormat/>
    <w:uiPriority w:val="0"/>
    <w:rPr>
      <w:rFonts w:hint="eastAsia" w:ascii="宋体" w:hAnsi="宋体" w:eastAsia="宋体" w:cs="宋体"/>
      <w:color w:val="FF0000"/>
      <w:sz w:val="18"/>
      <w:szCs w:val="18"/>
      <w:u w:val="single"/>
    </w:rPr>
  </w:style>
  <w:style w:type="character" w:customStyle="1" w:styleId="744">
    <w:name w:val="font91"/>
    <w:qFormat/>
    <w:uiPriority w:val="0"/>
    <w:rPr>
      <w:rFonts w:hint="eastAsia" w:ascii="宋体" w:hAnsi="宋体" w:eastAsia="宋体" w:cs="宋体"/>
      <w:color w:val="000000"/>
      <w:sz w:val="18"/>
      <w:szCs w:val="18"/>
      <w:u w:val="none"/>
    </w:rPr>
  </w:style>
  <w:style w:type="paragraph" w:customStyle="1" w:styleId="74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74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747">
    <w:name w:val="00正文（正常）"/>
    <w:basedOn w:val="1"/>
    <w:qFormat/>
    <w:uiPriority w:val="0"/>
    <w:pPr>
      <w:spacing w:beforeLines="50" w:afterLines="50" w:line="360" w:lineRule="auto"/>
      <w:ind w:firstLine="480" w:firstLineChars="200"/>
      <w:jc w:val="left"/>
    </w:pPr>
    <w:rPr>
      <w:rFonts w:eastAsia="等线"/>
      <w:sz w:val="24"/>
      <w:szCs w:val="28"/>
    </w:rPr>
  </w:style>
  <w:style w:type="paragraph" w:customStyle="1" w:styleId="748">
    <w:name w:val="xl82"/>
    <w:basedOn w:val="1"/>
    <w:qFormat/>
    <w:uiPriority w:val="0"/>
    <w:pPr>
      <w:widowControl/>
      <w:pBdr>
        <w:top w:val="single" w:color="auto" w:sz="8" w:space="0"/>
        <w:bottom w:val="single" w:color="auto" w:sz="8" w:space="0"/>
      </w:pBdr>
      <w:spacing w:before="100" w:beforeAutospacing="1" w:after="100" w:afterAutospacing="1"/>
      <w:textAlignment w:val="center"/>
    </w:pPr>
    <w:rPr>
      <w:rFonts w:ascii="宋体" w:hAnsi="宋体" w:cs="宋体"/>
      <w:b/>
      <w:bCs/>
      <w:kern w:val="0"/>
      <w:sz w:val="24"/>
    </w:rPr>
  </w:style>
  <w:style w:type="paragraph" w:customStyle="1" w:styleId="749">
    <w:name w:val="xl83"/>
    <w:basedOn w:val="1"/>
    <w:qFormat/>
    <w:uiPriority w:val="0"/>
    <w:pPr>
      <w:widowControl/>
      <w:pBdr>
        <w:top w:val="single" w:color="auto" w:sz="8" w:space="0"/>
        <w:bottom w:val="single" w:color="auto" w:sz="8"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50">
    <w:name w:val="xl84"/>
    <w:basedOn w:val="1"/>
    <w:qFormat/>
    <w:uiPriority w:val="0"/>
    <w:pPr>
      <w:widowControl/>
      <w:pBdr>
        <w:top w:val="single" w:color="auto" w:sz="12" w:space="0"/>
        <w:left w:val="single" w:color="auto" w:sz="8" w:space="0"/>
        <w:right w:val="single" w:color="auto" w:sz="12" w:space="0"/>
      </w:pBdr>
      <w:spacing w:before="100" w:beforeAutospacing="1" w:after="100" w:afterAutospacing="1"/>
      <w:jc w:val="center"/>
      <w:textAlignment w:val="center"/>
    </w:pPr>
    <w:rPr>
      <w:rFonts w:ascii="宋体" w:hAnsi="宋体" w:cs="宋体"/>
      <w:b/>
      <w:bCs/>
      <w:kern w:val="0"/>
      <w:sz w:val="24"/>
    </w:rPr>
  </w:style>
  <w:style w:type="paragraph" w:customStyle="1" w:styleId="751">
    <w:name w:val="xl8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2">
    <w:name w:val="xl8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3">
    <w:name w:val="xl8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4">
    <w:name w:val="xl88"/>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5">
    <w:name w:val="xl89"/>
    <w:basedOn w:val="1"/>
    <w:qFormat/>
    <w:uiPriority w:val="0"/>
    <w:pPr>
      <w:widowControl/>
      <w:pBdr>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6">
    <w:name w:val="xl9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7">
    <w:name w:val="xl91"/>
    <w:basedOn w:val="1"/>
    <w:qFormat/>
    <w:uiPriority w:val="0"/>
    <w:pPr>
      <w:widowControl/>
      <w:pBdr>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8">
    <w:name w:val="xl92"/>
    <w:basedOn w:val="1"/>
    <w:qFormat/>
    <w:uiPriority w:val="0"/>
    <w:pPr>
      <w:widowControl/>
      <w:pBdr>
        <w:left w:val="single" w:color="auto" w:sz="12" w:space="0"/>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9">
    <w:name w:val="xl93"/>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textAlignment w:val="top"/>
    </w:pPr>
    <w:rPr>
      <w:rFonts w:ascii="宋体" w:hAnsi="宋体" w:cs="宋体"/>
      <w:kern w:val="0"/>
      <w:sz w:val="24"/>
    </w:rPr>
  </w:style>
  <w:style w:type="paragraph" w:customStyle="1" w:styleId="760">
    <w:name w:val="xl94"/>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textAlignment w:val="top"/>
    </w:pPr>
    <w:rPr>
      <w:rFonts w:ascii="宋体" w:hAnsi="宋体" w:cs="宋体"/>
      <w:kern w:val="0"/>
      <w:sz w:val="24"/>
    </w:rPr>
  </w:style>
  <w:style w:type="paragraph" w:customStyle="1" w:styleId="761">
    <w:name w:val="xl95"/>
    <w:basedOn w:val="1"/>
    <w:qFormat/>
    <w:uiPriority w:val="0"/>
    <w:pPr>
      <w:widowControl/>
      <w:pBdr>
        <w:top w:val="single" w:color="auto" w:sz="12" w:space="0"/>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2">
    <w:name w:val="xl96"/>
    <w:basedOn w:val="1"/>
    <w:qFormat/>
    <w:uiPriority w:val="0"/>
    <w:pPr>
      <w:widowControl/>
      <w:spacing w:before="100" w:beforeAutospacing="1" w:after="100" w:afterAutospacing="1"/>
      <w:jc w:val="left"/>
      <w:textAlignment w:val="top"/>
    </w:pPr>
    <w:rPr>
      <w:rFonts w:ascii="宋体" w:hAnsi="宋体" w:cs="宋体"/>
      <w:kern w:val="0"/>
      <w:sz w:val="24"/>
    </w:rPr>
  </w:style>
  <w:style w:type="paragraph" w:customStyle="1" w:styleId="763">
    <w:name w:val="xl97"/>
    <w:basedOn w:val="1"/>
    <w:qFormat/>
    <w:uiPriority w:val="0"/>
    <w:pPr>
      <w:widowControl/>
      <w:pBdr>
        <w:top w:val="single" w:color="auto" w:sz="8" w:space="0"/>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4">
    <w:name w:val="xl98"/>
    <w:basedOn w:val="1"/>
    <w:qFormat/>
    <w:uiPriority w:val="0"/>
    <w:pPr>
      <w:widowControl/>
      <w:pBdr>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5">
    <w:name w:val="xl99"/>
    <w:basedOn w:val="1"/>
    <w:qFormat/>
    <w:uiPriority w:val="0"/>
    <w:pPr>
      <w:widowControl/>
      <w:pBdr>
        <w:top w:val="single" w:color="auto" w:sz="12" w:space="0"/>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6">
    <w:name w:val="xl100"/>
    <w:basedOn w:val="1"/>
    <w:qFormat/>
    <w:uiPriority w:val="0"/>
    <w:pPr>
      <w:widowControl/>
      <w:pBdr>
        <w:top w:val="single" w:color="auto" w:sz="8" w:space="0"/>
        <w:left w:val="single" w:color="auto" w:sz="8" w:space="0"/>
        <w:right w:val="single" w:color="auto" w:sz="8"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7">
    <w:name w:val="xl101"/>
    <w:basedOn w:val="1"/>
    <w:qFormat/>
    <w:uiPriority w:val="0"/>
    <w:pPr>
      <w:widowControl/>
      <w:pBdr>
        <w:top w:val="single" w:color="auto" w:sz="8" w:space="0"/>
        <w:right w:val="single" w:color="auto" w:sz="12"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8">
    <w:name w:val="xl102"/>
    <w:basedOn w:val="1"/>
    <w:qFormat/>
    <w:uiPriority w:val="0"/>
    <w:pPr>
      <w:widowControl/>
      <w:pBdr>
        <w:left w:val="single" w:color="auto" w:sz="8" w:space="0"/>
        <w:bottom w:val="single" w:color="auto" w:sz="8" w:space="0"/>
        <w:right w:val="single" w:color="auto" w:sz="8"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9">
    <w:name w:val="xl103"/>
    <w:basedOn w:val="1"/>
    <w:qFormat/>
    <w:uiPriority w:val="0"/>
    <w:pPr>
      <w:widowControl/>
      <w:pBdr>
        <w:bottom w:val="single" w:color="auto" w:sz="8" w:space="0"/>
        <w:right w:val="single" w:color="auto" w:sz="12"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70">
    <w:name w:val="xl104"/>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kern w:val="0"/>
      <w:sz w:val="24"/>
    </w:rPr>
  </w:style>
  <w:style w:type="paragraph" w:customStyle="1" w:styleId="771">
    <w:name w:val="xl105"/>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kern w:val="0"/>
      <w:sz w:val="24"/>
    </w:rPr>
  </w:style>
  <w:style w:type="paragraph" w:customStyle="1" w:styleId="772">
    <w:name w:val="xl106"/>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773">
    <w:name w:val="xl107"/>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774">
    <w:name w:val="xl108"/>
    <w:basedOn w:val="1"/>
    <w:qFormat/>
    <w:uiPriority w:val="0"/>
    <w:pPr>
      <w:widowControl/>
      <w:pBdr>
        <w:top w:val="single" w:color="auto" w:sz="8" w:space="0"/>
        <w:left w:val="single" w:color="auto" w:sz="12" w:space="0"/>
        <w:bottom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5">
    <w:name w:val="xl109"/>
    <w:basedOn w:val="1"/>
    <w:qFormat/>
    <w:uiPriority w:val="0"/>
    <w:pPr>
      <w:widowControl/>
      <w:pBdr>
        <w:top w:val="single" w:color="auto" w:sz="8" w:space="0"/>
        <w:bottom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6">
    <w:name w:val="xl110"/>
    <w:basedOn w:val="1"/>
    <w:qFormat/>
    <w:uiPriority w:val="0"/>
    <w:pPr>
      <w:widowControl/>
      <w:pBdr>
        <w:top w:val="single" w:color="auto" w:sz="8" w:space="0"/>
        <w:bottom w:val="single" w:color="auto" w:sz="12"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7">
    <w:name w:val="xl111"/>
    <w:basedOn w:val="1"/>
    <w:qFormat/>
    <w:uiPriority w:val="0"/>
    <w:pPr>
      <w:widowControl/>
      <w:pBdr>
        <w:top w:val="single" w:color="auto" w:sz="8" w:space="0"/>
        <w:right w:val="single" w:color="auto" w:sz="12" w:space="0"/>
      </w:pBdr>
      <w:spacing w:before="100" w:beforeAutospacing="1" w:after="100" w:afterAutospacing="1"/>
      <w:jc w:val="left"/>
      <w:textAlignment w:val="center"/>
    </w:pPr>
    <w:rPr>
      <w:rFonts w:ascii="宋体" w:hAnsi="宋体" w:cs="宋体"/>
      <w:b/>
      <w:bCs/>
      <w:kern w:val="0"/>
      <w:sz w:val="24"/>
    </w:rPr>
  </w:style>
  <w:style w:type="paragraph" w:customStyle="1" w:styleId="77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779">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80">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81">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2">
    <w:name w:val="xl116"/>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3">
    <w:name w:val="xl11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4">
    <w:name w:val="xl118"/>
    <w:basedOn w:val="1"/>
    <w:qFormat/>
    <w:uiPriority w:val="0"/>
    <w:pPr>
      <w:widowControl/>
      <w:pBdr>
        <w:top w:val="single" w:color="auto" w:sz="8" w:space="0"/>
        <w:lef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85">
    <w:name w:val="xl119"/>
    <w:basedOn w:val="1"/>
    <w:qFormat/>
    <w:uiPriority w:val="0"/>
    <w:pPr>
      <w:widowControl/>
      <w:pBdr>
        <w:top w:val="single" w:color="auto" w:sz="8" w:space="0"/>
      </w:pBdr>
      <w:spacing w:before="100" w:beforeAutospacing="1" w:after="100" w:afterAutospacing="1"/>
      <w:textAlignment w:val="center"/>
    </w:pPr>
    <w:rPr>
      <w:rFonts w:ascii="宋体" w:hAnsi="宋体" w:cs="宋体"/>
      <w:b/>
      <w:bCs/>
      <w:kern w:val="0"/>
      <w:sz w:val="24"/>
    </w:rPr>
  </w:style>
  <w:style w:type="paragraph" w:customStyle="1" w:styleId="786">
    <w:name w:val="xl120"/>
    <w:basedOn w:val="1"/>
    <w:qFormat/>
    <w:uiPriority w:val="0"/>
    <w:pPr>
      <w:widowControl/>
      <w:pBdr>
        <w:top w:val="single" w:color="auto" w:sz="8"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87">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8">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24"/>
    </w:rPr>
  </w:style>
  <w:style w:type="paragraph" w:customStyle="1" w:styleId="790">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1">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character" w:styleId="792">
    <w:name w:val="Placeholder Text"/>
    <w:qFormat/>
    <w:uiPriority w:val="0"/>
    <w:rPr>
      <w:color w:val="808080"/>
    </w:rPr>
  </w:style>
  <w:style w:type="character" w:customStyle="1" w:styleId="793">
    <w:name w:val="font61"/>
    <w:basedOn w:val="80"/>
    <w:qFormat/>
    <w:uiPriority w:val="0"/>
    <w:rPr>
      <w:rFonts w:hint="eastAsia" w:ascii="宋体" w:hAnsi="宋体" w:eastAsia="宋体" w:cs="宋体"/>
      <w:color w:val="000000"/>
      <w:sz w:val="20"/>
      <w:szCs w:val="20"/>
      <w:u w:val="none"/>
    </w:rPr>
  </w:style>
  <w:style w:type="character" w:customStyle="1" w:styleId="794">
    <w:name w:val="font112"/>
    <w:basedOn w:val="80"/>
    <w:qFormat/>
    <w:uiPriority w:val="0"/>
    <w:rPr>
      <w:rFonts w:hint="eastAsia" w:ascii="宋体" w:hAnsi="宋体" w:eastAsia="宋体" w:cs="宋体"/>
      <w:color w:val="000000"/>
      <w:sz w:val="20"/>
      <w:szCs w:val="20"/>
      <w:u w:val="none"/>
    </w:rPr>
  </w:style>
  <w:style w:type="character" w:customStyle="1" w:styleId="795">
    <w:name w:val="font131"/>
    <w:basedOn w:val="80"/>
    <w:qFormat/>
    <w:uiPriority w:val="0"/>
    <w:rPr>
      <w:rFonts w:hint="eastAsia" w:ascii="宋体" w:hAnsi="宋体" w:eastAsia="宋体" w:cs="宋体"/>
      <w:color w:val="000000"/>
      <w:sz w:val="22"/>
      <w:szCs w:val="22"/>
      <w:u w:val="none"/>
    </w:rPr>
  </w:style>
  <w:style w:type="character" w:customStyle="1" w:styleId="796">
    <w:name w:val="font141"/>
    <w:basedOn w:val="80"/>
    <w:qFormat/>
    <w:uiPriority w:val="0"/>
    <w:rPr>
      <w:rFonts w:hint="eastAsia" w:ascii="宋体" w:hAnsi="宋体" w:eastAsia="宋体" w:cs="宋体"/>
      <w:b/>
      <w:color w:val="000000"/>
      <w:sz w:val="22"/>
      <w:szCs w:val="22"/>
      <w:u w:val="none"/>
    </w:rPr>
  </w:style>
  <w:style w:type="paragraph" w:customStyle="1" w:styleId="797">
    <w:name w:val="正文 首行缩进:  2 字符"/>
    <w:basedOn w:val="1"/>
    <w:qFormat/>
    <w:uiPriority w:val="0"/>
    <w:pPr>
      <w:ind w:firstLine="579" w:firstLineChars="200"/>
    </w:pPr>
    <w:rPr>
      <w:rFonts w:cs="宋体" w:asciiTheme="minorHAnsi" w:hAnsiTheme="minorHAnsi" w:eastAsiaTheme="minorEastAsia"/>
      <w:sz w:val="28"/>
      <w:szCs w:val="20"/>
    </w:rPr>
  </w:style>
  <w:style w:type="paragraph" w:customStyle="1" w:styleId="798">
    <w:name w:val="_正文"/>
    <w:qFormat/>
    <w:uiPriority w:val="0"/>
    <w:pPr>
      <w:spacing w:line="360" w:lineRule="auto"/>
      <w:ind w:firstLine="200" w:firstLineChars="200"/>
    </w:pPr>
    <w:rPr>
      <w:rFonts w:ascii="Calibri" w:hAnsi="Calibri" w:eastAsia="宋体" w:cs="黑体"/>
      <w:kern w:val="2"/>
      <w:sz w:val="24"/>
      <w:szCs w:val="21"/>
      <w:lang w:val="en-US" w:eastAsia="zh-CN" w:bidi="ar-SA"/>
    </w:rPr>
  </w:style>
  <w:style w:type="character" w:customStyle="1" w:styleId="799">
    <w:name w:val="cur"/>
    <w:basedOn w:val="80"/>
    <w:qFormat/>
    <w:uiPriority w:val="0"/>
    <w:rPr>
      <w:color w:val="1D4491"/>
    </w:rPr>
  </w:style>
  <w:style w:type="character" w:customStyle="1" w:styleId="800">
    <w:name w:val="before"/>
    <w:basedOn w:val="80"/>
    <w:qFormat/>
    <w:uiPriority w:val="0"/>
    <w:rPr>
      <w:shd w:val="clear" w:color="auto" w:fill="E2E2E2"/>
    </w:rPr>
  </w:style>
  <w:style w:type="character" w:customStyle="1" w:styleId="801">
    <w:name w:val="after"/>
    <w:basedOn w:val="80"/>
    <w:qFormat/>
    <w:uiPriority w:val="0"/>
    <w:rPr>
      <w:shd w:val="clear" w:color="auto" w:fill="E2E2E2"/>
    </w:rPr>
  </w:style>
  <w:style w:type="paragraph" w:customStyle="1" w:styleId="802">
    <w:name w:val="正文首行缩进（1）"/>
    <w:basedOn w:val="1"/>
    <w:qFormat/>
    <w:uiPriority w:val="0"/>
    <w:pPr>
      <w:spacing w:after="50" w:line="300" w:lineRule="auto"/>
      <w:ind w:firstLine="200" w:firstLineChars="200"/>
      <w:jc w:val="left"/>
    </w:pPr>
    <w:rPr>
      <w:rFonts w:asciiTheme="minorHAnsi" w:hAnsiTheme="minorHAnsi" w:eastAsiaTheme="minorEastAsia"/>
      <w:sz w:val="24"/>
      <w:szCs w:val="22"/>
    </w:rPr>
  </w:style>
  <w:style w:type="table" w:customStyle="1" w:styleId="803">
    <w:name w:val="网格型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10"/>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1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网格型2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网格型3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网格型1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网格型2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313"/>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11">
    <w:name w:val="网格型1113"/>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1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Normal4"/>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4">
    <w:name w:val="Table Normal13"/>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5">
    <w:name w:val="网格型2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网格型3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Normal2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8">
    <w:name w:val="Table Normal11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9">
    <w:name w:val="Table2"/>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820">
    <w:name w:val="网格型42"/>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网格型5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网格型6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网格型7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4">
    <w:name w:val="WW8Num17z0"/>
    <w:qFormat/>
    <w:uiPriority w:val="99"/>
    <w:rPr>
      <w:lang w:val="en-US"/>
    </w:rPr>
  </w:style>
  <w:style w:type="character" w:customStyle="1" w:styleId="825">
    <w:name w:val="WW-Absatz-Standardschriftart"/>
    <w:qFormat/>
    <w:uiPriority w:val="99"/>
  </w:style>
  <w:style w:type="character" w:customStyle="1" w:styleId="826">
    <w:name w:val="Absatz-Standardschriftart"/>
    <w:qFormat/>
    <w:uiPriority w:val="99"/>
  </w:style>
  <w:style w:type="character" w:customStyle="1" w:styleId="827">
    <w:name w:val="WW8Num29z0"/>
    <w:qFormat/>
    <w:uiPriority w:val="99"/>
    <w:rPr>
      <w:u w:val="none"/>
    </w:rPr>
  </w:style>
  <w:style w:type="character" w:customStyle="1" w:styleId="828">
    <w:name w:val="WW8Num16z0"/>
    <w:qFormat/>
    <w:uiPriority w:val="99"/>
    <w:rPr>
      <w:lang w:val="en-US"/>
    </w:rPr>
  </w:style>
  <w:style w:type="character" w:customStyle="1" w:styleId="829">
    <w:name w:val="WW8Num6z0"/>
    <w:qFormat/>
    <w:uiPriority w:val="99"/>
    <w:rPr>
      <w:u w:val="none"/>
    </w:rPr>
  </w:style>
  <w:style w:type="character" w:customStyle="1" w:styleId="830">
    <w:name w:val="WW8Num36z0"/>
    <w:qFormat/>
    <w:uiPriority w:val="99"/>
    <w:rPr>
      <w:u w:val="none"/>
    </w:rPr>
  </w:style>
  <w:style w:type="character" w:customStyle="1" w:styleId="831">
    <w:name w:val="WW8Num18z1"/>
    <w:qFormat/>
    <w:uiPriority w:val="99"/>
    <w:rPr>
      <w:rFonts w:ascii="Wingdings" w:hAnsi="Wingdings"/>
    </w:rPr>
  </w:style>
  <w:style w:type="character" w:customStyle="1" w:styleId="832">
    <w:name w:val="WW8Num18z0"/>
    <w:qFormat/>
    <w:uiPriority w:val="99"/>
    <w:rPr>
      <w:rFonts w:ascii="宋体" w:hAnsi="宋体" w:eastAsia="宋体"/>
      <w:sz w:val="18"/>
    </w:rPr>
  </w:style>
  <w:style w:type="character" w:customStyle="1" w:styleId="833">
    <w:name w:val="WW8Num14z0"/>
    <w:qFormat/>
    <w:uiPriority w:val="99"/>
    <w:rPr>
      <w:u w:val="none"/>
    </w:rPr>
  </w:style>
  <w:style w:type="character" w:customStyle="1" w:styleId="834">
    <w:name w:val="WW-Absatz-Standardschriftart1"/>
    <w:qFormat/>
    <w:uiPriority w:val="99"/>
  </w:style>
  <w:style w:type="character" w:customStyle="1" w:styleId="835">
    <w:name w:val="WW8Num32z0"/>
    <w:qFormat/>
    <w:uiPriority w:val="99"/>
    <w:rPr>
      <w:u w:val="none"/>
    </w:rPr>
  </w:style>
  <w:style w:type="character" w:customStyle="1" w:styleId="836">
    <w:name w:val="默认段落字体1"/>
    <w:qFormat/>
    <w:uiPriority w:val="99"/>
  </w:style>
  <w:style w:type="character" w:customStyle="1" w:styleId="837">
    <w:name w:val="WW8Num39z0"/>
    <w:qFormat/>
    <w:uiPriority w:val="99"/>
    <w:rPr>
      <w:u w:val="none"/>
    </w:rPr>
  </w:style>
  <w:style w:type="character" w:customStyle="1" w:styleId="838">
    <w:name w:val="WW8Num13z0"/>
    <w:qFormat/>
    <w:uiPriority w:val="99"/>
    <w:rPr>
      <w:u w:val="none"/>
    </w:rPr>
  </w:style>
  <w:style w:type="paragraph" w:customStyle="1" w:styleId="839">
    <w:name w:val="表格内容"/>
    <w:basedOn w:val="1"/>
    <w:qFormat/>
    <w:uiPriority w:val="99"/>
    <w:pPr>
      <w:suppressLineNumbers/>
      <w:suppressAutoHyphens/>
    </w:pPr>
    <w:rPr>
      <w:kern w:val="1"/>
      <w:szCs w:val="20"/>
      <w:lang w:eastAsia="ar-SA"/>
    </w:rPr>
  </w:style>
  <w:style w:type="paragraph" w:customStyle="1" w:styleId="840">
    <w:name w:val="标签"/>
    <w:basedOn w:val="1"/>
    <w:qFormat/>
    <w:uiPriority w:val="99"/>
    <w:pPr>
      <w:suppressLineNumbers/>
      <w:suppressAutoHyphens/>
      <w:spacing w:before="120" w:after="120"/>
    </w:pPr>
    <w:rPr>
      <w:i/>
      <w:iCs/>
      <w:kern w:val="1"/>
      <w:sz w:val="24"/>
      <w:lang w:eastAsia="ar-SA"/>
    </w:rPr>
  </w:style>
  <w:style w:type="character" w:customStyle="1" w:styleId="841">
    <w:name w:val="正文文本首行缩进 字符1"/>
    <w:basedOn w:val="119"/>
    <w:semiHidden/>
    <w:qFormat/>
    <w:uiPriority w:val="99"/>
    <w:rPr>
      <w:rFonts w:ascii="Times New Roman" w:hAnsi="Times New Roman" w:eastAsia="宋体" w:cs="Times New Roman"/>
      <w:sz w:val="28"/>
      <w:szCs w:val="24"/>
    </w:rPr>
  </w:style>
  <w:style w:type="paragraph" w:customStyle="1" w:styleId="842">
    <w:name w:val="日期1"/>
    <w:basedOn w:val="1"/>
    <w:next w:val="1"/>
    <w:qFormat/>
    <w:uiPriority w:val="99"/>
    <w:pPr>
      <w:suppressAutoHyphens/>
    </w:pPr>
    <w:rPr>
      <w:rFonts w:eastAsia="方正大标宋简体"/>
      <w:b/>
      <w:kern w:val="1"/>
      <w:sz w:val="32"/>
      <w:szCs w:val="20"/>
      <w:lang w:eastAsia="ar-SA"/>
    </w:rPr>
  </w:style>
  <w:style w:type="table" w:customStyle="1" w:styleId="843">
    <w:name w:val="网格型122"/>
    <w:basedOn w:val="7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网格型1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45">
    <w:name w:val="NormalCharacter"/>
    <w:qFormat/>
    <w:uiPriority w:val="99"/>
  </w:style>
  <w:style w:type="paragraph" w:customStyle="1" w:styleId="846">
    <w:name w:val="TOC 标题6"/>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847">
    <w:name w:val="网格型1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8">
    <w:name w:val="修订3"/>
    <w:hidden/>
    <w:unhideWhenUsed/>
    <w:qFormat/>
    <w:uiPriority w:val="99"/>
    <w:rPr>
      <w:rFonts w:ascii="Times New Roman" w:hAnsi="Times New Roman" w:eastAsia="宋体" w:cs="Times New Roman"/>
      <w:kern w:val="2"/>
      <w:sz w:val="21"/>
      <w:szCs w:val="24"/>
      <w:lang w:val="en-US" w:eastAsia="zh-CN" w:bidi="ar-SA"/>
    </w:rPr>
  </w:style>
  <w:style w:type="table" w:customStyle="1" w:styleId="849">
    <w:name w:val="网格型17"/>
    <w:basedOn w:val="7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50">
    <w:name w:val="页眉 Char2"/>
    <w:qFormat/>
    <w:locked/>
    <w:uiPriority w:val="99"/>
    <w:rPr>
      <w:rFonts w:ascii="Times New Roman" w:hAnsi="Times New Roman" w:eastAsia="宋体" w:cs="Times New Roman"/>
      <w:kern w:val="1"/>
      <w:sz w:val="18"/>
      <w:szCs w:val="18"/>
      <w:lang w:eastAsia="ar-SA"/>
    </w:rPr>
  </w:style>
  <w:style w:type="character" w:customStyle="1" w:styleId="851">
    <w:name w:val="批注文字 字符"/>
    <w:qFormat/>
    <w:uiPriority w:val="99"/>
    <w:rPr>
      <w:rFonts w:ascii="Times New Roman" w:hAnsi="Times New Roman" w:eastAsia="宋体" w:cs="Times New Roman"/>
      <w:kern w:val="1"/>
      <w:szCs w:val="24"/>
      <w:lang w:eastAsia="ar-SA"/>
    </w:rPr>
  </w:style>
  <w:style w:type="character" w:customStyle="1" w:styleId="852">
    <w:name w:val="批注主题 字符"/>
    <w:semiHidden/>
    <w:qFormat/>
    <w:uiPriority w:val="99"/>
    <w:rPr>
      <w:rFonts w:ascii="Times New Roman" w:hAnsi="Times New Roman" w:eastAsia="宋体" w:cs="Times New Roman"/>
      <w:b/>
      <w:bCs/>
      <w:kern w:val="1"/>
      <w:szCs w:val="24"/>
      <w:lang w:eastAsia="ar-SA"/>
    </w:rPr>
  </w:style>
  <w:style w:type="table" w:customStyle="1" w:styleId="853">
    <w:name w:val="网格型1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网格型19"/>
    <w:basedOn w:val="78"/>
    <w:qFormat/>
    <w:uiPriority w:val="0"/>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网格型2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网格型34"/>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网格型1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网格型2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网格型3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网格型43"/>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网格型20"/>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网格型110"/>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网格型2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网格型3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44"/>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网格型26"/>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网格型4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网格型171"/>
    <w:basedOn w:val="7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2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网格型28"/>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网格型29"/>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网格型30"/>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3">
    <w:name w:val="批注文字 字符1"/>
    <w:qFormat/>
    <w:uiPriority w:val="99"/>
    <w:rPr>
      <w:kern w:val="2"/>
      <w:sz w:val="21"/>
      <w:szCs w:val="24"/>
    </w:rPr>
  </w:style>
  <w:style w:type="table" w:customStyle="1" w:styleId="874">
    <w:name w:val="网格型161"/>
    <w:basedOn w:val="78"/>
    <w:unhideWhenUsed/>
    <w:qFormat/>
    <w:uiPriority w:val="9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75">
    <w:name w:val="网格型162"/>
    <w:basedOn w:val="78"/>
    <w:unhideWhenUsed/>
    <w:qFormat/>
    <w:uiPriority w:val="9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76">
    <w:name w:val="网格型3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77">
    <w:name w:val="_Style 17"/>
    <w:basedOn w:val="1"/>
    <w:next w:val="102"/>
    <w:qFormat/>
    <w:uiPriority w:val="0"/>
    <w:pPr>
      <w:ind w:firstLine="420" w:firstLineChars="200"/>
    </w:pPr>
    <w:rPr>
      <w:rFonts w:ascii="Calibri" w:hAnsi="Calibri"/>
      <w:szCs w:val="22"/>
    </w:rPr>
  </w:style>
  <w:style w:type="paragraph" w:customStyle="1" w:styleId="878">
    <w:name w:val="_Style 15"/>
    <w:basedOn w:val="1"/>
    <w:next w:val="1"/>
    <w:qFormat/>
    <w:uiPriority w:val="0"/>
    <w:pPr>
      <w:ind w:firstLine="420" w:firstLineChars="200"/>
    </w:pPr>
    <w:rPr>
      <w:rFonts w:ascii="Calibri" w:hAnsi="Calibri"/>
      <w:szCs w:val="21"/>
    </w:rPr>
  </w:style>
  <w:style w:type="character" w:customStyle="1" w:styleId="879">
    <w:name w:val="批注文字 字符2"/>
    <w:qFormat/>
    <w:uiPriority w:val="99"/>
    <w:rPr>
      <w:rFonts w:ascii="Times New Roman" w:hAnsi="Times New Roman" w:eastAsia="宋体" w:cs="Times New Roman"/>
      <w:szCs w:val="24"/>
    </w:rPr>
  </w:style>
  <w:style w:type="character" w:customStyle="1" w:styleId="880">
    <w:name w:val="纯文本 字符2"/>
    <w:qFormat/>
    <w:uiPriority w:val="0"/>
    <w:rPr>
      <w:rFonts w:ascii="宋体" w:hAnsi="Courier New" w:eastAsia="宋体" w:cs="Times New Roman"/>
      <w:szCs w:val="20"/>
    </w:rPr>
  </w:style>
  <w:style w:type="table" w:customStyle="1" w:styleId="881">
    <w:name w:val="网格型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882">
    <w:name w:val="网格型3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883">
    <w:name w:val="font101"/>
    <w:basedOn w:val="80"/>
    <w:qFormat/>
    <w:uiPriority w:val="0"/>
    <w:rPr>
      <w:rFonts w:hint="default" w:ascii="Times New Roman" w:hAnsi="Times New Roman" w:cs="Times New Roman"/>
      <w:color w:val="000000"/>
      <w:sz w:val="21"/>
      <w:szCs w:val="21"/>
      <w:u w:val="none"/>
    </w:rPr>
  </w:style>
  <w:style w:type="paragraph" w:customStyle="1" w:styleId="884">
    <w:name w:val="标题4"/>
    <w:basedOn w:val="1"/>
    <w:next w:val="1"/>
    <w:qFormat/>
    <w:uiPriority w:val="0"/>
    <w:pPr>
      <w:spacing w:beforeLines="50" w:afterLines="50"/>
      <w:outlineLvl w:val="3"/>
    </w:pPr>
    <w:rPr>
      <w:rFonts w:eastAsia="楷体_GB2312"/>
      <w:b/>
      <w:sz w:val="24"/>
    </w:rPr>
  </w:style>
  <w:style w:type="character" w:customStyle="1" w:styleId="885">
    <w:name w:val="btn_xlxz1"/>
    <w:basedOn w:val="80"/>
    <w:qFormat/>
    <w:uiPriority w:val="0"/>
  </w:style>
  <w:style w:type="paragraph" w:customStyle="1" w:styleId="886">
    <w:name w:val="_Style 885"/>
    <w:basedOn w:val="1"/>
    <w:next w:val="1"/>
    <w:qFormat/>
    <w:uiPriority w:val="0"/>
    <w:pPr>
      <w:pBdr>
        <w:bottom w:val="single" w:color="auto" w:sz="6" w:space="1"/>
      </w:pBdr>
      <w:jc w:val="center"/>
    </w:pPr>
    <w:rPr>
      <w:rFonts w:ascii="Arial" w:eastAsia="宋体"/>
      <w:vanish/>
      <w:sz w:val="16"/>
    </w:rPr>
  </w:style>
  <w:style w:type="paragraph" w:customStyle="1" w:styleId="887">
    <w:name w:val="_Style 886"/>
    <w:basedOn w:val="1"/>
    <w:next w:val="1"/>
    <w:qFormat/>
    <w:uiPriority w:val="0"/>
    <w:pPr>
      <w:pBdr>
        <w:top w:val="single" w:color="auto" w:sz="6" w:space="1"/>
      </w:pBdr>
      <w:jc w:val="center"/>
    </w:pPr>
    <w:rPr>
      <w:rFonts w:ascii="Arial" w:eastAsia="宋体"/>
      <w:vanish/>
      <w:sz w:val="16"/>
    </w:rPr>
  </w:style>
  <w:style w:type="paragraph" w:customStyle="1" w:styleId="888">
    <w:name w:val="_Style 887"/>
    <w:basedOn w:val="1"/>
    <w:next w:val="1"/>
    <w:qFormat/>
    <w:uiPriority w:val="0"/>
    <w:pPr>
      <w:pBdr>
        <w:bottom w:val="single" w:color="auto" w:sz="6" w:space="1"/>
      </w:pBdr>
      <w:jc w:val="center"/>
    </w:pPr>
    <w:rPr>
      <w:rFonts w:ascii="Arial" w:eastAsia="宋体"/>
      <w:vanish/>
      <w:sz w:val="16"/>
    </w:rPr>
  </w:style>
  <w:style w:type="paragraph" w:customStyle="1" w:styleId="889">
    <w:name w:val="_Style 888"/>
    <w:basedOn w:val="1"/>
    <w:next w:val="1"/>
    <w:qFormat/>
    <w:uiPriority w:val="0"/>
    <w:pPr>
      <w:pBdr>
        <w:top w:val="single" w:color="auto" w:sz="6" w:space="1"/>
      </w:pBdr>
      <w:jc w:val="center"/>
    </w:pPr>
    <w:rPr>
      <w:rFonts w:ascii="Arial" w:eastAsia="宋体"/>
      <w:vanish/>
      <w:sz w:val="16"/>
    </w:rPr>
  </w:style>
  <w:style w:type="paragraph" w:customStyle="1" w:styleId="890">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adjustRightInd w:val="0"/>
      <w:spacing w:line="360" w:lineRule="atLeast"/>
      <w:textAlignment w:val="baseline"/>
    </w:pPr>
    <w:rPr>
      <w:rFonts w:ascii="Calibri" w:hAnsi="Calibri" w:eastAsia="宋体" w:cs="Times New Roman"/>
      <w:sz w:val="24"/>
      <w:lang w:bidi="ar-SA"/>
    </w:rPr>
  </w:style>
  <w:style w:type="paragraph" w:customStyle="1" w:styleId="891">
    <w:name w:val="自编正文"/>
    <w:basedOn w:val="1"/>
    <w:qFormat/>
    <w:uiPriority w:val="0"/>
    <w:pPr>
      <w:spacing w:line="560" w:lineRule="exact"/>
      <w:ind w:firstLine="200" w:firstLineChars="200"/>
    </w:pPr>
    <w:rPr>
      <w:rFonts w:ascii="Calibri" w:hAnsi="Calibri" w:eastAsia="方正仿宋_GBK" w:cs="Times New Roman"/>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71"/>
    <customShpInfo spid="_x0000_s2072"/>
    <customShpInfo spid="_x0000_s2070"/>
    <customShpInfo spid="_x0000_s2068"/>
    <customShpInfo spid="_x0000_s206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515</Words>
  <Characters>604</Characters>
  <Lines>561</Lines>
  <Paragraphs>157</Paragraphs>
  <TotalTime>7</TotalTime>
  <ScaleCrop>false</ScaleCrop>
  <LinksUpToDate>false</LinksUpToDate>
  <CharactersWithSpaces>606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2020-09-14T02:21:00Z</dcterms:created>
  <dcterms:modified xsi:type="dcterms:W3CDTF">2026-05-07T03:17:38Z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5F98D75D20004030A2228E606FDEE2D2_13</vt:lpwstr>
  </property>
  <property fmtid="{D5CDD505-2E9C-101B-9397-08002B2CF9AE}" pid="4" name="KSOTemplateDocerSaveRecord">
    <vt:lpwstr>eyJoZGlkIjoiY2M0MTFiYzUzZDU5NWI4ZjRiN2UyNjVlMWE0ZDBmNzEiLCJ1c2VySWQiOiI2ODkxNzI1MDQifQ==</vt:lpwstr>
  </property>
</Properties>
</file>