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E0547">
      <w:pPr>
        <w:keepNext/>
        <w:keepLines/>
        <w:spacing w:before="240" w:after="120"/>
        <w:jc w:val="center"/>
        <w:outlineLvl w:val="0"/>
        <w:rPr>
          <w:rFonts w:hint="eastAsia" w:ascii="宋体" w:hAnsi="宋体" w:eastAsia="宋体" w:cs="宋体"/>
          <w:b/>
          <w:kern w:val="0"/>
          <w:szCs w:val="21"/>
          <w:lang w:eastAsia="zh-CN"/>
        </w:rPr>
      </w:pPr>
      <w:r>
        <w:rPr>
          <w:rFonts w:hint="eastAsia" w:ascii="宋体" w:hAnsi="宋体" w:eastAsia="宋体" w:cs="宋体"/>
          <w:b/>
          <w:kern w:val="0"/>
          <w:szCs w:val="21"/>
          <w:lang w:eastAsia="zh-CN"/>
        </w:rPr>
        <w:t>2024年中国电信股份有限公司泉州分公司智能短信通道服务采购项目</w:t>
      </w:r>
    </w:p>
    <w:p w14:paraId="303DE77B">
      <w:pPr>
        <w:keepNext/>
        <w:keepLines/>
        <w:spacing w:before="240" w:after="120"/>
        <w:jc w:val="center"/>
        <w:outlineLvl w:val="0"/>
        <w:rPr>
          <w:rFonts w:hint="eastAsia" w:ascii="宋体" w:hAnsi="宋体" w:eastAsia="宋体" w:cs="宋体"/>
          <w:b/>
          <w:kern w:val="0"/>
          <w:szCs w:val="21"/>
        </w:rPr>
      </w:pPr>
      <w:r>
        <w:rPr>
          <w:rFonts w:hint="eastAsia" w:ascii="宋体" w:hAnsi="宋体" w:eastAsia="宋体" w:cs="宋体"/>
          <w:b/>
          <w:kern w:val="0"/>
          <w:szCs w:val="21"/>
        </w:rPr>
        <w:t>招标公告</w:t>
      </w:r>
    </w:p>
    <w:p w14:paraId="2142A09E">
      <w:pPr>
        <w:adjustRightInd w:val="0"/>
        <w:snapToGrid w:val="0"/>
        <w:spacing w:line="360" w:lineRule="auto"/>
        <w:ind w:firstLine="420" w:firstLineChars="200"/>
        <w:rPr>
          <w:rFonts w:ascii="宋体" w:hAnsi="宋体" w:cs="宋体"/>
          <w:szCs w:val="21"/>
          <w:highlight w:val="none"/>
          <w:lang w:bidi="ar"/>
        </w:rPr>
      </w:pPr>
      <w:r>
        <w:rPr>
          <w:rFonts w:hint="eastAsia" w:ascii="宋体" w:hAnsi="宋体"/>
          <w:szCs w:val="21"/>
          <w:highlight w:val="none"/>
        </w:rPr>
        <w:t>本招标项目为</w:t>
      </w:r>
      <w:r>
        <w:rPr>
          <w:rFonts w:hint="eastAsia" w:ascii="宋体" w:hAnsi="宋体"/>
          <w:highlight w:val="none"/>
          <w:lang w:eastAsia="zh-CN"/>
        </w:rPr>
        <w:t>2024年中国电信股份有限公司泉州分公司智能短信通道服务采购项目</w:t>
      </w:r>
      <w:r>
        <w:rPr>
          <w:rFonts w:hint="eastAsia" w:ascii="宋体" w:hAnsi="宋体"/>
          <w:szCs w:val="21"/>
          <w:highlight w:val="none"/>
        </w:rPr>
        <w:t>，（招标编号：</w:t>
      </w:r>
      <w:r>
        <w:rPr>
          <w:rFonts w:hint="eastAsia" w:ascii="宋体" w:hAnsi="宋体" w:cs="宋体"/>
          <w:color w:val="000000" w:themeColor="text1"/>
          <w:highlight w:val="none"/>
          <w:lang w:eastAsia="zh-CN"/>
          <w14:textFill>
            <w14:solidFill>
              <w14:schemeClr w14:val="tx1"/>
            </w14:solidFill>
          </w14:textFill>
        </w:rPr>
        <w:t>FJZT-2024-12003</w:t>
      </w:r>
      <w:r>
        <w:rPr>
          <w:rFonts w:hint="eastAsia" w:ascii="宋体" w:hAnsi="宋体"/>
          <w:szCs w:val="21"/>
          <w:highlight w:val="none"/>
        </w:rPr>
        <w:t>），招标人为</w:t>
      </w:r>
      <w:r>
        <w:rPr>
          <w:rFonts w:hint="eastAsia" w:ascii="宋体" w:hAnsi="宋体" w:cs="宋体"/>
          <w:color w:val="000000" w:themeColor="text1"/>
          <w:szCs w:val="21"/>
          <w:highlight w:val="none"/>
          <w:lang w:eastAsia="zh-CN"/>
          <w14:textFill>
            <w14:solidFill>
              <w14:schemeClr w14:val="tx1"/>
            </w14:solidFill>
          </w14:textFill>
        </w:rPr>
        <w:t>中国电信股份有限公司泉州分公司</w:t>
      </w:r>
      <w:r>
        <w:rPr>
          <w:rFonts w:hint="eastAsia" w:ascii="宋体" w:hAnsi="宋体"/>
          <w:szCs w:val="21"/>
          <w:highlight w:val="none"/>
        </w:rPr>
        <w:t>，招标代理机构为</w:t>
      </w:r>
      <w:r>
        <w:rPr>
          <w:rFonts w:hint="eastAsia" w:ascii="宋体" w:hAnsi="宋体" w:cs="宋体"/>
          <w:color w:val="000000" w:themeColor="text1"/>
          <w:szCs w:val="21"/>
          <w:highlight w:val="none"/>
          <w:lang w:eastAsia="zh-CN"/>
          <w14:textFill>
            <w14:solidFill>
              <w14:schemeClr w14:val="tx1"/>
            </w14:solidFill>
          </w14:textFill>
        </w:rPr>
        <w:t>福建省中通通信有限公司</w:t>
      </w:r>
      <w:r>
        <w:rPr>
          <w:rFonts w:hint="eastAsia" w:ascii="宋体" w:hAnsi="宋体"/>
          <w:szCs w:val="21"/>
          <w:highlight w:val="none"/>
        </w:rPr>
        <w:t>。项目资金由招标人自筹，资金已落实。项目已具备招标条件，现进行公开招标，特邀请有意向的且具有提供标的物能力的潜在投标人（以下简称投标人）参加投标。</w:t>
      </w:r>
    </w:p>
    <w:p w14:paraId="64B8DB93">
      <w:pPr>
        <w:pStyle w:val="8"/>
        <w:numPr>
          <w:ilvl w:val="0"/>
          <w:numId w:val="1"/>
        </w:numPr>
        <w:adjustRightInd w:val="0"/>
        <w:snapToGrid w:val="0"/>
        <w:spacing w:line="360" w:lineRule="auto"/>
        <w:ind w:firstLine="0" w:firstLineChars="0"/>
        <w:rPr>
          <w:rFonts w:hint="eastAsia" w:ascii="宋体" w:hAnsi="宋体" w:cs="宋体"/>
          <w:b/>
          <w:color w:val="000000" w:themeColor="text1"/>
          <w:szCs w:val="21"/>
          <w:highlight w:val="none"/>
          <w14:textFill>
            <w14:solidFill>
              <w14:schemeClr w14:val="tx1"/>
            </w14:solidFill>
          </w14:textFill>
        </w:rPr>
      </w:pPr>
      <w:r>
        <w:rPr>
          <w:rFonts w:hint="eastAsia" w:ascii="宋体" w:hAnsi="宋体"/>
          <w:b/>
          <w:szCs w:val="21"/>
          <w:highlight w:val="none"/>
        </w:rPr>
        <w:t>招标</w:t>
      </w:r>
      <w:r>
        <w:rPr>
          <w:rFonts w:hint="eastAsia" w:ascii="宋体" w:hAnsi="宋体" w:cs="宋体"/>
          <w:b/>
          <w:color w:val="000000" w:themeColor="text1"/>
          <w:szCs w:val="21"/>
          <w:highlight w:val="none"/>
          <w14:textFill>
            <w14:solidFill>
              <w14:schemeClr w14:val="tx1"/>
            </w14:solidFill>
          </w14:textFill>
        </w:rPr>
        <w:t>范围</w:t>
      </w:r>
    </w:p>
    <w:p w14:paraId="762D5525">
      <w:pPr>
        <w:adjustRightInd w:val="0"/>
        <w:snapToGrid w:val="0"/>
        <w:spacing w:line="360" w:lineRule="auto"/>
        <w:ind w:firstLine="420" w:firstLineChars="200"/>
        <w:rPr>
          <w:rFonts w:hint="eastAsia" w:ascii="宋体" w:hAnsi="宋体" w:eastAsia="宋体" w:cs="宋体"/>
          <w:szCs w:val="21"/>
          <w:highlight w:val="none"/>
          <w:lang w:eastAsia="zh-CN"/>
          <w14:ligatures w14:val="none"/>
        </w:rPr>
      </w:pPr>
      <w:r>
        <w:rPr>
          <w:rFonts w:hint="eastAsia" w:ascii="宋体" w:hAnsi="宋体" w:eastAsia="宋体" w:cs="宋体"/>
          <w:szCs w:val="21"/>
          <w:highlight w:val="none"/>
          <w:lang w:bidi="ar"/>
          <w14:ligatures w14:val="none"/>
        </w:rPr>
        <w:t>1.1招标</w:t>
      </w:r>
      <w:r>
        <w:rPr>
          <w:rFonts w:hint="eastAsia" w:ascii="宋体" w:hAnsi="宋体" w:eastAsia="宋体" w:cs="Times New Roman"/>
          <w:szCs w:val="21"/>
          <w:highlight w:val="none"/>
          <w14:ligatures w14:val="none"/>
        </w:rPr>
        <w:t>内容</w:t>
      </w:r>
      <w:r>
        <w:rPr>
          <w:rFonts w:hint="eastAsia" w:ascii="宋体" w:hAnsi="宋体" w:eastAsia="宋体" w:cs="宋体"/>
          <w:szCs w:val="21"/>
          <w:highlight w:val="none"/>
          <w:lang w:bidi="ar"/>
          <w14:ligatures w14:val="none"/>
        </w:rPr>
        <w:t>：本项目为集中招标项目</w:t>
      </w:r>
      <w:r>
        <w:rPr>
          <w:rFonts w:hint="eastAsia" w:ascii="宋体" w:hAnsi="宋体" w:eastAsia="宋体" w:cs="宋体"/>
          <w:szCs w:val="21"/>
          <w:highlight w:val="none"/>
          <w:lang w:eastAsia="zh-CN"/>
          <w14:ligatures w14:val="none"/>
        </w:rPr>
        <w:t>。</w:t>
      </w:r>
    </w:p>
    <w:p w14:paraId="10C6AB28">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【本项目为</w:t>
      </w:r>
      <w:r>
        <w:rPr>
          <w:rFonts w:hint="eastAsia" w:ascii="宋体" w:hAnsi="宋体" w:cs="宋体"/>
          <w:szCs w:val="21"/>
          <w:highlight w:val="none"/>
          <w:lang w:eastAsia="zh-CN" w:bidi="ar"/>
        </w:rPr>
        <w:t>2024年中国电信股份有限公司泉州分公司智能短信通道服务采购项目</w:t>
      </w:r>
      <w:r>
        <w:rPr>
          <w:rFonts w:hint="eastAsia" w:ascii="宋体" w:hAnsi="宋体" w:cs="宋体"/>
          <w:szCs w:val="21"/>
          <w:highlight w:val="none"/>
          <w:lang w:bidi="ar"/>
        </w:rPr>
        <w:t>】。</w:t>
      </w:r>
    </w:p>
    <w:p w14:paraId="5657A8F6">
      <w:pPr>
        <w:adjustRightInd w:val="0"/>
        <w:snapToGrid w:val="0"/>
        <w:spacing w:line="360" w:lineRule="auto"/>
        <w:ind w:firstLine="420" w:firstLineChars="200"/>
        <w:rPr>
          <w:rFonts w:ascii="宋体" w:hAnsi="宋体"/>
          <w:szCs w:val="21"/>
          <w:highlight w:val="none"/>
        </w:rPr>
      </w:pPr>
      <w:r>
        <w:rPr>
          <w:rFonts w:hint="eastAsia" w:ascii="宋体" w:hAnsi="宋体" w:cs="宋体"/>
          <w:szCs w:val="21"/>
          <w:highlight w:val="none"/>
          <w:lang w:bidi="ar"/>
        </w:rPr>
        <w:t>本次集中招标合同有效期为：自合同签订生效之日起</w:t>
      </w:r>
      <w:r>
        <w:rPr>
          <w:rFonts w:hint="eastAsia" w:ascii="宋体" w:hAnsi="宋体" w:cs="宋体"/>
          <w:szCs w:val="21"/>
          <w:highlight w:val="none"/>
          <w:lang w:val="en-US" w:eastAsia="zh-CN" w:bidi="ar"/>
        </w:rPr>
        <w:t>2</w:t>
      </w:r>
      <w:r>
        <w:rPr>
          <w:rFonts w:hint="eastAsia" w:ascii="宋体" w:hAnsi="宋体" w:cs="宋体"/>
          <w:szCs w:val="21"/>
          <w:highlight w:val="none"/>
          <w:lang w:bidi="ar"/>
        </w:rPr>
        <w:t>年或框架份额执行完毕(以先到为准)。</w:t>
      </w:r>
    </w:p>
    <w:p w14:paraId="175AD686">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本次招标</w:t>
      </w:r>
      <w:r>
        <w:rPr>
          <w:rFonts w:hint="eastAsia" w:ascii="宋体" w:hAnsi="宋体"/>
          <w:szCs w:val="21"/>
          <w:highlight w:val="none"/>
          <w:lang w:val="en-US" w:eastAsia="zh-CN"/>
        </w:rPr>
        <w:t>内容</w:t>
      </w:r>
      <w:r>
        <w:rPr>
          <w:rFonts w:hint="eastAsia" w:ascii="宋体" w:hAnsi="宋体"/>
          <w:szCs w:val="21"/>
          <w:highlight w:val="none"/>
        </w:rPr>
        <w:t>如下：</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2"/>
        <w:gridCol w:w="6088"/>
      </w:tblGrid>
      <w:tr w14:paraId="26D7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427" w:type="pct"/>
            <w:shd w:val="clear" w:color="000000" w:fill="F2F2F2"/>
            <w:vAlign w:val="center"/>
          </w:tcPr>
          <w:p w14:paraId="03A2B7A7">
            <w:pPr>
              <w:keepNext w:val="0"/>
              <w:keepLines w:val="0"/>
              <w:widowControl/>
              <w:suppressLineNumbers w:val="0"/>
              <w:spacing w:before="0" w:beforeAutospacing="0" w:after="160" w:afterAutospacing="0" w:line="276" w:lineRule="auto"/>
              <w:ind w:left="0" w:right="0"/>
              <w:jc w:val="center"/>
              <w:rPr>
                <w:rFonts w:hint="default" w:ascii="宋体" w:hAnsi="宋体" w:cs="宋体"/>
                <w:kern w:val="0"/>
                <w:szCs w:val="21"/>
                <w:highlight w:val="none"/>
              </w:rPr>
            </w:pPr>
            <w:r>
              <w:rPr>
                <w:rFonts w:hint="eastAsia" w:ascii="宋体" w:hAnsi="宋体" w:cs="宋体"/>
                <w:kern w:val="0"/>
                <w:szCs w:val="21"/>
                <w:highlight w:val="none"/>
              </w:rPr>
              <w:t>序号</w:t>
            </w:r>
          </w:p>
        </w:tc>
        <w:tc>
          <w:tcPr>
            <w:tcW w:w="3572" w:type="pct"/>
            <w:shd w:val="clear" w:color="000000" w:fill="F2F2F2"/>
            <w:vAlign w:val="center"/>
          </w:tcPr>
          <w:p w14:paraId="570090E0">
            <w:pPr>
              <w:keepNext w:val="0"/>
              <w:keepLines w:val="0"/>
              <w:widowControl/>
              <w:suppressLineNumbers w:val="0"/>
              <w:spacing w:before="0" w:beforeAutospacing="0" w:after="160" w:afterAutospacing="0" w:line="276" w:lineRule="auto"/>
              <w:ind w:left="0" w:right="0"/>
              <w:jc w:val="center"/>
              <w:rPr>
                <w:rFonts w:hint="default" w:ascii="宋体" w:hAnsi="宋体" w:cs="宋体"/>
                <w:kern w:val="0"/>
                <w:szCs w:val="21"/>
                <w:highlight w:val="none"/>
              </w:rPr>
            </w:pPr>
            <w:r>
              <w:rPr>
                <w:rFonts w:hint="eastAsia" w:ascii="宋体" w:hAnsi="宋体" w:cs="宋体"/>
                <w:kern w:val="0"/>
                <w:szCs w:val="21"/>
                <w:highlight w:val="none"/>
              </w:rPr>
              <w:t>产品名称</w:t>
            </w:r>
          </w:p>
        </w:tc>
      </w:tr>
      <w:tr w14:paraId="1B00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7" w:type="pct"/>
            <w:shd w:val="clear" w:color="auto" w:fill="auto"/>
            <w:vAlign w:val="center"/>
          </w:tcPr>
          <w:p w14:paraId="360682C2">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highlight w:val="none"/>
                <w:lang w:bidi="ar"/>
              </w:rPr>
            </w:pPr>
            <w:r>
              <w:rPr>
                <w:rFonts w:hint="eastAsia" w:ascii="宋体" w:hAnsi="宋体" w:cs="宋体"/>
                <w:kern w:val="0"/>
                <w:szCs w:val="21"/>
                <w:highlight w:val="none"/>
                <w:lang w:bidi="ar"/>
              </w:rPr>
              <w:t>1</w:t>
            </w:r>
          </w:p>
        </w:tc>
        <w:tc>
          <w:tcPr>
            <w:tcW w:w="3572" w:type="pct"/>
            <w:shd w:val="clear" w:color="auto" w:fill="auto"/>
            <w:vAlign w:val="center"/>
          </w:tcPr>
          <w:p w14:paraId="2FC95817">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highlight w:val="none"/>
                <w:lang w:bidi="ar"/>
              </w:rPr>
            </w:pPr>
            <w:r>
              <w:rPr>
                <w:rFonts w:hint="default" w:ascii="宋体" w:hAnsi="宋体" w:cs="宋体"/>
                <w:color w:val="000000"/>
                <w:kern w:val="0"/>
                <w:szCs w:val="21"/>
                <w:highlight w:val="none"/>
              </w:rPr>
              <w:t>智能短信通道服务</w:t>
            </w:r>
          </w:p>
        </w:tc>
      </w:tr>
    </w:tbl>
    <w:p w14:paraId="6580B1D2">
      <w:pPr>
        <w:wordWrap w:val="0"/>
        <w:adjustRightInd w:val="0"/>
        <w:snapToGrid w:val="0"/>
        <w:spacing w:line="360" w:lineRule="auto"/>
        <w:ind w:firstLine="420" w:firstLineChars="200"/>
        <w:jc w:val="left"/>
        <w:rPr>
          <w:rFonts w:ascii="宋体" w:hAnsi="宋体" w:cs="宋体"/>
          <w:szCs w:val="21"/>
          <w:highlight w:val="none"/>
          <w:lang w:bidi="ar"/>
        </w:rPr>
      </w:pPr>
      <w:r>
        <w:rPr>
          <w:rFonts w:hint="eastAsia" w:ascii="宋体" w:hAnsi="宋体" w:cs="宋体"/>
          <w:szCs w:val="21"/>
          <w:highlight w:val="none"/>
          <w:lang w:bidi="ar"/>
        </w:rPr>
        <w:t>本项目将按照最新的《中国电信供应商不良行为管理规则》执行供应商不良行为处理结果，请重点关注处理结果适用的供应商主体、被处理产品、处理范围、禁限期等关键内容，请务必登录中国电信阳光采购网（https://caigou.chinatelecom.com.cn）查阅《中国电信供应商不良行为管理规则》。</w:t>
      </w:r>
    </w:p>
    <w:p w14:paraId="2971A077">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金额</w:t>
      </w: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900</w:t>
      </w:r>
      <w:r>
        <w:rPr>
          <w:rFonts w:hint="eastAsia" w:ascii="宋体" w:hAnsi="宋体" w:eastAsia="宋体" w:cs="宋体"/>
          <w:szCs w:val="21"/>
          <w:highlight w:val="none"/>
          <w:lang w:bidi="ar"/>
          <w14:ligatures w14:val="none"/>
        </w:rPr>
        <w:t>】万元（不含税）；</w:t>
      </w:r>
    </w:p>
    <w:p w14:paraId="6E426BD3">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（2）项目类型：【服务】；</w:t>
      </w:r>
    </w:p>
    <w:p w14:paraId="13737489">
      <w:pPr>
        <w:adjustRightInd w:val="0"/>
        <w:snapToGrid w:val="0"/>
        <w:spacing w:line="360" w:lineRule="auto"/>
        <w:ind w:firstLine="420" w:firstLineChars="200"/>
        <w:rPr>
          <w:rFonts w:hint="eastAsia" w:ascii="宋体" w:hAnsi="宋体" w:eastAsia="宋体" w:cs="宋体"/>
          <w:szCs w:val="21"/>
          <w:highlight w:val="none"/>
          <w:lang w:eastAsia="zh-CN" w:bidi="ar"/>
        </w:rPr>
      </w:pPr>
      <w:r>
        <w:rPr>
          <w:rFonts w:hint="eastAsia" w:ascii="宋体" w:hAnsi="宋体" w:eastAsia="宋体" w:cs="宋体"/>
          <w:szCs w:val="21"/>
          <w:highlight w:val="none"/>
          <w:lang w:bidi="ar"/>
          <w14:ligatures w14:val="none"/>
        </w:rPr>
        <w:t>（3）</w:t>
      </w:r>
      <w:r>
        <w:rPr>
          <w:rFonts w:hint="eastAsia" w:ascii="宋体" w:hAnsi="宋体" w:eastAsia="宋体" w:cs="Times New Roman"/>
          <w:szCs w:val="21"/>
          <w:highlight w:val="none"/>
          <w14:ligatures w14:val="none"/>
        </w:rPr>
        <w:t>技术</w:t>
      </w:r>
      <w:r>
        <w:rPr>
          <w:rFonts w:hint="eastAsia" w:ascii="宋体" w:hAnsi="宋体" w:eastAsia="宋体" w:cs="宋体"/>
          <w:szCs w:val="21"/>
          <w:highlight w:val="none"/>
          <w14:ligatures w14:val="none"/>
        </w:rPr>
        <w:t>要求</w:t>
      </w:r>
      <w:r>
        <w:rPr>
          <w:rFonts w:hint="eastAsia" w:ascii="宋体" w:hAnsi="宋体" w:eastAsia="宋体" w:cs="宋体"/>
          <w:szCs w:val="21"/>
          <w:highlight w:val="none"/>
          <w:lang w:bidi="ar"/>
          <w14:ligatures w14:val="none"/>
        </w:rPr>
        <w:t>：以招标文件第五章技术规范书要求为准</w:t>
      </w:r>
      <w:r>
        <w:rPr>
          <w:rFonts w:hint="eastAsia" w:ascii="宋体" w:hAnsi="宋体" w:eastAsia="宋体" w:cs="宋体"/>
          <w:szCs w:val="21"/>
          <w:highlight w:val="none"/>
          <w:lang w:eastAsia="zh-CN" w:bidi="ar"/>
          <w14:ligatures w14:val="none"/>
        </w:rPr>
        <w:t>；</w:t>
      </w:r>
    </w:p>
    <w:p w14:paraId="69192A2B">
      <w:pPr>
        <w:adjustRightInd w:val="0"/>
        <w:snapToGrid w:val="0"/>
        <w:spacing w:line="360" w:lineRule="auto"/>
        <w:ind w:firstLine="420" w:firstLineChars="200"/>
        <w:rPr>
          <w:rFonts w:hint="eastAsia" w:ascii="宋体" w:hAnsi="宋体" w:eastAsia="宋体" w:cs="宋体"/>
          <w:szCs w:val="21"/>
          <w:highlight w:val="none"/>
          <w:lang w:eastAsia="zh-CN" w:bidi="ar"/>
        </w:rPr>
      </w:pPr>
      <w:r>
        <w:rPr>
          <w:rFonts w:hint="eastAsia" w:ascii="宋体" w:hAnsi="宋体" w:cs="宋体"/>
          <w:szCs w:val="21"/>
          <w:highlight w:val="none"/>
          <w:lang w:bidi="ar"/>
        </w:rPr>
        <w:t>（3）</w:t>
      </w:r>
      <w:r>
        <w:rPr>
          <w:rFonts w:hint="eastAsia" w:ascii="宋体" w:hAnsi="宋体" w:cs="宋体"/>
          <w:szCs w:val="21"/>
          <w:highlight w:val="none"/>
        </w:rPr>
        <w:t>★交付时间：</w:t>
      </w:r>
      <w:r>
        <w:rPr>
          <w:rFonts w:hint="eastAsia" w:ascii="宋体" w:hAnsi="宋体" w:cs="宋体"/>
          <w:szCs w:val="21"/>
          <w:highlight w:val="none"/>
          <w:lang w:bidi="ar"/>
        </w:rPr>
        <w:t>在接到订单后72小时内完成短信发送任务</w:t>
      </w:r>
      <w:r>
        <w:rPr>
          <w:rFonts w:hint="eastAsia" w:ascii="宋体" w:hAnsi="宋体" w:cs="宋体"/>
          <w:szCs w:val="21"/>
          <w:highlight w:val="none"/>
          <w:lang w:eastAsia="zh-CN" w:bidi="ar"/>
        </w:rPr>
        <w:t>；</w:t>
      </w:r>
    </w:p>
    <w:p w14:paraId="1A3E8260">
      <w:pPr>
        <w:adjustRightInd w:val="0"/>
        <w:snapToGrid w:val="0"/>
        <w:spacing w:line="360" w:lineRule="auto"/>
        <w:ind w:firstLine="420" w:firstLineChars="200"/>
        <w:rPr>
          <w:rFonts w:hint="eastAsia" w:ascii="宋体" w:hAnsi="宋体" w:eastAsia="宋体" w:cs="宋体"/>
          <w:szCs w:val="21"/>
          <w:highlight w:val="none"/>
          <w:lang w:val="en-US" w:eastAsia="zh-CN" w:bidi="ar"/>
          <w14:ligatures w14:val="none"/>
        </w:rPr>
      </w:pPr>
      <w:r>
        <w:rPr>
          <w:rFonts w:hint="eastAsia" w:ascii="宋体" w:hAnsi="宋体" w:cs="宋体"/>
          <w:szCs w:val="21"/>
          <w:highlight w:val="none"/>
          <w:lang w:eastAsia="zh-CN" w:bidi="ar"/>
        </w:rPr>
        <w:t>（</w:t>
      </w:r>
      <w:r>
        <w:rPr>
          <w:rFonts w:hint="eastAsia" w:ascii="宋体" w:hAnsi="宋体" w:cs="宋体"/>
          <w:szCs w:val="21"/>
          <w:highlight w:val="none"/>
          <w:lang w:val="en-US" w:eastAsia="zh-CN" w:bidi="ar"/>
        </w:rPr>
        <w:t>4</w:t>
      </w:r>
      <w:r>
        <w:rPr>
          <w:rFonts w:hint="eastAsia" w:ascii="宋体" w:hAnsi="宋体" w:cs="宋体"/>
          <w:szCs w:val="21"/>
          <w:highlight w:val="none"/>
          <w:lang w:eastAsia="zh-CN" w:bidi="ar"/>
        </w:rPr>
        <w:t>）</w:t>
      </w:r>
      <w:r>
        <w:rPr>
          <w:rFonts w:hint="eastAsia" w:ascii="宋体" w:hAnsi="宋体" w:eastAsia="宋体" w:cs="宋体"/>
          <w:szCs w:val="21"/>
          <w:highlight w:val="none"/>
          <w:lang w:bidi="ar"/>
          <w14:ligatures w14:val="none"/>
        </w:rPr>
        <w:t>实施地点</w:t>
      </w:r>
      <w:r>
        <w:rPr>
          <w:rFonts w:hint="eastAsia" w:ascii="宋体" w:hAnsi="宋体" w:eastAsia="宋体" w:cs="宋体"/>
          <w:szCs w:val="21"/>
          <w:highlight w:val="none"/>
          <w:lang w:eastAsia="zh-CN" w:bidi="ar"/>
          <w14:ligatures w14:val="none"/>
        </w:rPr>
        <w:t>：</w:t>
      </w:r>
      <w:r>
        <w:rPr>
          <w:rFonts w:hint="eastAsia" w:ascii="宋体" w:hAnsi="宋体" w:cs="宋体"/>
          <w:szCs w:val="21"/>
          <w:highlight w:val="none"/>
          <w:lang w:val="en-US" w:eastAsia="zh-CN" w:bidi="ar"/>
          <w14:ligatures w14:val="none"/>
        </w:rPr>
        <w:t>福建省泉州市，</w:t>
      </w:r>
      <w:r>
        <w:rPr>
          <w:rFonts w:hint="eastAsia" w:ascii="宋体" w:hAnsi="宋体" w:eastAsia="宋体" w:cs="宋体"/>
          <w:szCs w:val="21"/>
          <w:highlight w:val="none"/>
          <w:lang w:val="en-US" w:eastAsia="zh-CN" w:bidi="ar"/>
          <w14:ligatures w14:val="none"/>
        </w:rPr>
        <w:t>招标人指定地点。</w:t>
      </w:r>
    </w:p>
    <w:p w14:paraId="10B2E61F">
      <w:pPr>
        <w:adjustRightInd w:val="0"/>
        <w:snapToGrid w:val="0"/>
        <w:spacing w:line="360" w:lineRule="auto"/>
        <w:ind w:firstLine="420" w:firstLineChars="200"/>
        <w:rPr>
          <w:rFonts w:hint="default" w:ascii="宋体" w:hAnsi="宋体" w:eastAsia="宋体" w:cs="宋体"/>
          <w:szCs w:val="21"/>
          <w:highlight w:val="none"/>
          <w:lang w:val="en-US" w:eastAsia="zh-CN" w:bidi="ar"/>
          <w14:ligatures w14:val="none"/>
        </w:rPr>
      </w:pPr>
      <w:r>
        <w:rPr>
          <w:rFonts w:hint="eastAsia" w:ascii="宋体" w:hAnsi="宋体" w:eastAsia="宋体" w:cs="Times New Roman"/>
          <w:szCs w:val="21"/>
          <w:highlight w:val="none"/>
          <w:lang w:val="en-US" w:eastAsia="zh-CN"/>
          <w14:ligatures w14:val="none"/>
        </w:rPr>
        <w:t>1.2</w:t>
      </w:r>
      <w:r>
        <w:rPr>
          <w:rFonts w:hint="eastAsia" w:ascii="宋体" w:hAnsi="宋体" w:eastAsia="宋体" w:cs="Times New Roman"/>
          <w:szCs w:val="21"/>
          <w:highlight w:val="none"/>
          <w14:ligatures w14:val="none"/>
        </w:rPr>
        <w:t>本项目不划分标包。</w:t>
      </w:r>
    </w:p>
    <w:p w14:paraId="57A5FC02">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bidi="ar"/>
        </w:rPr>
        <w:t>1.</w:t>
      </w:r>
      <w:r>
        <w:rPr>
          <w:rFonts w:hint="eastAsia" w:ascii="宋体" w:hAnsi="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本项目中标人数量及份额情况如下：</w:t>
      </w:r>
    </w:p>
    <w:p w14:paraId="00420610">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bidi="ar"/>
        </w:rPr>
        <w:t>1.</w:t>
      </w:r>
      <w:r>
        <w:rPr>
          <w:rFonts w:hint="eastAsia" w:ascii="宋体" w:hAnsi="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.1，当</w:t>
      </w:r>
      <w:r>
        <w:rPr>
          <w:rFonts w:hint="eastAsia" w:ascii="宋体" w:hAnsi="宋体" w:eastAsia="宋体" w:cs="宋体"/>
          <w:kern w:val="2"/>
          <w:sz w:val="21"/>
          <w:szCs w:val="21"/>
          <w:highlight w:val="none"/>
          <w:lang w:val="en-US" w:eastAsia="zh-CN" w:bidi="ar"/>
        </w:rPr>
        <w:t>初步</w:t>
      </w:r>
      <w:r>
        <w:rPr>
          <w:rFonts w:hint="eastAsia" w:ascii="宋体" w:hAnsi="宋体" w:eastAsia="宋体" w:cs="宋体"/>
          <w:color w:val="000000"/>
          <w:kern w:val="0"/>
          <w:sz w:val="21"/>
          <w:szCs w:val="21"/>
          <w:highlight w:val="none"/>
          <w:lang w:val="en-US" w:eastAsia="zh-CN" w:bidi="ar"/>
        </w:rPr>
        <w:t>评审后有效投标人数量</w:t>
      </w:r>
      <w:r>
        <w:rPr>
          <w:rFonts w:hint="default" w:ascii="Arial" w:hAnsi="Arial" w:eastAsia="宋体" w:cs="Arial"/>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【3】个时，</w:t>
      </w:r>
      <w:r>
        <w:rPr>
          <w:rFonts w:hint="eastAsia" w:ascii="宋体" w:hAnsi="宋体" w:eastAsia="宋体" w:cs="宋体"/>
          <w:color w:val="000000"/>
          <w:kern w:val="2"/>
          <w:sz w:val="21"/>
          <w:szCs w:val="21"/>
          <w:highlight w:val="none"/>
          <w:lang w:val="en-US" w:eastAsia="zh-CN" w:bidi="ar"/>
        </w:rPr>
        <w:t>中标候选人</w:t>
      </w:r>
      <w:r>
        <w:rPr>
          <w:rFonts w:hint="eastAsia" w:ascii="宋体" w:hAnsi="宋体" w:eastAsia="宋体" w:cs="宋体"/>
          <w:color w:val="000000"/>
          <w:kern w:val="0"/>
          <w:sz w:val="21"/>
          <w:szCs w:val="21"/>
          <w:highlight w:val="none"/>
          <w:lang w:val="en-US" w:eastAsia="zh-CN" w:bidi="ar"/>
        </w:rPr>
        <w:t>数量为</w:t>
      </w:r>
      <w:r>
        <w:rPr>
          <w:rFonts w:hint="eastAsia"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个，中标人数量为【2】个；</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040"/>
        <w:gridCol w:w="1619"/>
        <w:gridCol w:w="4136"/>
        <w:gridCol w:w="1538"/>
      </w:tblGrid>
      <w:tr w14:paraId="4B5E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01" w:hRule="atLeast"/>
        </w:trPr>
        <w:tc>
          <w:tcPr>
            <w:tcW w:w="624" w:type="pct"/>
            <w:shd w:val="clear" w:color="auto" w:fill="auto"/>
            <w:noWrap/>
            <w:tcMar>
              <w:top w:w="15" w:type="dxa"/>
              <w:left w:w="15" w:type="dxa"/>
              <w:right w:w="15" w:type="dxa"/>
            </w:tcMar>
            <w:vAlign w:val="center"/>
          </w:tcPr>
          <w:p w14:paraId="3121FCE7">
            <w:pPr>
              <w:keepNext w:val="0"/>
              <w:keepLines w:val="0"/>
              <w:widowControl/>
              <w:suppressLineNumbers w:val="0"/>
              <w:spacing w:before="0" w:beforeAutospacing="0" w:after="160" w:afterAutospacing="0"/>
              <w:ind w:left="0" w:right="0"/>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kern w:val="0"/>
                <w:sz w:val="21"/>
                <w:szCs w:val="21"/>
                <w:highlight w:val="none"/>
                <w:lang w:val="en-US" w:eastAsia="zh-CN" w:bidi="ar"/>
              </w:rPr>
              <w:t>综合排名</w:t>
            </w:r>
          </w:p>
        </w:tc>
        <w:tc>
          <w:tcPr>
            <w:tcW w:w="971" w:type="pct"/>
            <w:shd w:val="clear" w:color="auto" w:fill="auto"/>
            <w:tcMar>
              <w:top w:w="15" w:type="dxa"/>
              <w:left w:w="15" w:type="dxa"/>
              <w:right w:w="15" w:type="dxa"/>
            </w:tcMar>
            <w:vAlign w:val="center"/>
          </w:tcPr>
          <w:p w14:paraId="5E2B8F28">
            <w:pPr>
              <w:keepNext w:val="0"/>
              <w:keepLines w:val="0"/>
              <w:widowControl/>
              <w:suppressLineNumbers w:val="0"/>
              <w:spacing w:before="0" w:beforeAutospacing="0" w:after="160" w:afterAutospacing="0"/>
              <w:ind w:left="0" w:right="0"/>
              <w:jc w:val="left"/>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val="en-US" w:eastAsia="zh-CN" w:bidi="ar"/>
              </w:rPr>
              <w:t>中标人数量【2】个，中标份额比例</w:t>
            </w:r>
          </w:p>
        </w:tc>
        <w:tc>
          <w:tcPr>
            <w:tcW w:w="2481" w:type="pct"/>
            <w:shd w:val="clear" w:color="auto" w:fill="auto"/>
            <w:tcMar>
              <w:top w:w="15" w:type="dxa"/>
              <w:left w:w="15" w:type="dxa"/>
              <w:right w:w="15" w:type="dxa"/>
            </w:tcMar>
            <w:vAlign w:val="center"/>
          </w:tcPr>
          <w:p w14:paraId="7C97A356">
            <w:pPr>
              <w:keepNext w:val="0"/>
              <w:keepLines w:val="0"/>
              <w:widowControl/>
              <w:suppressLineNumbers w:val="0"/>
              <w:spacing w:before="0" w:beforeAutospacing="0" w:after="160" w:afterAutospacing="0"/>
              <w:ind w:left="0" w:right="0"/>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val="en-US" w:eastAsia="zh-CN" w:bidi="ar"/>
              </w:rPr>
              <w:t>中标人份额（元）</w:t>
            </w:r>
          </w:p>
        </w:tc>
        <w:tc>
          <w:tcPr>
            <w:tcW w:w="922" w:type="pct"/>
            <w:shd w:val="clear" w:color="auto" w:fill="auto"/>
            <w:tcMar>
              <w:top w:w="15" w:type="dxa"/>
              <w:left w:w="15" w:type="dxa"/>
              <w:right w:w="15" w:type="dxa"/>
            </w:tcMar>
            <w:vAlign w:val="center"/>
          </w:tcPr>
          <w:p w14:paraId="0E911223">
            <w:pPr>
              <w:keepNext w:val="0"/>
              <w:keepLines w:val="0"/>
              <w:widowControl/>
              <w:suppressLineNumbers w:val="0"/>
              <w:spacing w:before="0" w:beforeAutospacing="0" w:after="160" w:afterAutospacing="0"/>
              <w:ind w:left="0" w:right="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bidi="ar"/>
              </w:rPr>
              <w:t>备注</w:t>
            </w:r>
          </w:p>
        </w:tc>
      </w:tr>
      <w:tr w14:paraId="3FE6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78" w:hRule="atLeast"/>
        </w:trPr>
        <w:tc>
          <w:tcPr>
            <w:tcW w:w="624" w:type="pct"/>
            <w:shd w:val="clear" w:color="auto" w:fill="auto"/>
            <w:noWrap/>
            <w:tcMar>
              <w:top w:w="15" w:type="dxa"/>
              <w:left w:w="15" w:type="dxa"/>
              <w:right w:w="15" w:type="dxa"/>
            </w:tcMar>
            <w:vAlign w:val="center"/>
          </w:tcPr>
          <w:p w14:paraId="2EFA3BA3">
            <w:pPr>
              <w:keepNext w:val="0"/>
              <w:keepLines w:val="0"/>
              <w:widowControl/>
              <w:suppressLineNumbers w:val="0"/>
              <w:spacing w:before="0" w:beforeAutospacing="0" w:after="160" w:afterAutospacing="0"/>
              <w:ind w:left="0" w:right="0"/>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val="en-US" w:eastAsia="zh-CN" w:bidi="ar"/>
              </w:rPr>
              <w:t>第一名</w:t>
            </w:r>
          </w:p>
        </w:tc>
        <w:tc>
          <w:tcPr>
            <w:tcW w:w="971" w:type="pct"/>
            <w:shd w:val="clear" w:color="auto" w:fill="auto"/>
            <w:noWrap/>
            <w:tcMar>
              <w:top w:w="15" w:type="dxa"/>
              <w:left w:w="15" w:type="dxa"/>
              <w:right w:w="15" w:type="dxa"/>
            </w:tcMar>
            <w:vAlign w:val="center"/>
          </w:tcPr>
          <w:p w14:paraId="651CDCE0">
            <w:pPr>
              <w:keepNext w:val="0"/>
              <w:keepLines w:val="0"/>
              <w:widowControl/>
              <w:suppressLineNumbers w:val="0"/>
              <w:spacing w:before="0" w:beforeAutospacing="0" w:after="160" w:afterAutospacing="0"/>
              <w:ind w:left="0" w:right="0"/>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val="en-US" w:eastAsia="zh-CN" w:bidi="ar"/>
              </w:rPr>
              <w:t>60%</w:t>
            </w:r>
          </w:p>
        </w:tc>
        <w:tc>
          <w:tcPr>
            <w:tcW w:w="2481" w:type="pct"/>
            <w:vMerge w:val="restart"/>
            <w:shd w:val="clear" w:color="auto" w:fill="auto"/>
            <w:tcMar>
              <w:top w:w="15" w:type="dxa"/>
              <w:left w:w="15" w:type="dxa"/>
              <w:right w:w="15" w:type="dxa"/>
            </w:tcMar>
            <w:vAlign w:val="center"/>
          </w:tcPr>
          <w:p w14:paraId="172FBF13">
            <w:pPr>
              <w:keepNext w:val="0"/>
              <w:keepLines w:val="0"/>
              <w:widowControl/>
              <w:suppressLineNumbers w:val="0"/>
              <w:spacing w:before="0" w:beforeAutospacing="0" w:after="160" w:afterAutospacing="0"/>
              <w:ind w:left="0" w:right="0"/>
              <w:jc w:val="left"/>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val="en-US" w:eastAsia="zh-CN" w:bidi="ar"/>
              </w:rPr>
              <w:t>采购预估含税金额*中标人份额比例=预估不含税金额*（1+应答税率）*中标人份额比例。</w:t>
            </w:r>
          </w:p>
        </w:tc>
        <w:tc>
          <w:tcPr>
            <w:tcW w:w="922" w:type="pct"/>
            <w:vMerge w:val="restart"/>
            <w:shd w:val="clear" w:color="auto" w:fill="auto"/>
            <w:tcMar>
              <w:top w:w="15" w:type="dxa"/>
              <w:left w:w="15" w:type="dxa"/>
              <w:right w:w="15" w:type="dxa"/>
            </w:tcMar>
            <w:vAlign w:val="center"/>
          </w:tcPr>
          <w:p w14:paraId="55F2870A">
            <w:pPr>
              <w:keepNext w:val="0"/>
              <w:keepLines w:val="0"/>
              <w:widowControl/>
              <w:suppressLineNumbers w:val="0"/>
              <w:spacing w:before="0" w:beforeAutospacing="0" w:after="160" w:afterAutospacing="0"/>
              <w:ind w:left="0" w:right="0"/>
              <w:jc w:val="center"/>
              <w:textAlignment w:val="center"/>
              <w:rPr>
                <w:rFonts w:hint="eastAsia" w:ascii="宋体" w:hAnsi="宋体" w:eastAsia="宋体" w:cs="宋体"/>
                <w:kern w:val="2"/>
                <w:sz w:val="21"/>
                <w:szCs w:val="21"/>
                <w:highlight w:val="none"/>
              </w:rPr>
            </w:pPr>
          </w:p>
        </w:tc>
      </w:tr>
      <w:tr w14:paraId="3802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624" w:type="pct"/>
            <w:shd w:val="clear" w:color="auto" w:fill="auto"/>
            <w:noWrap/>
            <w:tcMar>
              <w:top w:w="15" w:type="dxa"/>
              <w:left w:w="15" w:type="dxa"/>
              <w:right w:w="15" w:type="dxa"/>
            </w:tcMar>
            <w:vAlign w:val="center"/>
          </w:tcPr>
          <w:p w14:paraId="5D108B12">
            <w:pPr>
              <w:keepNext w:val="0"/>
              <w:keepLines w:val="0"/>
              <w:widowControl/>
              <w:suppressLineNumbers w:val="0"/>
              <w:spacing w:before="0" w:beforeAutospacing="0" w:after="160" w:afterAutospacing="0"/>
              <w:ind w:left="0" w:right="0"/>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val="en-US" w:eastAsia="zh-CN" w:bidi="ar"/>
              </w:rPr>
              <w:t>第二名</w:t>
            </w:r>
          </w:p>
        </w:tc>
        <w:tc>
          <w:tcPr>
            <w:tcW w:w="971" w:type="pct"/>
            <w:shd w:val="clear" w:color="auto" w:fill="auto"/>
            <w:noWrap/>
            <w:tcMar>
              <w:top w:w="15" w:type="dxa"/>
              <w:left w:w="15" w:type="dxa"/>
              <w:right w:w="15" w:type="dxa"/>
            </w:tcMar>
            <w:vAlign w:val="center"/>
          </w:tcPr>
          <w:p w14:paraId="3FEDFFF6">
            <w:pPr>
              <w:keepNext w:val="0"/>
              <w:keepLines w:val="0"/>
              <w:widowControl/>
              <w:suppressLineNumbers w:val="0"/>
              <w:spacing w:before="0" w:beforeAutospacing="0" w:after="160" w:afterAutospacing="0"/>
              <w:ind w:left="0" w:right="0"/>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val="en-US" w:eastAsia="zh-CN" w:bidi="ar"/>
              </w:rPr>
              <w:t>40%</w:t>
            </w:r>
          </w:p>
        </w:tc>
        <w:tc>
          <w:tcPr>
            <w:tcW w:w="2481" w:type="pct"/>
            <w:vMerge w:val="continue"/>
            <w:shd w:val="clear" w:color="auto" w:fill="auto"/>
            <w:tcMar>
              <w:top w:w="15" w:type="dxa"/>
              <w:left w:w="15" w:type="dxa"/>
              <w:right w:w="15" w:type="dxa"/>
            </w:tcMar>
            <w:vAlign w:val="center"/>
          </w:tcPr>
          <w:p w14:paraId="00ECB88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22" w:type="pct"/>
            <w:vMerge w:val="continue"/>
            <w:shd w:val="clear" w:color="auto" w:fill="auto"/>
            <w:tcMar>
              <w:top w:w="15" w:type="dxa"/>
              <w:left w:w="15" w:type="dxa"/>
              <w:right w:w="15" w:type="dxa"/>
            </w:tcMar>
            <w:vAlign w:val="center"/>
          </w:tcPr>
          <w:p w14:paraId="6878AFD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bl>
    <w:p w14:paraId="313419C3">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w:t>
      </w:r>
      <w:r>
        <w:rPr>
          <w:rFonts w:hint="eastAsia" w:ascii="宋体" w:hAnsi="宋体" w:cs="宋体"/>
          <w:szCs w:val="21"/>
          <w:highlight w:val="none"/>
          <w:lang w:val="en-US" w:eastAsia="zh-CN" w:bidi="ar"/>
        </w:rPr>
        <w:t>3</w:t>
      </w:r>
      <w:r>
        <w:rPr>
          <w:rFonts w:hint="eastAsia" w:ascii="宋体" w:hAnsi="宋体" w:cs="宋体"/>
          <w:szCs w:val="21"/>
          <w:highlight w:val="none"/>
          <w:lang w:bidi="ar"/>
        </w:rPr>
        <w:t>.</w:t>
      </w:r>
      <w:r>
        <w:rPr>
          <w:rFonts w:hint="eastAsia" w:ascii="宋体" w:hAnsi="宋体" w:cs="宋体"/>
          <w:szCs w:val="21"/>
          <w:highlight w:val="none"/>
          <w:lang w:val="en-US" w:eastAsia="zh-CN" w:bidi="ar"/>
        </w:rPr>
        <w:t>2</w:t>
      </w:r>
      <w:r>
        <w:rPr>
          <w:rFonts w:hint="eastAsia" w:ascii="宋体" w:hAnsi="宋体" w:cs="宋体"/>
          <w:szCs w:val="21"/>
          <w:highlight w:val="none"/>
          <w:lang w:bidi="ar"/>
        </w:rPr>
        <w:t>当初步评审后有效投标人数量</w:t>
      </w:r>
      <w:r>
        <w:rPr>
          <w:rFonts w:hint="eastAsia" w:ascii="微软雅黑" w:hAnsi="微软雅黑" w:eastAsia="微软雅黑" w:cs="微软雅黑"/>
          <w:szCs w:val="21"/>
          <w:highlight w:val="none"/>
          <w:lang w:bidi="ar"/>
        </w:rPr>
        <w:t>&lt;</w:t>
      </w:r>
      <w:r>
        <w:rPr>
          <w:rFonts w:hint="eastAsia" w:ascii="宋体" w:hAnsi="宋体" w:cs="宋体"/>
          <w:szCs w:val="21"/>
          <w:highlight w:val="none"/>
          <w:lang w:bidi="ar"/>
        </w:rPr>
        <w:t>【3】个时，本项目招标失败。</w:t>
      </w:r>
    </w:p>
    <w:p w14:paraId="5BEAC2D5">
      <w:pPr>
        <w:adjustRightInd w:val="0"/>
        <w:snapToGrid w:val="0"/>
        <w:spacing w:line="360" w:lineRule="auto"/>
        <w:ind w:firstLine="420" w:firstLineChars="200"/>
        <w:rPr>
          <w:rFonts w:hint="eastAsia" w:ascii="宋体" w:hAnsi="宋体" w:eastAsia="宋体" w:cs="宋体"/>
          <w:szCs w:val="21"/>
          <w:highlight w:val="none"/>
          <w:lang w:eastAsia="zh-CN" w:bidi="ar"/>
        </w:rPr>
      </w:pPr>
      <w:r>
        <w:rPr>
          <w:rFonts w:hint="eastAsia" w:ascii="宋体" w:hAnsi="宋体" w:cs="宋体"/>
          <w:szCs w:val="21"/>
          <w:highlight w:val="none"/>
          <w:lang w:bidi="ar"/>
        </w:rPr>
        <w:t>1.</w:t>
      </w:r>
      <w:r>
        <w:rPr>
          <w:rFonts w:hint="eastAsia" w:ascii="宋体" w:hAnsi="宋体" w:cs="宋体"/>
          <w:szCs w:val="21"/>
          <w:highlight w:val="none"/>
          <w:lang w:val="en-US" w:eastAsia="zh-CN" w:bidi="ar"/>
        </w:rPr>
        <w:t>4</w:t>
      </w:r>
      <w:r>
        <w:rPr>
          <w:rFonts w:hint="eastAsia" w:ascii="宋体" w:hAnsi="宋体" w:cs="宋体"/>
          <w:szCs w:val="21"/>
          <w:highlight w:val="none"/>
          <w:lang w:bidi="ar"/>
        </w:rPr>
        <w:t>本项目设置最高投标限价，</w:t>
      </w:r>
      <w:r>
        <w:rPr>
          <w:rFonts w:hint="eastAsia" w:ascii="宋体" w:hAnsi="宋体"/>
          <w:szCs w:val="21"/>
          <w:highlight w:val="none"/>
        </w:rPr>
        <w:t>电信</w:t>
      </w:r>
      <w:r>
        <w:rPr>
          <w:rFonts w:hint="eastAsia" w:ascii="宋体" w:hAnsi="宋体" w:cs="宋体"/>
          <w:kern w:val="0"/>
          <w:szCs w:val="21"/>
          <w:highlight w:val="none"/>
        </w:rPr>
        <w:t>通道最高</w:t>
      </w:r>
      <w:r>
        <w:rPr>
          <w:rFonts w:hint="eastAsia" w:ascii="宋体" w:hAnsi="宋体" w:cs="宋体"/>
          <w:szCs w:val="21"/>
          <w:highlight w:val="none"/>
          <w:lang w:bidi="ar"/>
        </w:rPr>
        <w:t>投标</w:t>
      </w:r>
      <w:r>
        <w:rPr>
          <w:rFonts w:hint="eastAsia" w:ascii="宋体" w:hAnsi="宋体" w:cs="宋体"/>
          <w:kern w:val="0"/>
          <w:szCs w:val="21"/>
          <w:highlight w:val="none"/>
        </w:rPr>
        <w:t>单价限价为0.</w:t>
      </w:r>
      <w:r>
        <w:rPr>
          <w:rFonts w:ascii="宋体" w:hAnsi="宋体" w:cs="宋体"/>
          <w:kern w:val="0"/>
          <w:szCs w:val="21"/>
          <w:highlight w:val="none"/>
        </w:rPr>
        <w:t>0</w:t>
      </w:r>
      <w:r>
        <w:rPr>
          <w:rFonts w:hint="eastAsia" w:ascii="宋体" w:hAnsi="宋体" w:cs="宋体"/>
          <w:kern w:val="0"/>
          <w:szCs w:val="21"/>
          <w:highlight w:val="none"/>
        </w:rPr>
        <w:t>302元/条（不</w:t>
      </w:r>
      <w:r>
        <w:rPr>
          <w:rFonts w:hint="eastAsia" w:ascii="宋体" w:hAnsi="宋体"/>
          <w:szCs w:val="21"/>
          <w:highlight w:val="none"/>
        </w:rPr>
        <w:t>含税），移动、联通</w:t>
      </w:r>
      <w:r>
        <w:rPr>
          <w:rFonts w:hint="eastAsia" w:ascii="宋体" w:hAnsi="宋体" w:cs="宋体"/>
          <w:kern w:val="0"/>
          <w:szCs w:val="21"/>
          <w:highlight w:val="none"/>
        </w:rPr>
        <w:t>通道最高</w:t>
      </w:r>
      <w:r>
        <w:rPr>
          <w:rFonts w:hint="eastAsia" w:ascii="宋体" w:hAnsi="宋体" w:cs="宋体"/>
          <w:szCs w:val="21"/>
          <w:highlight w:val="none"/>
          <w:lang w:bidi="ar"/>
        </w:rPr>
        <w:t>投标</w:t>
      </w:r>
      <w:r>
        <w:rPr>
          <w:rFonts w:hint="eastAsia" w:ascii="宋体" w:hAnsi="宋体" w:cs="宋体"/>
          <w:kern w:val="0"/>
          <w:szCs w:val="21"/>
          <w:highlight w:val="none"/>
        </w:rPr>
        <w:t>单价限价为0.</w:t>
      </w:r>
      <w:r>
        <w:rPr>
          <w:rFonts w:ascii="宋体" w:hAnsi="宋体" w:cs="宋体"/>
          <w:kern w:val="0"/>
          <w:szCs w:val="21"/>
          <w:highlight w:val="none"/>
        </w:rPr>
        <w:t>0</w:t>
      </w:r>
      <w:r>
        <w:rPr>
          <w:rFonts w:hint="eastAsia" w:ascii="宋体" w:hAnsi="宋体" w:cs="宋体"/>
          <w:kern w:val="0"/>
          <w:szCs w:val="21"/>
          <w:highlight w:val="none"/>
        </w:rPr>
        <w:t>302元/条（不</w:t>
      </w:r>
      <w:r>
        <w:rPr>
          <w:rFonts w:hint="eastAsia" w:ascii="宋体" w:hAnsi="宋体"/>
          <w:szCs w:val="21"/>
          <w:highlight w:val="none"/>
        </w:rPr>
        <w:t>含税）</w:t>
      </w:r>
      <w:r>
        <w:rPr>
          <w:rFonts w:hint="eastAsia" w:ascii="宋体" w:hAnsi="宋体" w:cs="宋体"/>
          <w:kern w:val="0"/>
          <w:szCs w:val="21"/>
          <w:highlight w:val="none"/>
        </w:rPr>
        <w:t>，</w:t>
      </w:r>
      <w:r>
        <w:rPr>
          <w:rFonts w:hint="eastAsia" w:ascii="宋体" w:hAnsi="宋体" w:cs="宋体"/>
          <w:szCs w:val="21"/>
          <w:highlight w:val="none"/>
          <w:lang w:bidi="ar"/>
        </w:rPr>
        <w:t>投标</w:t>
      </w:r>
      <w:r>
        <w:rPr>
          <w:rFonts w:hint="eastAsia" w:ascii="宋体" w:hAnsi="宋体" w:cs="宋体"/>
          <w:kern w:val="0"/>
          <w:szCs w:val="21"/>
          <w:highlight w:val="none"/>
        </w:rPr>
        <w:t>人</w:t>
      </w:r>
      <w:r>
        <w:rPr>
          <w:rFonts w:hint="eastAsia" w:ascii="宋体" w:hAnsi="宋体" w:cs="宋体"/>
          <w:szCs w:val="21"/>
          <w:highlight w:val="none"/>
          <w:lang w:bidi="ar"/>
        </w:rPr>
        <w:t>投标</w:t>
      </w:r>
      <w:r>
        <w:rPr>
          <w:rFonts w:hint="eastAsia" w:ascii="宋体" w:hAnsi="宋体" w:cs="宋体"/>
          <w:kern w:val="0"/>
          <w:szCs w:val="21"/>
          <w:highlight w:val="none"/>
        </w:rPr>
        <w:t>报价高于最高</w:t>
      </w:r>
      <w:r>
        <w:rPr>
          <w:rFonts w:hint="eastAsia" w:ascii="宋体" w:hAnsi="宋体" w:cs="宋体"/>
          <w:szCs w:val="21"/>
          <w:highlight w:val="none"/>
          <w:lang w:bidi="ar"/>
        </w:rPr>
        <w:t>投标</w:t>
      </w:r>
      <w:r>
        <w:rPr>
          <w:rFonts w:hint="eastAsia" w:ascii="宋体" w:hAnsi="宋体" w:cs="宋体"/>
          <w:kern w:val="0"/>
          <w:szCs w:val="21"/>
          <w:highlight w:val="none"/>
        </w:rPr>
        <w:t>限价的，其</w:t>
      </w:r>
      <w:r>
        <w:rPr>
          <w:rFonts w:hint="eastAsia" w:ascii="宋体" w:hAnsi="宋体" w:cs="宋体"/>
          <w:szCs w:val="21"/>
          <w:highlight w:val="none"/>
          <w:lang w:bidi="ar"/>
        </w:rPr>
        <w:t>投标</w:t>
      </w:r>
      <w:r>
        <w:rPr>
          <w:rFonts w:hint="eastAsia" w:ascii="宋体" w:hAnsi="宋体" w:cs="宋体"/>
          <w:kern w:val="0"/>
          <w:szCs w:val="21"/>
          <w:highlight w:val="none"/>
        </w:rPr>
        <w:t>将被否决</w:t>
      </w:r>
      <w:r>
        <w:rPr>
          <w:rFonts w:hint="eastAsia" w:ascii="宋体" w:hAnsi="宋体" w:cs="宋体"/>
          <w:kern w:val="0"/>
          <w:szCs w:val="21"/>
          <w:highlight w:val="none"/>
          <w:lang w:eastAsia="zh-CN"/>
        </w:rPr>
        <w:t>。</w:t>
      </w:r>
    </w:p>
    <w:p w14:paraId="29786341">
      <w:pPr>
        <w:adjustRightInd w:val="0"/>
        <w:snapToGrid w:val="0"/>
        <w:spacing w:line="360" w:lineRule="auto"/>
        <w:rPr>
          <w:rFonts w:ascii="宋体" w:hAnsi="宋体"/>
          <w:b/>
          <w:szCs w:val="21"/>
          <w:highlight w:val="none"/>
        </w:rPr>
      </w:pPr>
      <w:r>
        <w:rPr>
          <w:rFonts w:hint="eastAsia" w:ascii="宋体" w:hAnsi="宋体"/>
          <w:b/>
          <w:szCs w:val="21"/>
          <w:highlight w:val="none"/>
        </w:rPr>
        <w:t>2.投标人资格要求</w:t>
      </w:r>
    </w:p>
    <w:p w14:paraId="3392F545">
      <w:pPr>
        <w:adjustRightInd w:val="0"/>
        <w:snapToGrid w:val="0"/>
        <w:spacing w:line="360" w:lineRule="auto"/>
        <w:rPr>
          <w:rFonts w:ascii="宋体" w:hAnsi="宋体"/>
          <w:b/>
          <w:szCs w:val="21"/>
          <w:highlight w:val="none"/>
        </w:rPr>
      </w:pPr>
      <w:r>
        <w:rPr>
          <w:rFonts w:hint="eastAsia" w:ascii="宋体" w:hAnsi="宋体"/>
          <w:b/>
          <w:szCs w:val="21"/>
          <w:highlight w:val="none"/>
        </w:rPr>
        <w:t>2.1投标人基本资格要求</w:t>
      </w:r>
    </w:p>
    <w:p w14:paraId="6C37FEF0">
      <w:pPr>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lang w:val="en-US" w:eastAsia="zh-CN"/>
          <w14:ligatures w14:val="none"/>
        </w:rPr>
        <w:t>2.1.1</w:t>
      </w:r>
      <w:r>
        <w:rPr>
          <w:rFonts w:hint="eastAsia" w:ascii="宋体" w:hAnsi="宋体" w:eastAsia="宋体" w:cs="Times New Roman"/>
          <w:szCs w:val="21"/>
          <w:highlight w:val="none"/>
          <w14:ligatures w14:val="none"/>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73C44F43">
      <w:pPr>
        <w:spacing w:after="160" w:line="360" w:lineRule="auto"/>
        <w:ind w:firstLine="424" w:firstLineChars="202"/>
        <w:rPr>
          <w:rFonts w:hint="eastAsia" w:ascii="宋体" w:hAnsi="宋体" w:eastAsia="宋体" w:cs="Times New Roman"/>
          <w:szCs w:val="21"/>
          <w:highlight w:val="none"/>
          <w:lang w:eastAsia="zh-CN"/>
          <w14:ligatures w14:val="none"/>
        </w:rPr>
      </w:pPr>
      <w:r>
        <w:rPr>
          <w:rFonts w:hint="eastAsia" w:ascii="宋体" w:hAnsi="宋体" w:eastAsia="宋体" w:cs="Times New Roman"/>
          <w:szCs w:val="21"/>
          <w:highlight w:val="none"/>
          <w14:ligatures w14:val="none"/>
        </w:rPr>
        <w:t>2.1.2投标人的法定代表人或负责人为同一人或者存在控股、管理关系的不同投标人，不得参加同一标包投标或者未划分标包的同一招标项目投标</w:t>
      </w:r>
      <w:r>
        <w:rPr>
          <w:rFonts w:hint="eastAsia" w:ascii="宋体" w:hAnsi="宋体" w:eastAsia="宋体" w:cs="Times New Roman"/>
          <w:szCs w:val="21"/>
          <w:highlight w:val="none"/>
          <w:lang w:eastAsia="zh-CN"/>
          <w14:ligatures w14:val="none"/>
        </w:rPr>
        <w:t>。</w:t>
      </w:r>
    </w:p>
    <w:p w14:paraId="0EC4E8B9">
      <w:pPr>
        <w:spacing w:after="160" w:line="360" w:lineRule="auto"/>
        <w:ind w:firstLine="424" w:firstLineChars="202"/>
        <w:rPr>
          <w:rFonts w:hint="eastAsia"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2.1.</w:t>
      </w:r>
      <w:r>
        <w:rPr>
          <w:rFonts w:hint="eastAsia" w:ascii="宋体" w:hAnsi="宋体" w:eastAsia="宋体" w:cs="Times New Roman"/>
          <w:szCs w:val="21"/>
          <w:highlight w:val="none"/>
          <w:lang w:val="en-US" w:eastAsia="zh-CN"/>
          <w14:ligatures w14:val="none"/>
        </w:rPr>
        <w:t>3</w:t>
      </w:r>
      <w:r>
        <w:rPr>
          <w:rFonts w:hint="eastAsia" w:ascii="宋体" w:hAnsi="宋体" w:eastAsia="宋体" w:cs="Times New Roman"/>
          <w:szCs w:val="21"/>
          <w:highlight w:val="none"/>
          <w14:ligatures w14:val="none"/>
        </w:rPr>
        <w:t>本次招标不接受联合体投标。</w:t>
      </w:r>
    </w:p>
    <w:p w14:paraId="4E32B424">
      <w:pPr>
        <w:spacing w:after="160" w:line="360" w:lineRule="auto"/>
        <w:ind w:firstLine="424" w:firstLineChars="202"/>
        <w:rPr>
          <w:rFonts w:hint="eastAsia" w:ascii="宋体" w:hAnsi="宋体" w:eastAsia="宋体" w:cs="Times New Roman"/>
          <w:szCs w:val="21"/>
          <w:highlight w:val="none"/>
          <w:lang w:eastAsia="zh-CN"/>
          <w14:ligatures w14:val="none"/>
        </w:rPr>
      </w:pPr>
      <w:r>
        <w:rPr>
          <w:rFonts w:hint="eastAsia" w:ascii="宋体" w:hAnsi="宋体" w:cs="宋体"/>
          <w:szCs w:val="21"/>
          <w:highlight w:val="none"/>
          <w:lang w:val="en-US" w:eastAsia="zh-CN" w:bidi="ar"/>
        </w:rPr>
        <w:t>2.1.4</w:t>
      </w:r>
      <w:r>
        <w:rPr>
          <w:rFonts w:hint="eastAsia" w:ascii="宋体" w:hAnsi="宋体" w:cs="宋体"/>
          <w:szCs w:val="21"/>
          <w:highlight w:val="none"/>
          <w:lang w:eastAsia="zh-CN" w:bidi="ar"/>
        </w:rPr>
        <w:t>投标人具备由中华人民共和国工业和信息化部颁发的有效的《中华人民共和国增值电信业务经营许可证》，业务种类须含信息服务业务（不含互联网信息服务），业务覆盖范围：全国。</w:t>
      </w:r>
    </w:p>
    <w:p w14:paraId="53E6EB2C">
      <w:pPr>
        <w:adjustRightInd w:val="0"/>
        <w:snapToGrid w:val="0"/>
        <w:spacing w:line="360" w:lineRule="auto"/>
        <w:rPr>
          <w:rFonts w:ascii="宋体" w:hAnsi="宋体"/>
          <w:b/>
          <w:szCs w:val="21"/>
          <w:highlight w:val="none"/>
        </w:rPr>
      </w:pPr>
      <w:r>
        <w:rPr>
          <w:rFonts w:hint="eastAsia" w:ascii="宋体" w:hAnsi="宋体"/>
          <w:b/>
          <w:szCs w:val="21"/>
          <w:highlight w:val="none"/>
        </w:rPr>
        <w:t>2.2投标人不得存在下列情形之一</w:t>
      </w:r>
    </w:p>
    <w:p w14:paraId="7F66237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（1）为招标人不具有独立法人资格的附属机构（单位）；</w:t>
      </w:r>
    </w:p>
    <w:p w14:paraId="6C4FC2EB">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（2）被依法暂停或取消投标资格的；</w:t>
      </w:r>
    </w:p>
    <w:p w14:paraId="55B23AEA">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（3）被责令停产停业、暂扣或者吊销许可证、暂扣或者吊销执照； </w:t>
      </w:r>
    </w:p>
    <w:p w14:paraId="08844B81">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（4）进入清算程序，或被宣告破产，或其他丧失履约能力的情形； </w:t>
      </w:r>
    </w:p>
    <w:p w14:paraId="75B98810">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（5）在最近三年内（自2021年起，月日以投标截止时间的月日为准）被相关行业主管部门或司法机关认定有骗取中标、严重违约、重大工程质量或者安全问题的；</w:t>
      </w:r>
    </w:p>
    <w:p w14:paraId="0077ABD2">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（6）在最近五年内（自2019年起，月日以投标截止时间的月日为准）被判处单位行贿罪，且行贿行为与采购活动相关的（以“中国裁判文书网”的生效判决为准）；</w:t>
      </w:r>
    </w:p>
    <w:p w14:paraId="603A8304">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（7）在最近五年内（自2019年起，月日以投标截止时间的月日为准）被判处合同诈骗罪的（以“中国裁判文书网”的生效判决为准）；</w:t>
      </w:r>
    </w:p>
    <w:p w14:paraId="07D121E8">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（8）被最高人民法院在“信用中国”网站（www.creditchina.gov.cn）或各级信用信息共享平台中列入失信被执行人名单，已执行完毕或不再执行的除外；</w:t>
      </w:r>
    </w:p>
    <w:p w14:paraId="3FDE4721">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（9）为本招标项目提供过设计、编制技术规范和其他文件的咨询服务；</w:t>
      </w:r>
    </w:p>
    <w:p w14:paraId="2D481583">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（10）为本工程项目的相关监理人，或者与本工程项目的相关监理人存在隶属关系或者其他利害关系；</w:t>
      </w:r>
    </w:p>
    <w:p w14:paraId="59C095F9">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（11）为本招标项目的代建人；</w:t>
      </w:r>
    </w:p>
    <w:p w14:paraId="6B56C5D9">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（12）为本招标项目的招标代理机构；</w:t>
      </w:r>
    </w:p>
    <w:p w14:paraId="03D087A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（13）与本招标项目的监理人或代建人或招标代理机构同为一个法定代表人；</w:t>
      </w:r>
    </w:p>
    <w:p w14:paraId="5DC39708">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（14）与本招标项目的监理人或代建人或招标代理机构存在控股或参股关系；</w:t>
      </w:r>
    </w:p>
    <w:p w14:paraId="120324F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（15）被工商行政管理机关在国家企业信用信息公示系统中列入严重违法失信企业名单的；</w:t>
      </w:r>
    </w:p>
    <w:p w14:paraId="7A9EBA4F">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16）其他按照《中国电信供应商不良行为管理规则》及处理结果，应对投标人及其投标产品品类在本项目中执行禁止采购处理措施的。同一标包或未划分标包的同一招标项目涉及多个产品的，投标人及其任一投标产品品类涉及相关禁止采购处理结果的，该标包或招标项目应适用相关的禁止采购处理措施。</w:t>
      </w:r>
    </w:p>
    <w:p w14:paraId="0D62DEA9">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（17）法律法规、招标文件限定的其他情形。</w:t>
      </w:r>
    </w:p>
    <w:p w14:paraId="42A94F93">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（18）被列入司法拍卖尚未被移出的（以通过“中国电信MSS智慧法务子系统-合同管理”模块中“信用管理”查询数据为准）；</w:t>
      </w:r>
    </w:p>
    <w:p w14:paraId="6F51B33F">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（19）被列入严重违法尚未被移出的，且严重违法行为符合上述18条情形的（以通过“中国电信MSS智慧法务子系统-合同管理”模块中“信用管理”查询数据为准）；</w:t>
      </w:r>
    </w:p>
    <w:p w14:paraId="0EA08044">
      <w:pPr>
        <w:adjustRightInd w:val="0"/>
        <w:snapToGrid w:val="0"/>
        <w:spacing w:line="360" w:lineRule="auto"/>
        <w:rPr>
          <w:rFonts w:ascii="宋体" w:hAnsi="宋体"/>
          <w:b/>
          <w:szCs w:val="21"/>
          <w:highlight w:val="none"/>
        </w:rPr>
      </w:pPr>
      <w:r>
        <w:rPr>
          <w:rFonts w:hint="eastAsia" w:ascii="宋体" w:hAnsi="宋体"/>
          <w:b/>
          <w:szCs w:val="21"/>
          <w:highlight w:val="none"/>
        </w:rPr>
        <w:t>3.资格审查方法</w:t>
      </w:r>
    </w:p>
    <w:p w14:paraId="0C6FC79E">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本项目将进行资格后审，资格审查标准和内容见招标文件第三章“评标办法”，凡未通过资格后审的投标人，其投标将被否决。</w:t>
      </w:r>
    </w:p>
    <w:p w14:paraId="0FAC95A9">
      <w:pPr>
        <w:adjustRightInd w:val="0"/>
        <w:snapToGrid w:val="0"/>
        <w:spacing w:line="360" w:lineRule="auto"/>
        <w:rPr>
          <w:rFonts w:ascii="宋体" w:hAnsi="宋体"/>
          <w:b/>
          <w:szCs w:val="21"/>
          <w:highlight w:val="none"/>
        </w:rPr>
      </w:pPr>
      <w:r>
        <w:rPr>
          <w:rFonts w:hint="eastAsia" w:ascii="宋体" w:hAnsi="宋体"/>
          <w:b/>
          <w:szCs w:val="21"/>
          <w:highlight w:val="none"/>
        </w:rPr>
        <w:t>4.招标文件的获取</w:t>
      </w:r>
    </w:p>
    <w:p w14:paraId="57E486CC">
      <w:pPr>
        <w:wordWrap w:val="0"/>
        <w:adjustRightInd w:val="0"/>
        <w:snapToGrid w:val="0"/>
        <w:spacing w:line="360" w:lineRule="auto"/>
        <w:ind w:firstLine="420" w:firstLineChars="200"/>
        <w:rPr>
          <w:rFonts w:ascii="宋体" w:hAnsi="宋体"/>
          <w:szCs w:val="21"/>
          <w:highlight w:val="none"/>
        </w:rPr>
      </w:pPr>
      <w:r>
        <w:rPr>
          <w:rFonts w:hint="eastAsia" w:asciiTheme="minorEastAsia" w:hAnsiTheme="minorEastAsia" w:eastAsiaTheme="minorEastAsia"/>
          <w:szCs w:val="21"/>
          <w:highlight w:val="none"/>
        </w:rPr>
        <w:t>4.1招标文件获取时间:【</w:t>
      </w:r>
      <w:r>
        <w:rPr>
          <w:rFonts w:hint="eastAsia" w:asciiTheme="minorEastAsia" w:hAnsiTheme="minorEastAsia" w:eastAsiaTheme="minorEastAsia"/>
          <w:color w:val="FF0000"/>
          <w:szCs w:val="21"/>
          <w:highlight w:val="none"/>
        </w:rPr>
        <w:t>2024年</w:t>
      </w:r>
      <w:r>
        <w:rPr>
          <w:rFonts w:hint="eastAsia" w:asciiTheme="minorEastAsia" w:hAnsiTheme="minorEastAsia" w:eastAsiaTheme="minorEastAsia"/>
          <w:color w:val="FF0000"/>
          <w:szCs w:val="21"/>
          <w:highlight w:val="none"/>
          <w:lang w:val="en-US" w:eastAsia="zh-CN"/>
        </w:rPr>
        <w:t>11</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29</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18</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00</w:t>
      </w:r>
      <w:r>
        <w:rPr>
          <w:rFonts w:hint="eastAsia" w:asciiTheme="minorEastAsia" w:hAnsiTheme="minorEastAsia" w:eastAsiaTheme="minorEastAsia"/>
          <w:color w:val="FF0000"/>
          <w:szCs w:val="21"/>
          <w:highlight w:val="none"/>
        </w:rPr>
        <w:t>分至2024年</w:t>
      </w:r>
      <w:r>
        <w:rPr>
          <w:rFonts w:hint="eastAsia" w:asciiTheme="minorEastAsia" w:hAnsiTheme="minorEastAsia" w:eastAsiaTheme="minorEastAsia"/>
          <w:color w:val="FF0000"/>
          <w:szCs w:val="21"/>
          <w:highlight w:val="none"/>
          <w:lang w:val="en-US" w:eastAsia="zh-CN"/>
        </w:rPr>
        <w:t>12</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06</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17</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30</w:t>
      </w:r>
      <w:r>
        <w:rPr>
          <w:rFonts w:hint="eastAsia" w:asciiTheme="minorEastAsia" w:hAnsiTheme="minorEastAsia" w:eastAsiaTheme="minorEastAsia"/>
          <w:color w:val="FF0000"/>
          <w:szCs w:val="21"/>
          <w:highlight w:val="none"/>
        </w:rPr>
        <w:t>分</w:t>
      </w:r>
      <w:r>
        <w:rPr>
          <w:rFonts w:hint="eastAsia" w:asciiTheme="minorEastAsia" w:hAnsiTheme="minorEastAsia" w:eastAsiaTheme="minorEastAsia"/>
          <w:szCs w:val="21"/>
          <w:highlight w:val="none"/>
        </w:rPr>
        <w:t>】（北京时间，下同）</w:t>
      </w:r>
      <w:r>
        <w:rPr>
          <w:rFonts w:hint="eastAsia" w:ascii="宋体" w:hAnsi="宋体"/>
          <w:szCs w:val="21"/>
          <w:highlight w:val="none"/>
        </w:rPr>
        <w:t>。</w:t>
      </w:r>
    </w:p>
    <w:p w14:paraId="146F13F4">
      <w:pPr>
        <w:wordWrap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4.2招标文件获取方式：凡有意参与投标的潜在投标人，请按以下步骤顺序进行操作，获取招标文件：</w:t>
      </w:r>
    </w:p>
    <w:p w14:paraId="0336C2C9">
      <w:pPr>
        <w:wordWrap w:val="0"/>
        <w:adjustRightInd w:val="0"/>
        <w:snapToGrid w:val="0"/>
        <w:spacing w:line="360" w:lineRule="auto"/>
        <w:ind w:firstLine="420" w:firstLineChars="200"/>
        <w:rPr>
          <w:rFonts w:ascii="宋体" w:hAnsi="宋体"/>
          <w:highlight w:val="none"/>
        </w:rPr>
      </w:pPr>
      <w:r>
        <w:rPr>
          <w:rFonts w:hint="eastAsia" w:asciiTheme="minorEastAsia" w:hAnsiTheme="minorEastAsia" w:eastAsiaTheme="minorEastAsia"/>
          <w:highlight w:val="none"/>
        </w:rPr>
        <w:t>4.2.1登录“【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w:t>
      </w:r>
      <w:r>
        <w:rPr>
          <w:rFonts w:hint="eastAsia"/>
          <w:highlight w:val="none"/>
        </w:rPr>
        <w:t>后，通过“招投标-采购文件领取”模块或通过“电子采购入口”跳转中国电信电子采购系统，进入本项目进行招标文件登记申领</w:t>
      </w:r>
      <w:r>
        <w:rPr>
          <w:rFonts w:hint="eastAsia" w:asciiTheme="minorEastAsia" w:hAnsiTheme="minorEastAsia" w:eastAsiaTheme="minorEastAsia"/>
          <w:highlight w:val="none"/>
        </w:rPr>
        <w:t>。未在系统注册的投标人须先进行注册，注册方法详见本公告“7投标人注册”。</w:t>
      </w:r>
    </w:p>
    <w:p w14:paraId="29C3ED6D">
      <w:pPr>
        <w:wordWrap w:val="0"/>
        <w:adjustRightInd w:val="0"/>
        <w:snapToGrid w:val="0"/>
        <w:spacing w:line="360" w:lineRule="auto"/>
        <w:ind w:firstLine="422" w:firstLineChars="200"/>
        <w:rPr>
          <w:rFonts w:ascii="宋体" w:hAnsi="宋体"/>
          <w:highlight w:val="none"/>
        </w:rPr>
      </w:pPr>
      <w:r>
        <w:rPr>
          <w:rFonts w:hint="eastAsia" w:ascii="宋体" w:hAnsi="宋体" w:cs="宋体"/>
          <w:b/>
          <w:bCs/>
          <w:kern w:val="0"/>
          <w:szCs w:val="21"/>
          <w:highlight w:val="none"/>
        </w:rPr>
        <w:t>注意：招标文件以“中国电信电子采购系统”登记申领下载的为准，如无法登记申领的，请及时与招标代理机构的项目联系人联系。</w:t>
      </w:r>
    </w:p>
    <w:p w14:paraId="17B8ACB7">
      <w:pPr>
        <w:wordWrap w:val="0"/>
        <w:adjustRightInd w:val="0"/>
        <w:snapToGrid w:val="0"/>
        <w:spacing w:line="360" w:lineRule="auto"/>
        <w:ind w:firstLine="420" w:firstLineChars="200"/>
        <w:rPr>
          <w:color w:val="0000FF"/>
          <w:szCs w:val="21"/>
          <w:highlight w:val="none"/>
        </w:rPr>
      </w:pPr>
      <w:r>
        <w:rPr>
          <w:rFonts w:hint="eastAsia" w:ascii="宋体" w:hAnsi="宋体"/>
          <w:szCs w:val="21"/>
          <w:highlight w:val="none"/>
        </w:rPr>
        <w:t>4.2.2招标文件费用：</w:t>
      </w:r>
      <w:r>
        <w:rPr>
          <w:rFonts w:hint="eastAsia"/>
          <w:highlight w:val="none"/>
        </w:rPr>
        <w:t>每套售价【0】元人民币，售后不退。</w:t>
      </w:r>
    </w:p>
    <w:p w14:paraId="7FCA0E99">
      <w:pPr>
        <w:adjustRightInd w:val="0"/>
        <w:snapToGrid w:val="0"/>
        <w:spacing w:line="360" w:lineRule="auto"/>
        <w:rPr>
          <w:rFonts w:ascii="宋体" w:hAnsi="宋体"/>
          <w:b/>
          <w:szCs w:val="21"/>
          <w:highlight w:val="none"/>
        </w:rPr>
      </w:pPr>
      <w:r>
        <w:rPr>
          <w:rFonts w:hint="eastAsia" w:ascii="宋体" w:hAnsi="宋体"/>
          <w:b/>
          <w:szCs w:val="21"/>
          <w:highlight w:val="none"/>
        </w:rPr>
        <w:t>5.投标文件的递交</w:t>
      </w:r>
    </w:p>
    <w:p w14:paraId="616912C2">
      <w:pPr>
        <w:wordWrap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5.1投标文件递交截止时间（即投标截止时间）为：【</w:t>
      </w:r>
      <w:r>
        <w:rPr>
          <w:rFonts w:hint="eastAsia" w:ascii="宋体" w:hAnsi="宋体"/>
          <w:color w:val="FF0000"/>
          <w:szCs w:val="21"/>
          <w:highlight w:val="none"/>
        </w:rPr>
        <w:t>2024年</w:t>
      </w:r>
      <w:r>
        <w:rPr>
          <w:rFonts w:hint="eastAsia" w:ascii="宋体" w:hAnsi="宋体"/>
          <w:color w:val="FF0000"/>
          <w:szCs w:val="21"/>
          <w:highlight w:val="none"/>
          <w:lang w:val="en-US" w:eastAsia="zh-CN"/>
        </w:rPr>
        <w:t>12</w:t>
      </w:r>
      <w:r>
        <w:rPr>
          <w:rFonts w:hint="eastAsia" w:ascii="宋体" w:hAnsi="宋体"/>
          <w:color w:val="FF0000"/>
          <w:szCs w:val="21"/>
          <w:highlight w:val="none"/>
        </w:rPr>
        <w:t>月</w:t>
      </w:r>
      <w:r>
        <w:rPr>
          <w:rFonts w:hint="eastAsia" w:ascii="宋体" w:hAnsi="宋体"/>
          <w:color w:val="FF0000"/>
          <w:szCs w:val="21"/>
          <w:highlight w:val="none"/>
          <w:lang w:val="en-US" w:eastAsia="zh-CN"/>
        </w:rPr>
        <w:t>20</w:t>
      </w:r>
      <w:r>
        <w:rPr>
          <w:rFonts w:hint="eastAsia" w:ascii="宋体" w:hAnsi="宋体"/>
          <w:color w:val="FF0000"/>
          <w:szCs w:val="21"/>
          <w:highlight w:val="none"/>
        </w:rPr>
        <w:t>日</w:t>
      </w:r>
      <w:r>
        <w:rPr>
          <w:rFonts w:hint="eastAsia" w:ascii="宋体" w:hAnsi="宋体"/>
          <w:color w:val="FF0000"/>
          <w:szCs w:val="21"/>
          <w:highlight w:val="none"/>
          <w:lang w:val="en-US" w:eastAsia="zh-CN"/>
        </w:rPr>
        <w:t>09</w:t>
      </w:r>
      <w:r>
        <w:rPr>
          <w:rFonts w:hint="eastAsia" w:ascii="宋体" w:hAnsi="宋体"/>
          <w:color w:val="FF0000"/>
          <w:szCs w:val="21"/>
          <w:highlight w:val="none"/>
        </w:rPr>
        <w:t>时</w:t>
      </w:r>
      <w:r>
        <w:rPr>
          <w:rFonts w:hint="eastAsia" w:ascii="宋体" w:hAnsi="宋体"/>
          <w:color w:val="FF0000"/>
          <w:szCs w:val="21"/>
          <w:highlight w:val="none"/>
          <w:lang w:val="en-US" w:eastAsia="zh-CN"/>
        </w:rPr>
        <w:t>00</w:t>
      </w:r>
      <w:r>
        <w:rPr>
          <w:rFonts w:hint="eastAsia" w:ascii="宋体" w:hAnsi="宋体"/>
          <w:color w:val="FF0000"/>
          <w:szCs w:val="21"/>
          <w:highlight w:val="none"/>
        </w:rPr>
        <w:t>分</w:t>
      </w:r>
      <w:r>
        <w:rPr>
          <w:rFonts w:hint="eastAsia" w:ascii="宋体" w:hAnsi="宋体"/>
          <w:szCs w:val="21"/>
          <w:highlight w:val="none"/>
        </w:rPr>
        <w:t>】</w:t>
      </w:r>
      <w:r>
        <w:rPr>
          <w:rFonts w:hint="eastAsia" w:asciiTheme="minorEastAsia" w:hAnsiTheme="minorEastAsia" w:eastAsiaTheme="minorEastAsia"/>
          <w:color w:val="0000FF"/>
          <w:szCs w:val="21"/>
          <w:highlight w:val="none"/>
        </w:rPr>
        <w:t>。</w:t>
      </w:r>
    </w:p>
    <w:p w14:paraId="75A16EC6">
      <w:pPr>
        <w:wordWrap w:val="0"/>
        <w:adjustRightInd w:val="0"/>
        <w:snapToGrid w:val="0"/>
        <w:spacing w:line="360" w:lineRule="auto"/>
        <w:ind w:firstLine="420" w:firstLineChars="200"/>
        <w:rPr>
          <w:rFonts w:ascii="宋体" w:hAnsi="宋体"/>
          <w:highlight w:val="none"/>
        </w:rPr>
      </w:pPr>
      <w:r>
        <w:rPr>
          <w:rFonts w:hint="eastAsia" w:ascii="宋体" w:hAnsi="宋体"/>
          <w:highlight w:val="none"/>
        </w:rPr>
        <w:t>5.2电子投标文件的递</w:t>
      </w:r>
      <w:r>
        <w:rPr>
          <w:rFonts w:hint="eastAsia"/>
          <w:highlight w:val="none"/>
        </w:rPr>
        <w:t>交：【登录</w:t>
      </w:r>
      <w:r>
        <w:rPr>
          <w:highlight w:val="none"/>
        </w:rPr>
        <w:t>中国电信阳光采购网</w:t>
      </w:r>
      <w:r>
        <w:rPr>
          <w:rFonts w:hint="eastAsia"/>
          <w:highlight w:val="none"/>
        </w:rPr>
        <w:t>（</w:t>
      </w:r>
      <w:r>
        <w:rPr>
          <w:rFonts w:hint="eastAsia" w:asciiTheme="minorEastAsia" w:hAnsiTheme="minorEastAsia" w:eastAsiaTheme="minorEastAsia"/>
          <w:szCs w:val="21"/>
          <w:highlight w:val="none"/>
          <w:u w:val="single"/>
        </w:rPr>
        <w:t>https://caigou.chinatelecom.com.cn</w:t>
      </w:r>
      <w:r>
        <w:rPr>
          <w:rFonts w:hint="eastAsia"/>
          <w:highlight w:val="none"/>
        </w:rPr>
        <w:t>）</w:t>
      </w:r>
      <w:r>
        <w:rPr>
          <w:rFonts w:hint="eastAsia" w:asciiTheme="minorEastAsia" w:hAnsiTheme="minorEastAsia" w:eastAsiaTheme="minorEastAsia"/>
          <w:szCs w:val="21"/>
          <w:highlight w:val="none"/>
          <w:u w:val="single"/>
        </w:rPr>
        <w:t>】</w:t>
      </w:r>
      <w:r>
        <w:rPr>
          <w:rFonts w:hint="eastAsia"/>
          <w:highlight w:val="none"/>
        </w:rPr>
        <w:t>后，通过“招投标-我的项目”模块或通过“电子采购入口”跳转中国电信电子采购系统，选择本项目进行投标文件递交</w:t>
      </w:r>
      <w:r>
        <w:rPr>
          <w:rFonts w:hint="eastAsia" w:asciiTheme="minorEastAsia" w:hAnsiTheme="minorEastAsia" w:eastAsiaTheme="minorEastAsia"/>
          <w:highlight w:val="none"/>
        </w:rPr>
        <w:t>，投标人应在</w:t>
      </w:r>
      <w:r>
        <w:rPr>
          <w:rFonts w:hint="eastAsia" w:asciiTheme="minorEastAsia" w:hAnsiTheme="minorEastAsia" w:eastAsiaTheme="minorEastAsia"/>
          <w:szCs w:val="21"/>
          <w:highlight w:val="none"/>
        </w:rPr>
        <w:t>投标文件递交截止时间之前通过电子采购系统</w:t>
      </w:r>
      <w:r>
        <w:rPr>
          <w:rFonts w:hint="eastAsia" w:asciiTheme="minorEastAsia" w:hAnsiTheme="minorEastAsia" w:eastAsiaTheme="minorEastAsia"/>
          <w:highlight w:val="none"/>
        </w:rPr>
        <w:t>完成加密电子投标文件的上传。投标人未在</w:t>
      </w:r>
      <w:r>
        <w:rPr>
          <w:rFonts w:hint="eastAsia" w:asciiTheme="minorEastAsia" w:hAnsiTheme="minorEastAsia" w:eastAsiaTheme="minorEastAsia"/>
          <w:szCs w:val="21"/>
          <w:highlight w:val="none"/>
        </w:rPr>
        <w:t>电子采购系统</w:t>
      </w:r>
      <w:r>
        <w:rPr>
          <w:rFonts w:hint="eastAsia" w:asciiTheme="minorEastAsia" w:hAnsiTheme="minorEastAsia" w:eastAsiaTheme="minorEastAsia"/>
          <w:highlight w:val="none"/>
        </w:rPr>
        <w:t>进行招标文件申领登记或电子投标文件未按照要求加密的，将无法通过</w:t>
      </w:r>
      <w:r>
        <w:rPr>
          <w:rFonts w:hint="eastAsia" w:asciiTheme="minorEastAsia" w:hAnsiTheme="minorEastAsia" w:eastAsiaTheme="minorEastAsia"/>
          <w:szCs w:val="21"/>
          <w:highlight w:val="none"/>
        </w:rPr>
        <w:t>电子采购系统</w:t>
      </w:r>
      <w:r>
        <w:rPr>
          <w:rFonts w:hint="eastAsia" w:asciiTheme="minorEastAsia" w:hAnsiTheme="minorEastAsia" w:eastAsiaTheme="minorEastAsia"/>
          <w:highlight w:val="none"/>
        </w:rPr>
        <w:t>提交电子投标文件</w:t>
      </w:r>
      <w:r>
        <w:rPr>
          <w:rFonts w:hint="eastAsia" w:asciiTheme="minorEastAsia" w:hAnsiTheme="minorEastAsia" w:eastAsiaTheme="minorEastAsia"/>
          <w:szCs w:val="21"/>
          <w:highlight w:val="none"/>
        </w:rPr>
        <w:t>】</w:t>
      </w:r>
      <w:r>
        <w:rPr>
          <w:rFonts w:hint="eastAsia"/>
          <w:highlight w:val="none"/>
        </w:rPr>
        <w:t>。</w:t>
      </w:r>
    </w:p>
    <w:p w14:paraId="3015F14C">
      <w:pPr>
        <w:wordWrap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5.3本项目将于投标文件递交截止同一时间</w:t>
      </w:r>
      <w:r>
        <w:rPr>
          <w:rFonts w:hint="eastAsia" w:asciiTheme="minorEastAsia" w:hAnsiTheme="minorEastAsia" w:eastAsiaTheme="minorEastAsia"/>
          <w:szCs w:val="21"/>
          <w:highlight w:val="none"/>
        </w:rPr>
        <w:t>通过中国电信电子采购系统</w:t>
      </w:r>
      <w:r>
        <w:rPr>
          <w:rFonts w:hint="eastAsia" w:ascii="宋体" w:hAnsi="宋体"/>
          <w:szCs w:val="21"/>
          <w:highlight w:val="none"/>
        </w:rPr>
        <w:t>开标，</w:t>
      </w:r>
      <w:r>
        <w:rPr>
          <w:rFonts w:hint="eastAsia" w:ascii="宋体" w:hAnsi="宋体"/>
          <w:highlight w:val="none"/>
        </w:rPr>
        <w:t>【</w:t>
      </w:r>
      <w:r>
        <w:rPr>
          <w:rFonts w:hint="eastAsia" w:ascii="宋体" w:hAnsi="宋体"/>
          <w:spacing w:val="2"/>
          <w:szCs w:val="21"/>
          <w:highlight w:val="none"/>
        </w:rPr>
        <w:t>招标人/招标代理机构</w:t>
      </w:r>
      <w:r>
        <w:rPr>
          <w:rFonts w:hint="eastAsia" w:ascii="宋体" w:hAnsi="宋体"/>
          <w:highlight w:val="none"/>
        </w:rPr>
        <w:t>】</w:t>
      </w:r>
      <w:r>
        <w:rPr>
          <w:rFonts w:hint="eastAsia" w:ascii="宋体" w:hAnsi="宋体"/>
          <w:szCs w:val="21"/>
          <w:highlight w:val="none"/>
        </w:rPr>
        <w:t>邀请投标人的法定代表人</w:t>
      </w:r>
      <w:r>
        <w:rPr>
          <w:rFonts w:hint="eastAsia" w:asciiTheme="minorEastAsia" w:hAnsiTheme="minorEastAsia" w:eastAsiaTheme="minorEastAsia"/>
          <w:szCs w:val="21"/>
          <w:highlight w:val="none"/>
        </w:rPr>
        <w:t>/负责人</w:t>
      </w:r>
      <w:r>
        <w:rPr>
          <w:rFonts w:hint="eastAsia" w:ascii="宋体" w:hAnsi="宋体"/>
          <w:szCs w:val="21"/>
          <w:highlight w:val="none"/>
        </w:rPr>
        <w:t>或者其委托代理人准时参加。</w:t>
      </w:r>
    </w:p>
    <w:p w14:paraId="2A95A8EF">
      <w:pPr>
        <w:adjustRightInd w:val="0"/>
        <w:snapToGrid w:val="0"/>
        <w:spacing w:line="360" w:lineRule="auto"/>
        <w:rPr>
          <w:rFonts w:ascii="宋体" w:hAnsi="宋体"/>
          <w:b/>
          <w:szCs w:val="21"/>
          <w:highlight w:val="none"/>
        </w:rPr>
      </w:pPr>
      <w:r>
        <w:rPr>
          <w:rFonts w:hint="eastAsia" w:ascii="宋体" w:hAnsi="宋体"/>
          <w:b/>
          <w:szCs w:val="21"/>
          <w:highlight w:val="none"/>
        </w:rPr>
        <w:t>6.样品的递交</w:t>
      </w:r>
    </w:p>
    <w:p w14:paraId="5C0D0502">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6.1样品递交的时间、地点：【</w:t>
      </w:r>
      <w:r>
        <w:rPr>
          <w:rFonts w:hint="eastAsia" w:ascii="宋体" w:hAnsi="宋体"/>
          <w:szCs w:val="21"/>
          <w:highlight w:val="none"/>
          <w:u w:val="single"/>
        </w:rPr>
        <w:t>不适用</w:t>
      </w:r>
      <w:r>
        <w:rPr>
          <w:rFonts w:hint="eastAsia" w:ascii="宋体" w:hAnsi="宋体"/>
          <w:szCs w:val="21"/>
          <w:highlight w:val="none"/>
        </w:rPr>
        <w:t xml:space="preserve">】。 </w:t>
      </w:r>
    </w:p>
    <w:p w14:paraId="7A72B651">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6.2检测相关费用：【</w:t>
      </w:r>
      <w:r>
        <w:rPr>
          <w:rFonts w:hint="eastAsia" w:ascii="宋体" w:hAnsi="宋体"/>
          <w:szCs w:val="21"/>
          <w:highlight w:val="none"/>
          <w:u w:val="single"/>
        </w:rPr>
        <w:t>不适用</w:t>
      </w:r>
      <w:r>
        <w:rPr>
          <w:rFonts w:hint="eastAsia" w:ascii="宋体" w:hAnsi="宋体"/>
          <w:szCs w:val="21"/>
          <w:highlight w:val="none"/>
        </w:rPr>
        <w:t>】。</w:t>
      </w:r>
    </w:p>
    <w:p w14:paraId="337E11C2">
      <w:pPr>
        <w:adjustRightInd w:val="0"/>
        <w:snapToGrid w:val="0"/>
        <w:spacing w:line="360" w:lineRule="auto"/>
        <w:rPr>
          <w:rFonts w:ascii="宋体" w:hAnsi="宋体"/>
          <w:b/>
          <w:szCs w:val="21"/>
          <w:highlight w:val="none"/>
        </w:rPr>
      </w:pPr>
      <w:r>
        <w:rPr>
          <w:rFonts w:hint="eastAsia" w:ascii="宋体" w:hAnsi="宋体"/>
          <w:b/>
          <w:szCs w:val="21"/>
          <w:highlight w:val="none"/>
        </w:rPr>
        <w:t>7.投标人注册</w:t>
      </w:r>
    </w:p>
    <w:p w14:paraId="39B84A82">
      <w:pPr>
        <w:wordWrap w:val="0"/>
        <w:adjustRightInd w:val="0"/>
        <w:snapToGrid w:val="0"/>
        <w:spacing w:line="360" w:lineRule="auto"/>
        <w:ind w:firstLine="420" w:firstLineChars="200"/>
        <w:rPr>
          <w:rFonts w:ascii="宋体" w:hAnsi="宋体"/>
          <w:szCs w:val="21"/>
          <w:highlight w:val="none"/>
        </w:rPr>
      </w:pPr>
      <w:r>
        <w:rPr>
          <w:rFonts w:hint="eastAsia" w:ascii="宋体" w:hAnsi="宋体"/>
          <w:highlight w:val="none"/>
        </w:rPr>
        <w:t>7.1</w:t>
      </w:r>
      <w:r>
        <w:rPr>
          <w:highlight w:val="none"/>
        </w:rPr>
        <w:t>中国电信阳光采购网</w:t>
      </w:r>
      <w:r>
        <w:rPr>
          <w:rFonts w:hint="eastAsia" w:ascii="宋体" w:hAnsi="宋体"/>
          <w:highlight w:val="none"/>
        </w:rPr>
        <w:t>注册</w:t>
      </w:r>
    </w:p>
    <w:p w14:paraId="6214BB94">
      <w:pPr>
        <w:wordWrap w:val="0"/>
        <w:adjustRightInd w:val="0"/>
        <w:snapToGrid w:val="0"/>
        <w:spacing w:line="360" w:lineRule="auto"/>
        <w:ind w:firstLine="420" w:firstLineChars="200"/>
        <w:rPr>
          <w:rFonts w:ascii="宋体" w:hAnsi="宋体"/>
          <w:highlight w:val="none"/>
        </w:rPr>
      </w:pPr>
      <w:r>
        <w:rPr>
          <w:rFonts w:hint="eastAsia" w:asciiTheme="minorEastAsia" w:hAnsiTheme="minorEastAsia" w:eastAsiaTheme="minorEastAsia"/>
          <w:highlight w:val="none"/>
        </w:rPr>
        <w:t>未注册过的潜在投标人，</w:t>
      </w:r>
      <w:r>
        <w:rPr>
          <w:rFonts w:hint="eastAsia" w:ascii="宋体" w:hAnsi="宋体"/>
          <w:highlight w:val="none"/>
        </w:rPr>
        <w:t>须</w:t>
      </w:r>
      <w:r>
        <w:rPr>
          <w:rFonts w:hint="eastAsia" w:asciiTheme="minorEastAsia" w:hAnsiTheme="minorEastAsia" w:eastAsiaTheme="minorEastAsia"/>
          <w:highlight w:val="none"/>
        </w:rPr>
        <w:t>通过</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宋体" w:hAnsi="宋体"/>
          <w:highlight w:val="none"/>
        </w:rPr>
        <w:t>首页“立即注册”模块</w:t>
      </w:r>
      <w:r>
        <w:rPr>
          <w:rFonts w:hint="eastAsia" w:asciiTheme="minorEastAsia" w:hAnsiTheme="minorEastAsia" w:eastAsiaTheme="minorEastAsia"/>
          <w:highlight w:val="none"/>
        </w:rPr>
        <w:t>完成注册后，方可申领本项目招标文件。</w:t>
      </w:r>
    </w:p>
    <w:p w14:paraId="31C32E46">
      <w:pPr>
        <w:wordWrap w:val="0"/>
        <w:adjustRightInd w:val="0"/>
        <w:snapToGrid w:val="0"/>
        <w:spacing w:line="360" w:lineRule="auto"/>
        <w:ind w:firstLine="420" w:firstLineChars="200"/>
        <w:rPr>
          <w:rFonts w:ascii="宋体" w:hAnsi="宋体"/>
          <w:szCs w:val="21"/>
          <w:highlight w:val="none"/>
        </w:rPr>
      </w:pPr>
      <w:r>
        <w:rPr>
          <w:rFonts w:hint="eastAsia" w:asciiTheme="minorEastAsia" w:hAnsiTheme="minorEastAsia" w:eastAsiaTheme="minorEastAsia"/>
          <w:highlight w:val="none"/>
        </w:rPr>
        <w:t>7.2 CA证书办理</w:t>
      </w:r>
    </w:p>
    <w:p w14:paraId="645B5656">
      <w:pPr>
        <w:wordWrap w:val="0"/>
        <w:adjustRightInd w:val="0"/>
        <w:snapToGrid w:val="0"/>
        <w:spacing w:line="360" w:lineRule="auto"/>
        <w:ind w:firstLine="428" w:firstLineChars="200"/>
        <w:rPr>
          <w:rFonts w:ascii="宋体" w:hAnsi="宋体"/>
          <w:szCs w:val="21"/>
          <w:highlight w:val="none"/>
        </w:rPr>
      </w:pPr>
      <w:r>
        <w:rPr>
          <w:rFonts w:hint="eastAsia" w:asciiTheme="minorEastAsia" w:hAnsiTheme="minorEastAsia" w:eastAsiaTheme="minorEastAsia"/>
          <w:spacing w:val="2"/>
          <w:szCs w:val="21"/>
          <w:highlight w:val="none"/>
        </w:rPr>
        <w:t>参与电子采购的潜在投标人须提前办理CA证书进行电子投标文件编制和投标，并确保CA证书在使用时有效。【CA证书办理流程</w:t>
      </w:r>
      <w:r>
        <w:rPr>
          <w:rFonts w:hint="eastAsia" w:asciiTheme="minorEastAsia" w:hAnsiTheme="minorEastAsia" w:eastAsiaTheme="minorEastAsia"/>
          <w:szCs w:val="21"/>
          <w:highlight w:val="none"/>
        </w:rPr>
        <w:t>详见【</w:t>
      </w:r>
      <w:r>
        <w:rPr>
          <w:rFonts w:hint="eastAsia"/>
          <w:highlight w:val="none"/>
        </w:rPr>
        <w:t>中国电信阳光采购网</w:t>
      </w:r>
      <w:r>
        <w:rPr>
          <w:rFonts w:hint="eastAsia" w:asciiTheme="minorEastAsia" w:hAnsiTheme="minorEastAsia" w:eastAsiaTheme="minorEastAsia"/>
          <w:highlight w:val="none"/>
        </w:rPr>
        <w:t>】“操作指引</w:t>
      </w:r>
      <w:r>
        <w:rPr>
          <w:rFonts w:asciiTheme="minorEastAsia" w:hAnsiTheme="minorEastAsia" w:eastAsiaTheme="minorEastAsia"/>
          <w:highlight w:val="none"/>
        </w:rPr>
        <w:t>-CA办理</w:t>
      </w:r>
      <w:r>
        <w:rPr>
          <w:rFonts w:hint="eastAsia" w:asciiTheme="minorEastAsia" w:hAnsiTheme="minorEastAsia" w:eastAsiaTheme="minorEastAsia"/>
          <w:highlight w:val="none"/>
        </w:rPr>
        <w:t>”。</w:t>
      </w:r>
      <w:r>
        <w:rPr>
          <w:rFonts w:hint="eastAsia" w:asciiTheme="minorEastAsia" w:hAnsiTheme="minorEastAsia" w:eastAsiaTheme="minorEastAsia"/>
          <w:spacing w:val="2"/>
          <w:szCs w:val="21"/>
          <w:highlight w:val="none"/>
        </w:rPr>
        <w:t>】</w:t>
      </w:r>
    </w:p>
    <w:p w14:paraId="1323A856">
      <w:pPr>
        <w:wordWrap w:val="0"/>
        <w:adjustRightInd w:val="0"/>
        <w:snapToGrid w:val="0"/>
        <w:spacing w:line="360" w:lineRule="auto"/>
        <w:ind w:firstLine="420" w:firstLineChars="200"/>
        <w:rPr>
          <w:rFonts w:ascii="宋体" w:hAnsi="宋体"/>
          <w:szCs w:val="21"/>
          <w:highlight w:val="none"/>
        </w:rPr>
      </w:pPr>
      <w:r>
        <w:rPr>
          <w:rFonts w:hint="eastAsia" w:cs="宋体" w:asciiTheme="minorEastAsia" w:hAnsiTheme="minorEastAsia" w:eastAsiaTheme="minorEastAsia"/>
          <w:kern w:val="0"/>
          <w:szCs w:val="21"/>
          <w:highlight w:val="none"/>
        </w:rPr>
        <w:t>7.3</w:t>
      </w:r>
      <w:r>
        <w:rPr>
          <w:rFonts w:cs="宋体" w:asciiTheme="minorEastAsia" w:hAnsiTheme="minorEastAsia" w:eastAsiaTheme="minorEastAsia"/>
          <w:kern w:val="0"/>
          <w:szCs w:val="21"/>
          <w:highlight w:val="none"/>
        </w:rPr>
        <w:t>技术支撑联系方式</w:t>
      </w:r>
    </w:p>
    <w:p w14:paraId="2AFC82D8">
      <w:pPr>
        <w:pStyle w:val="14"/>
        <w:wordWrap w:val="0"/>
        <w:adjustRightInd w:val="0"/>
        <w:snapToGrid w:val="0"/>
        <w:spacing w:line="360" w:lineRule="auto"/>
        <w:ind w:left="2" w:firstLine="424" w:firstLineChars="202"/>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服务热线：</w:t>
      </w:r>
      <w:r>
        <w:rPr>
          <w:rFonts w:cs="宋体" w:asciiTheme="minorEastAsia" w:hAnsiTheme="minorEastAsia" w:eastAsiaTheme="minorEastAsia"/>
          <w:kern w:val="0"/>
          <w:szCs w:val="21"/>
          <w:highlight w:val="none"/>
        </w:rPr>
        <w:t>010-56107929 /010-5610788</w:t>
      </w:r>
      <w:r>
        <w:rPr>
          <w:rFonts w:hint="eastAsia" w:cs="宋体" w:asciiTheme="minorEastAsia" w:hAnsiTheme="minorEastAsia" w:eastAsiaTheme="minorEastAsia"/>
          <w:kern w:val="0"/>
          <w:szCs w:val="21"/>
          <w:highlight w:val="none"/>
        </w:rPr>
        <w:t>0</w:t>
      </w:r>
    </w:p>
    <w:p w14:paraId="1766557E">
      <w:pPr>
        <w:pStyle w:val="14"/>
        <w:wordWrap w:val="0"/>
        <w:adjustRightInd w:val="0"/>
        <w:snapToGrid w:val="0"/>
        <w:spacing w:line="360" w:lineRule="auto"/>
        <w:ind w:left="422" w:firstLine="0" w:firstLineChars="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服务邮箱：</w:t>
      </w:r>
      <w:r>
        <w:rPr>
          <w:rFonts w:cs="宋体" w:asciiTheme="minorEastAsia" w:hAnsiTheme="minorEastAsia" w:eastAsiaTheme="minorEastAsia"/>
          <w:kern w:val="0"/>
          <w:szCs w:val="21"/>
          <w:highlight w:val="none"/>
        </w:rPr>
        <w:t>zb_support@chinatelecom.cn</w:t>
      </w:r>
      <w:r>
        <w:rPr>
          <w:rFonts w:hint="eastAsia" w:cs="宋体" w:asciiTheme="minorEastAsia" w:hAnsiTheme="minorEastAsia" w:eastAsiaTheme="minorEastAsia"/>
          <w:kern w:val="0"/>
          <w:szCs w:val="21"/>
          <w:highlight w:val="none"/>
        </w:rPr>
        <w:t>（电子采购系统技术支撑）</w:t>
      </w:r>
    </w:p>
    <w:p w14:paraId="6ABA78CF">
      <w:pPr>
        <w:pStyle w:val="14"/>
        <w:wordWrap w:val="0"/>
        <w:adjustRightInd w:val="0"/>
        <w:snapToGrid w:val="0"/>
        <w:spacing w:line="360" w:lineRule="auto"/>
        <w:ind w:firstLine="1470" w:firstLineChars="70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ctsc@chinatelecom.cn（CA证书办理技术支撑）</w:t>
      </w:r>
    </w:p>
    <w:p w14:paraId="0BD06A8C">
      <w:pPr>
        <w:adjustRightInd w:val="0"/>
        <w:snapToGrid w:val="0"/>
        <w:spacing w:line="360" w:lineRule="auto"/>
        <w:rPr>
          <w:rFonts w:ascii="宋体" w:hAnsi="宋体"/>
          <w:b/>
          <w:szCs w:val="21"/>
          <w:highlight w:val="none"/>
        </w:rPr>
      </w:pPr>
      <w:r>
        <w:rPr>
          <w:rFonts w:hint="eastAsia" w:ascii="宋体" w:hAnsi="宋体"/>
          <w:b/>
          <w:szCs w:val="21"/>
          <w:highlight w:val="none"/>
        </w:rPr>
        <w:t>8.发布公告的媒介</w:t>
      </w:r>
    </w:p>
    <w:p w14:paraId="2068EE9D">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本招标公告同时</w:t>
      </w:r>
      <w:r>
        <w:rPr>
          <w:rFonts w:hint="eastAsia" w:ascii="宋体" w:hAnsi="宋体"/>
          <w:highlight w:val="none"/>
        </w:rPr>
        <w:t>且仅在中国招标投标公共服务平台（http://www.cebpubservice.com/）、</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szCs w:val="21"/>
          <w:highlight w:val="none"/>
        </w:rPr>
        <w:t>上发布，其他媒介转载无效</w:t>
      </w:r>
      <w:r>
        <w:rPr>
          <w:rFonts w:hint="eastAsia" w:ascii="宋体" w:hAnsi="宋体"/>
          <w:szCs w:val="21"/>
          <w:highlight w:val="none"/>
        </w:rPr>
        <w:t>。</w:t>
      </w:r>
    </w:p>
    <w:p w14:paraId="6EDAD0EA">
      <w:pPr>
        <w:adjustRightInd w:val="0"/>
        <w:snapToGrid w:val="0"/>
        <w:spacing w:line="360" w:lineRule="auto"/>
        <w:rPr>
          <w:rFonts w:ascii="宋体" w:hAnsi="宋体"/>
          <w:b/>
          <w:szCs w:val="21"/>
          <w:highlight w:val="none"/>
        </w:rPr>
      </w:pPr>
      <w:r>
        <w:rPr>
          <w:rFonts w:hint="eastAsia" w:ascii="宋体" w:hAnsi="宋体"/>
          <w:b/>
          <w:szCs w:val="21"/>
          <w:highlight w:val="none"/>
        </w:rPr>
        <w:t>9.联系及异议接收方式</w:t>
      </w:r>
    </w:p>
    <w:p w14:paraId="05206E09">
      <w:pPr>
        <w:spacing w:line="360" w:lineRule="auto"/>
        <w:rPr>
          <w:rFonts w:ascii="宋体" w:hAnsi="宋体"/>
          <w:highlight w:val="none"/>
        </w:rPr>
      </w:pPr>
      <w:r>
        <w:rPr>
          <w:rFonts w:asciiTheme="minorEastAsia" w:hAnsiTheme="minorEastAsia" w:eastAsiaTheme="minorEastAsia"/>
          <w:highlight w:val="none"/>
        </w:rPr>
        <w:t>9.1</w:t>
      </w:r>
      <w:r>
        <w:rPr>
          <w:rFonts w:hint="eastAsia" w:asciiTheme="minorEastAsia" w:hAnsiTheme="minorEastAsia" w:eastAsiaTheme="minorEastAsia"/>
          <w:highlight w:val="none"/>
        </w:rPr>
        <w:t>联系方式</w:t>
      </w:r>
    </w:p>
    <w:p w14:paraId="4B58C0C4">
      <w:pPr>
        <w:spacing w:line="360" w:lineRule="auto"/>
        <w:rPr>
          <w:rFonts w:hint="eastAsia" w:ascii="宋体" w:hAnsi="宋体" w:eastAsia="宋体"/>
          <w:highlight w:val="none"/>
          <w:lang w:eastAsia="zh-CN"/>
        </w:rPr>
      </w:pPr>
      <w:r>
        <w:rPr>
          <w:rFonts w:hint="eastAsia" w:ascii="宋体" w:hAnsi="宋体"/>
          <w:highlight w:val="none"/>
        </w:rPr>
        <w:t>招 标 人：</w:t>
      </w:r>
      <w:r>
        <w:rPr>
          <w:rFonts w:hint="eastAsia" w:ascii="宋体" w:hAnsi="宋体" w:cs="宋体"/>
          <w:color w:val="000000" w:themeColor="text1"/>
          <w:highlight w:val="none"/>
          <w:lang w:eastAsia="zh-CN"/>
          <w14:textFill>
            <w14:solidFill>
              <w14:schemeClr w14:val="tx1"/>
            </w14:solidFill>
          </w14:textFill>
        </w:rPr>
        <w:t>中国电信股份有限公司泉州分公司</w:t>
      </w:r>
    </w:p>
    <w:p w14:paraId="09F20CCC">
      <w:pPr>
        <w:spacing w:line="360" w:lineRule="auto"/>
        <w:rPr>
          <w:rFonts w:ascii="宋体" w:hAnsi="宋体"/>
          <w:highlight w:val="none"/>
        </w:rPr>
      </w:pPr>
      <w:r>
        <w:rPr>
          <w:rFonts w:hint="eastAsia" w:ascii="宋体" w:hAnsi="宋体"/>
          <w:highlight w:val="none"/>
        </w:rPr>
        <w:t>地    址：</w:t>
      </w:r>
      <w:r>
        <w:rPr>
          <w:rFonts w:hint="eastAsia" w:ascii="宋体" w:hAnsi="宋体" w:cs="宋体"/>
          <w:color w:val="000000" w:themeColor="text1"/>
          <w:highlight w:val="none"/>
          <w14:textFill>
            <w14:solidFill>
              <w14:schemeClr w14:val="tx1"/>
            </w14:solidFill>
          </w14:textFill>
        </w:rPr>
        <w:t>【</w:t>
      </w:r>
      <w:r>
        <w:rPr>
          <w:rFonts w:hint="eastAsia" w:ascii="宋体" w:hAnsi="宋体"/>
          <w:highlight w:val="none"/>
        </w:rPr>
        <w:t>福建省泉州市丰泽区刺桐南路西侧电信大楼</w:t>
      </w:r>
      <w:r>
        <w:rPr>
          <w:rFonts w:hint="eastAsia" w:ascii="宋体" w:hAnsi="宋体" w:cs="宋体"/>
          <w:color w:val="000000" w:themeColor="text1"/>
          <w:highlight w:val="none"/>
          <w14:textFill>
            <w14:solidFill>
              <w14:schemeClr w14:val="tx1"/>
            </w14:solidFill>
          </w14:textFill>
        </w:rPr>
        <w:t>】</w:t>
      </w:r>
    </w:p>
    <w:p w14:paraId="09DDFEAF">
      <w:pPr>
        <w:spacing w:line="360" w:lineRule="auto"/>
        <w:rPr>
          <w:rFonts w:ascii="宋体" w:hAnsi="宋体"/>
          <w:highlight w:val="none"/>
        </w:rPr>
      </w:pPr>
      <w:r>
        <w:rPr>
          <w:rFonts w:hint="eastAsia" w:ascii="宋体" w:hAnsi="宋体"/>
          <w:highlight w:val="none"/>
        </w:rPr>
        <w:t>邮    编：</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highlight w:val="none"/>
          <w:lang w:bidi="ar"/>
        </w:rPr>
        <w:t>362000</w:t>
      </w:r>
      <w:r>
        <w:rPr>
          <w:rFonts w:hint="eastAsia" w:ascii="宋体" w:hAnsi="宋体" w:cs="宋体"/>
          <w:color w:val="000000" w:themeColor="text1"/>
          <w:highlight w:val="none"/>
          <w14:textFill>
            <w14:solidFill>
              <w14:schemeClr w14:val="tx1"/>
            </w14:solidFill>
          </w14:textFill>
        </w:rPr>
        <w:t>】</w:t>
      </w:r>
    </w:p>
    <w:p w14:paraId="5050EAA1">
      <w:pPr>
        <w:spacing w:line="360" w:lineRule="auto"/>
        <w:rPr>
          <w:rFonts w:ascii="宋体" w:hAnsi="宋体"/>
          <w:highlight w:val="none"/>
        </w:rPr>
      </w:pPr>
      <w:r>
        <w:rPr>
          <w:rFonts w:hint="eastAsia" w:ascii="宋体" w:hAnsi="宋体"/>
          <w:highlight w:val="none"/>
        </w:rPr>
        <w:t>联 系 人：</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王晗</w:t>
      </w:r>
      <w:r>
        <w:rPr>
          <w:rFonts w:hint="eastAsia" w:ascii="宋体" w:hAnsi="宋体" w:cs="宋体"/>
          <w:color w:val="000000" w:themeColor="text1"/>
          <w:highlight w:val="none"/>
          <w14:textFill>
            <w14:solidFill>
              <w14:schemeClr w14:val="tx1"/>
            </w14:solidFill>
          </w14:textFill>
        </w:rPr>
        <w:t>】</w:t>
      </w:r>
    </w:p>
    <w:p w14:paraId="5062F296">
      <w:pPr>
        <w:spacing w:line="360" w:lineRule="auto"/>
        <w:rPr>
          <w:rFonts w:ascii="宋体" w:hAnsi="宋体"/>
          <w:highlight w:val="none"/>
          <w:u w:val="single"/>
        </w:rPr>
      </w:pPr>
      <w:r>
        <w:rPr>
          <w:rFonts w:hint="eastAsia" w:ascii="宋体" w:hAnsi="宋体"/>
          <w:highlight w:val="none"/>
        </w:rPr>
        <w:t>电    话：</w:t>
      </w:r>
      <w:r>
        <w:rPr>
          <w:rFonts w:hint="eastAsia" w:ascii="宋体" w:hAnsi="宋体" w:cs="宋体"/>
          <w:color w:val="000000" w:themeColor="text1"/>
          <w:highlight w:val="none"/>
          <w14:textFill>
            <w14:solidFill>
              <w14:schemeClr w14:val="tx1"/>
            </w14:solidFill>
          </w14:textFill>
        </w:rPr>
        <w:t>【</w:t>
      </w:r>
      <w:r>
        <w:rPr>
          <w:rFonts w:ascii="宋体" w:hAnsi="宋体"/>
          <w:highlight w:val="none"/>
        </w:rPr>
        <w:t>15359980988</w:t>
      </w:r>
      <w:r>
        <w:rPr>
          <w:rFonts w:hint="eastAsia" w:ascii="宋体" w:hAnsi="宋体" w:cs="宋体"/>
          <w:color w:val="000000" w:themeColor="text1"/>
          <w:highlight w:val="none"/>
          <w14:textFill>
            <w14:solidFill>
              <w14:schemeClr w14:val="tx1"/>
            </w14:solidFill>
          </w14:textFill>
        </w:rPr>
        <w:t>】</w:t>
      </w:r>
    </w:p>
    <w:p w14:paraId="18D83C77">
      <w:pPr>
        <w:spacing w:line="360" w:lineRule="auto"/>
        <w:rPr>
          <w:rFonts w:hint="eastAsia" w:ascii="宋体" w:hAnsi="宋体" w:eastAsia="宋体"/>
          <w:highlight w:val="none"/>
          <w:lang w:eastAsia="zh-CN"/>
        </w:rPr>
      </w:pPr>
      <w:r>
        <w:rPr>
          <w:rFonts w:hint="eastAsia" w:ascii="宋体" w:hAnsi="宋体"/>
          <w:highlight w:val="none"/>
        </w:rPr>
        <w:t>招标代理机构：</w:t>
      </w:r>
      <w:r>
        <w:rPr>
          <w:rFonts w:hint="eastAsia" w:ascii="宋体" w:hAnsi="宋体"/>
          <w:szCs w:val="21"/>
          <w:highlight w:val="none"/>
          <w:lang w:eastAsia="zh-CN"/>
        </w:rPr>
        <w:t>福建省中通通信有限公司</w:t>
      </w:r>
    </w:p>
    <w:p w14:paraId="39A3A14F">
      <w:pPr>
        <w:spacing w:line="360" w:lineRule="auto"/>
        <w:rPr>
          <w:rFonts w:ascii="宋体" w:hAnsi="宋体"/>
          <w:highlight w:val="none"/>
        </w:rPr>
      </w:pPr>
      <w:r>
        <w:rPr>
          <w:rFonts w:hint="eastAsia" w:ascii="宋体" w:hAnsi="宋体"/>
          <w:highlight w:val="none"/>
        </w:rPr>
        <w:t>地    址：</w:t>
      </w:r>
      <w:r>
        <w:rPr>
          <w:rFonts w:hint="eastAsia" w:ascii="宋体" w:hAnsi="宋体"/>
          <w:szCs w:val="21"/>
          <w:highlight w:val="none"/>
        </w:rPr>
        <w:t>福州市仓山区信平路10号</w:t>
      </w:r>
    </w:p>
    <w:p w14:paraId="63CD2777">
      <w:pPr>
        <w:spacing w:line="360" w:lineRule="auto"/>
        <w:rPr>
          <w:rFonts w:ascii="宋体" w:hAnsi="宋体" w:cs="宋体"/>
          <w:color w:val="000000"/>
          <w:highlight w:val="none"/>
          <w:lang w:bidi="ar"/>
        </w:rPr>
      </w:pPr>
      <w:r>
        <w:rPr>
          <w:rFonts w:hint="eastAsia" w:ascii="宋体" w:hAnsi="宋体"/>
          <w:highlight w:val="none"/>
        </w:rPr>
        <w:t>邮    编：350007</w:t>
      </w:r>
    </w:p>
    <w:p w14:paraId="09AAC5E3">
      <w:pPr>
        <w:adjustRightInd w:val="0"/>
        <w:snapToGrid w:val="0"/>
        <w:spacing w:line="360" w:lineRule="auto"/>
        <w:rPr>
          <w:rFonts w:ascii="宋体" w:hAnsi="宋体" w:cs="宋体"/>
          <w:color w:val="000000"/>
          <w:highlight w:val="none"/>
          <w:lang w:bidi="ar"/>
        </w:rPr>
      </w:pPr>
      <w:r>
        <w:rPr>
          <w:rFonts w:hint="eastAsia" w:ascii="宋体" w:hAnsi="宋体" w:cs="宋体"/>
          <w:color w:val="000000"/>
          <w:highlight w:val="none"/>
          <w:lang w:bidi="ar"/>
        </w:rPr>
        <w:t>项目负责人</w:t>
      </w:r>
      <w:r>
        <w:rPr>
          <w:rFonts w:hint="eastAsia" w:ascii="宋体" w:hAnsi="宋体" w:cs="宋体"/>
          <w:color w:val="000000"/>
          <w:highlight w:val="none"/>
          <w:lang w:val="en-US" w:eastAsia="zh-CN" w:bidi="ar"/>
        </w:rPr>
        <w:t>1</w:t>
      </w:r>
      <w:r>
        <w:rPr>
          <w:rFonts w:hint="eastAsia" w:ascii="宋体" w:hAnsi="宋体" w:cs="宋体"/>
          <w:color w:val="000000"/>
          <w:highlight w:val="none"/>
          <w:lang w:bidi="ar"/>
        </w:rPr>
        <w:t>：【蒋恭楷】 电话：【</w:t>
      </w:r>
      <w:r>
        <w:rPr>
          <w:rFonts w:hint="eastAsia" w:ascii="宋体" w:hAnsi="宋体" w:cs="宋体"/>
          <w:color w:val="000000"/>
          <w:highlight w:val="none"/>
          <w:lang w:val="en-US" w:eastAsia="zh-CN" w:bidi="ar"/>
        </w:rPr>
        <w:t>19905958001</w:t>
      </w:r>
      <w:r>
        <w:rPr>
          <w:rFonts w:hint="eastAsia" w:ascii="宋体" w:hAnsi="宋体" w:cs="宋体"/>
          <w:color w:val="000000"/>
          <w:highlight w:val="none"/>
          <w:lang w:bidi="ar"/>
        </w:rPr>
        <w:t>】电子邮箱：【</w:t>
      </w:r>
      <w:r>
        <w:rPr>
          <w:highlight w:val="none"/>
        </w:rPr>
        <w:fldChar w:fldCharType="begin"/>
      </w:r>
      <w:r>
        <w:rPr>
          <w:highlight w:val="none"/>
        </w:rPr>
        <w:instrText xml:space="preserve"> HYPERLINK "mailto:jianggongkai@chinaccs.cn】" </w:instrText>
      </w:r>
      <w:r>
        <w:rPr>
          <w:highlight w:val="none"/>
        </w:rPr>
        <w:fldChar w:fldCharType="separate"/>
      </w:r>
      <w:r>
        <w:rPr>
          <w:rFonts w:hint="eastAsia" w:ascii="宋体" w:hAnsi="宋体" w:cs="宋体"/>
          <w:color w:val="000000"/>
          <w:highlight w:val="none"/>
          <w:lang w:bidi="ar"/>
        </w:rPr>
        <w:t>jianggongkai@chinaccs.cn】</w:t>
      </w:r>
      <w:r>
        <w:rPr>
          <w:rFonts w:hint="eastAsia" w:ascii="宋体" w:hAnsi="宋体" w:cs="宋体"/>
          <w:color w:val="000000"/>
          <w:highlight w:val="none"/>
          <w:lang w:bidi="ar"/>
        </w:rPr>
        <w:fldChar w:fldCharType="end"/>
      </w:r>
    </w:p>
    <w:p w14:paraId="5479FD60">
      <w:pPr>
        <w:adjustRightInd w:val="0"/>
        <w:snapToGrid w:val="0"/>
        <w:spacing w:line="360" w:lineRule="auto"/>
        <w:rPr>
          <w:rFonts w:hint="eastAsia" w:ascii="宋体" w:hAnsi="宋体" w:cs="宋体"/>
          <w:color w:val="000000"/>
          <w:highlight w:val="none"/>
          <w:lang w:bidi="ar"/>
        </w:rPr>
      </w:pPr>
      <w:r>
        <w:rPr>
          <w:rFonts w:hint="eastAsia" w:ascii="宋体" w:hAnsi="宋体" w:cs="宋体"/>
          <w:color w:val="000000"/>
          <w:highlight w:val="none"/>
          <w:lang w:bidi="ar"/>
        </w:rPr>
        <w:t>项目负责人2：【庄灿扬】 电话：【15392275666】</w:t>
      </w:r>
    </w:p>
    <w:p w14:paraId="7258B868">
      <w:pPr>
        <w:adjustRightInd w:val="0"/>
        <w:snapToGrid w:val="0"/>
        <w:spacing w:line="360" w:lineRule="auto"/>
        <w:rPr>
          <w:rFonts w:hint="eastAsia" w:ascii="宋体" w:hAnsi="宋体" w:cs="宋体"/>
          <w:color w:val="000000"/>
          <w:highlight w:val="none"/>
          <w:lang w:bidi="ar"/>
        </w:rPr>
      </w:pPr>
      <w:r>
        <w:rPr>
          <w:rFonts w:hint="eastAsia" w:ascii="宋体" w:hAnsi="宋体" w:cs="宋体"/>
          <w:color w:val="000000"/>
          <w:highlight w:val="none"/>
          <w:lang w:bidi="ar"/>
        </w:rPr>
        <w:t>项目负责人</w:t>
      </w:r>
      <w:r>
        <w:rPr>
          <w:rFonts w:hint="eastAsia" w:ascii="宋体" w:hAnsi="宋体" w:cs="宋体"/>
          <w:color w:val="000000"/>
          <w:highlight w:val="none"/>
          <w:lang w:val="en-US" w:eastAsia="zh-CN" w:bidi="ar"/>
        </w:rPr>
        <w:t>3</w:t>
      </w:r>
      <w:r>
        <w:rPr>
          <w:rFonts w:hint="eastAsia" w:ascii="宋体" w:hAnsi="宋体" w:cs="宋体"/>
          <w:color w:val="000000"/>
          <w:highlight w:val="none"/>
          <w:lang w:bidi="ar"/>
        </w:rPr>
        <w:t>：【</w:t>
      </w:r>
      <w:r>
        <w:rPr>
          <w:rFonts w:hint="eastAsia" w:ascii="宋体" w:hAnsi="宋体" w:cs="宋体"/>
          <w:color w:val="000000"/>
          <w:highlight w:val="none"/>
          <w:lang w:val="en-US" w:eastAsia="zh-CN" w:bidi="ar"/>
        </w:rPr>
        <w:t>葛利清</w:t>
      </w:r>
      <w:r>
        <w:rPr>
          <w:rFonts w:hint="eastAsia" w:ascii="宋体" w:hAnsi="宋体" w:cs="宋体"/>
          <w:color w:val="000000"/>
          <w:highlight w:val="none"/>
          <w:lang w:bidi="ar"/>
        </w:rPr>
        <w:t>】</w:t>
      </w:r>
    </w:p>
    <w:p w14:paraId="47F67209">
      <w:pPr>
        <w:spacing w:line="360" w:lineRule="auto"/>
        <w:ind w:right="489"/>
        <w:jc w:val="left"/>
        <w:rPr>
          <w:rFonts w:asciiTheme="minorEastAsia" w:hAnsiTheme="minorEastAsia" w:eastAsiaTheme="minorEastAsia"/>
          <w:highlight w:val="none"/>
        </w:rPr>
      </w:pPr>
      <w:r>
        <w:rPr>
          <w:rFonts w:hint="eastAsia" w:asciiTheme="minorEastAsia" w:hAnsiTheme="minorEastAsia" w:eastAsiaTheme="minorEastAsia"/>
          <w:highlight w:val="none"/>
        </w:rPr>
        <w:t>9.2异议接收方式</w:t>
      </w:r>
    </w:p>
    <w:p w14:paraId="5D285EE1">
      <w:pPr>
        <w:pStyle w:val="8"/>
        <w:wordWrap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后，通过“招投标-采购异议-提出异议”模块提出。</w:t>
      </w:r>
    </w:p>
    <w:p w14:paraId="256977EC">
      <w:pPr>
        <w:adjustRightInd w:val="0"/>
        <w:snapToGrid w:val="0"/>
        <w:spacing w:line="360" w:lineRule="auto"/>
        <w:rPr>
          <w:rFonts w:ascii="宋体" w:hAnsi="宋体"/>
          <w:b/>
          <w:szCs w:val="21"/>
          <w:highlight w:val="none"/>
        </w:rPr>
      </w:pPr>
      <w:r>
        <w:rPr>
          <w:rFonts w:hint="eastAsia" w:ascii="宋体" w:hAnsi="宋体"/>
          <w:b/>
          <w:szCs w:val="21"/>
          <w:highlight w:val="none"/>
        </w:rPr>
        <w:t>10.纸质保函、保险递交地点（如有）</w:t>
      </w:r>
    </w:p>
    <w:p w14:paraId="16EE1703">
      <w:pPr>
        <w:pStyle w:val="8"/>
        <w:wordWrap w:val="0"/>
        <w:spacing w:line="360" w:lineRule="auto"/>
        <w:rPr>
          <w:rFonts w:cs="宋体" w:asciiTheme="minorEastAsia" w:hAnsiTheme="minorEastAsia" w:eastAsiaTheme="minorEastAsia"/>
          <w:szCs w:val="21"/>
          <w:highlight w:val="none"/>
        </w:rPr>
      </w:pPr>
      <w:r>
        <w:rPr>
          <w:rFonts w:hint="eastAsia" w:ascii="宋体" w:hAnsi="宋体" w:cs="宋体"/>
          <w:szCs w:val="21"/>
          <w:highlight w:val="none"/>
        </w:rPr>
        <w:t>纸质保函、保险等原件应作为投标文件在投标截止时间前</w:t>
      </w:r>
      <w:r>
        <w:rPr>
          <w:rFonts w:hint="eastAsia" w:ascii="宋体" w:hAnsi="宋体" w:cs="宋体"/>
          <w:b/>
          <w:bCs/>
          <w:szCs w:val="21"/>
          <w:highlight w:val="none"/>
        </w:rPr>
        <w:t>（</w:t>
      </w:r>
      <w:r>
        <w:rPr>
          <w:rFonts w:hint="eastAsia" w:ascii="宋体" w:hAnsi="宋体" w:cs="宋体"/>
          <w:b/>
          <w:bCs/>
          <w:color w:val="000000" w:themeColor="text1"/>
          <w:szCs w:val="21"/>
          <w:highlight w:val="none"/>
          <w14:textFill>
            <w14:solidFill>
              <w14:schemeClr w14:val="tx1"/>
            </w14:solidFill>
          </w14:textFill>
        </w:rPr>
        <w:t>单独密封）</w:t>
      </w:r>
      <w:r>
        <w:rPr>
          <w:rFonts w:hint="eastAsia" w:ascii="宋体" w:hAnsi="宋体" w:cs="宋体"/>
          <w:szCs w:val="21"/>
          <w:highlight w:val="none"/>
        </w:rPr>
        <w:t>提交到指定地点：</w:t>
      </w:r>
      <w:r>
        <w:rPr>
          <w:rFonts w:hint="eastAsia" w:cs="宋体" w:asciiTheme="minorEastAsia" w:hAnsiTheme="minorEastAsia" w:eastAsiaTheme="minorEastAsia"/>
          <w:szCs w:val="21"/>
          <w:highlight w:val="none"/>
        </w:rPr>
        <w:t>【</w:t>
      </w:r>
      <w:r>
        <w:rPr>
          <w:rFonts w:hint="eastAsia" w:ascii="宋体" w:hAnsi="宋体" w:cs="宋体"/>
          <w:b/>
          <w:bCs/>
          <w:szCs w:val="21"/>
          <w:highlight w:val="none"/>
          <w:lang w:bidi="ar"/>
        </w:rPr>
        <w:t>福建省泉州市丰泽区宝洲街399号富翔上城2号楼2楼207室</w:t>
      </w:r>
      <w:r>
        <w:rPr>
          <w:rFonts w:hint="eastAsia" w:cs="宋体" w:asciiTheme="minorEastAsia" w:hAnsiTheme="minorEastAsia" w:eastAsiaTheme="minorEastAsia"/>
          <w:szCs w:val="21"/>
          <w:highlight w:val="none"/>
        </w:rPr>
        <w:t>】（采用线上开具的情况除外，如：电子保险）。</w:t>
      </w:r>
    </w:p>
    <w:p w14:paraId="77CD2641">
      <w:pPr>
        <w:pStyle w:val="8"/>
        <w:wordWrap w:val="0"/>
        <w:spacing w:line="360" w:lineRule="auto"/>
        <w:ind w:firstLine="424" w:firstLineChars="202"/>
        <w:rPr>
          <w:rFonts w:asciiTheme="minorEastAsia" w:hAnsiTheme="minorEastAsia" w:eastAsiaTheme="minorEastAsia"/>
          <w:highlight w:val="none"/>
        </w:rPr>
      </w:pPr>
    </w:p>
    <w:p w14:paraId="3C0CAECA">
      <w:pPr>
        <w:spacing w:line="360" w:lineRule="auto"/>
        <w:ind w:right="489"/>
        <w:jc w:val="right"/>
        <w:rPr>
          <w:rFonts w:hint="eastAsia" w:ascii="宋体" w:hAnsi="宋体" w:eastAsia="宋体"/>
          <w:szCs w:val="21"/>
          <w:highlight w:val="none"/>
          <w:lang w:eastAsia="zh-CN"/>
        </w:rPr>
      </w:pPr>
      <w:r>
        <w:rPr>
          <w:rFonts w:hint="eastAsia" w:ascii="宋体" w:hAnsi="宋体"/>
          <w:szCs w:val="21"/>
          <w:highlight w:val="none"/>
        </w:rPr>
        <w:t>招标代理机构：</w:t>
      </w:r>
      <w:r>
        <w:rPr>
          <w:rFonts w:hint="eastAsia" w:ascii="宋体" w:hAnsi="宋体"/>
          <w:szCs w:val="21"/>
          <w:highlight w:val="none"/>
          <w:lang w:eastAsia="zh-CN"/>
        </w:rPr>
        <w:t>福建省中通通信有限公司</w:t>
      </w:r>
    </w:p>
    <w:p w14:paraId="6770C9AD">
      <w:pPr>
        <w:pStyle w:val="8"/>
        <w:spacing w:line="360" w:lineRule="auto"/>
        <w:ind w:left="425" w:firstLine="0" w:firstLineChars="0"/>
        <w:jc w:val="center"/>
        <w:rPr>
          <w:rFonts w:hint="eastAsia" w:ascii="宋体" w:hAnsi="宋体"/>
          <w:color w:val="FF0000"/>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2024年</w:t>
      </w:r>
      <w:r>
        <w:rPr>
          <w:rFonts w:hint="eastAsia" w:ascii="宋体" w:hAnsi="宋体"/>
          <w:color w:val="FF0000"/>
          <w:szCs w:val="21"/>
          <w:highlight w:val="none"/>
          <w:lang w:val="en-US" w:eastAsia="zh-CN"/>
        </w:rPr>
        <w:t>11</w:t>
      </w:r>
      <w:r>
        <w:rPr>
          <w:rFonts w:hint="eastAsia" w:ascii="宋体" w:hAnsi="宋体"/>
          <w:color w:val="FF0000"/>
          <w:szCs w:val="21"/>
          <w:highlight w:val="none"/>
        </w:rPr>
        <w:t>月</w:t>
      </w:r>
      <w:r>
        <w:rPr>
          <w:rFonts w:hint="eastAsia" w:ascii="宋体" w:hAnsi="宋体"/>
          <w:color w:val="FF0000"/>
          <w:szCs w:val="21"/>
          <w:highlight w:val="none"/>
          <w:lang w:val="en-US" w:eastAsia="zh-CN"/>
        </w:rPr>
        <w:t>29</w:t>
      </w:r>
      <w:r>
        <w:rPr>
          <w:rFonts w:hint="eastAsia" w:ascii="宋体" w:hAnsi="宋体"/>
          <w:color w:val="FF0000"/>
          <w:szCs w:val="21"/>
          <w:highlight w:val="none"/>
        </w:rPr>
        <w:t>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sdtPr>
    <w:sdtContent>
      <w:p w14:paraId="50DA9F63">
        <w:pPr>
          <w:pStyle w:val="3"/>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6</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A1FD9"/>
    <w:multiLevelType w:val="singleLevel"/>
    <w:tmpl w:val="1EBA1FD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3NDRiYjFkMmJkNDdkNGJjY2Q2NGU4YTA3OGQ0MzAifQ=="/>
  </w:docVars>
  <w:rsids>
    <w:rsidRoot w:val="00A35D76"/>
    <w:rsid w:val="00036301"/>
    <w:rsid w:val="00047CF2"/>
    <w:rsid w:val="000E357B"/>
    <w:rsid w:val="00122150"/>
    <w:rsid w:val="00193610"/>
    <w:rsid w:val="001B7B8B"/>
    <w:rsid w:val="002433B0"/>
    <w:rsid w:val="002C290C"/>
    <w:rsid w:val="00326EF1"/>
    <w:rsid w:val="003641BD"/>
    <w:rsid w:val="00480325"/>
    <w:rsid w:val="004B7151"/>
    <w:rsid w:val="004C0145"/>
    <w:rsid w:val="004C67D1"/>
    <w:rsid w:val="00532C6C"/>
    <w:rsid w:val="005D5A63"/>
    <w:rsid w:val="005D79D1"/>
    <w:rsid w:val="005F325A"/>
    <w:rsid w:val="00664996"/>
    <w:rsid w:val="00704FC2"/>
    <w:rsid w:val="008D28B6"/>
    <w:rsid w:val="008D31D5"/>
    <w:rsid w:val="009342BF"/>
    <w:rsid w:val="0093535B"/>
    <w:rsid w:val="00A15011"/>
    <w:rsid w:val="00A35D76"/>
    <w:rsid w:val="00AF02B1"/>
    <w:rsid w:val="00AF5EC3"/>
    <w:rsid w:val="00B77B64"/>
    <w:rsid w:val="00C0583D"/>
    <w:rsid w:val="00C43CC9"/>
    <w:rsid w:val="00C54746"/>
    <w:rsid w:val="00CD5BAC"/>
    <w:rsid w:val="00CF3E4C"/>
    <w:rsid w:val="00CF7F59"/>
    <w:rsid w:val="00D06B2C"/>
    <w:rsid w:val="00D123EF"/>
    <w:rsid w:val="00DB2CCF"/>
    <w:rsid w:val="00DF3234"/>
    <w:rsid w:val="00E0770A"/>
    <w:rsid w:val="00E30546"/>
    <w:rsid w:val="00E613B0"/>
    <w:rsid w:val="00E7312A"/>
    <w:rsid w:val="00EC048C"/>
    <w:rsid w:val="00EC0EF0"/>
    <w:rsid w:val="00F45205"/>
    <w:rsid w:val="00F5312C"/>
    <w:rsid w:val="0DAD4D7A"/>
    <w:rsid w:val="0F631DC1"/>
    <w:rsid w:val="0FBC30F4"/>
    <w:rsid w:val="1241311F"/>
    <w:rsid w:val="16A80766"/>
    <w:rsid w:val="1A9058A9"/>
    <w:rsid w:val="1CFF0AC4"/>
    <w:rsid w:val="25F31B70"/>
    <w:rsid w:val="28237D5C"/>
    <w:rsid w:val="2B4A6FC2"/>
    <w:rsid w:val="2B710DDE"/>
    <w:rsid w:val="2C4B2EB7"/>
    <w:rsid w:val="30FA1876"/>
    <w:rsid w:val="31A10E50"/>
    <w:rsid w:val="36405F7D"/>
    <w:rsid w:val="36F01751"/>
    <w:rsid w:val="3F9133A5"/>
    <w:rsid w:val="412F71B4"/>
    <w:rsid w:val="43430E5B"/>
    <w:rsid w:val="49B22896"/>
    <w:rsid w:val="4EE31744"/>
    <w:rsid w:val="52793003"/>
    <w:rsid w:val="54035284"/>
    <w:rsid w:val="548E3F00"/>
    <w:rsid w:val="5C9B540C"/>
    <w:rsid w:val="5F1025B2"/>
    <w:rsid w:val="62257C51"/>
    <w:rsid w:val="6DCF13B9"/>
    <w:rsid w:val="76AE4262"/>
    <w:rsid w:val="7B087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link w:val="13"/>
    <w:autoRedefine/>
    <w:unhideWhenUsed/>
    <w:qFormat/>
    <w:uiPriority w:val="99"/>
    <w:pPr>
      <w:ind w:firstLine="420" w:firstLineChars="200"/>
    </w:p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tabs>
        <w:tab w:val="center" w:pos="4153"/>
        <w:tab w:val="right" w:pos="8306"/>
      </w:tabs>
      <w:snapToGrid w:val="0"/>
      <w:jc w:val="center"/>
    </w:pPr>
    <w:rPr>
      <w:sz w:val="18"/>
      <w:szCs w:val="18"/>
    </w:rPr>
  </w:style>
  <w:style w:type="character" w:styleId="7">
    <w:name w:val="Hyperlink"/>
    <w:autoRedefine/>
    <w:qFormat/>
    <w:uiPriority w:val="99"/>
    <w:rPr>
      <w:color w:val="0000FF"/>
      <w:u w:val="single"/>
    </w:rPr>
  </w:style>
  <w:style w:type="paragraph" w:customStyle="1" w:styleId="8">
    <w:name w:val="列出段落1"/>
    <w:basedOn w:val="1"/>
    <w:link w:val="9"/>
    <w:unhideWhenUsed/>
    <w:qFormat/>
    <w:uiPriority w:val="0"/>
    <w:pPr>
      <w:ind w:firstLine="420" w:firstLineChars="200"/>
    </w:pPr>
  </w:style>
  <w:style w:type="character" w:customStyle="1" w:styleId="9">
    <w:name w:val="列出段落 Char"/>
    <w:link w:val="8"/>
    <w:autoRedefine/>
    <w:qFormat/>
    <w:uiPriority w:val="34"/>
    <w:rPr>
      <w:rFonts w:ascii="Times New Roman" w:hAnsi="Times New Roman" w:eastAsia="宋体" w:cs="Times New Roman"/>
      <w:szCs w:val="24"/>
      <w14:ligatures w14:val="none"/>
    </w:rPr>
  </w:style>
  <w:style w:type="character" w:customStyle="1" w:styleId="10">
    <w:name w:val="页眉 字符"/>
    <w:basedOn w:val="6"/>
    <w:link w:val="4"/>
    <w:autoRedefine/>
    <w:qFormat/>
    <w:uiPriority w:val="99"/>
    <w:rPr>
      <w:rFonts w:ascii="Times New Roman" w:hAnsi="Times New Roman" w:eastAsia="宋体" w:cs="Times New Roman"/>
      <w:sz w:val="18"/>
      <w:szCs w:val="18"/>
      <w14:ligatures w14:val="none"/>
    </w:rPr>
  </w:style>
  <w:style w:type="character" w:customStyle="1" w:styleId="11">
    <w:name w:val="页脚 字符"/>
    <w:basedOn w:val="6"/>
    <w:link w:val="3"/>
    <w:autoRedefine/>
    <w:qFormat/>
    <w:uiPriority w:val="99"/>
    <w:rPr>
      <w:rFonts w:ascii="Times New Roman" w:hAnsi="Times New Roman" w:eastAsia="宋体" w:cs="Times New Roman"/>
      <w:sz w:val="18"/>
      <w:szCs w:val="18"/>
      <w14:ligatures w14:val="none"/>
    </w:rPr>
  </w:style>
  <w:style w:type="character" w:customStyle="1" w:styleId="12">
    <w:name w:val="Unresolved Mention"/>
    <w:basedOn w:val="6"/>
    <w:autoRedefine/>
    <w:semiHidden/>
    <w:unhideWhenUsed/>
    <w:qFormat/>
    <w:uiPriority w:val="99"/>
    <w:rPr>
      <w:color w:val="605E5C"/>
      <w:shd w:val="clear" w:color="auto" w:fill="E1DFDD"/>
    </w:rPr>
  </w:style>
  <w:style w:type="character" w:customStyle="1" w:styleId="13">
    <w:name w:val="正文缩进 字符"/>
    <w:link w:val="2"/>
    <w:autoRedefine/>
    <w:qFormat/>
    <w:uiPriority w:val="99"/>
    <w:rPr>
      <w:rFonts w:ascii="Times New Roman" w:hAnsi="Times New Roman" w:eastAsia="宋体" w:cs="Times New Roman"/>
      <w:szCs w:val="24"/>
      <w14:ligatures w14:val="none"/>
    </w:rPr>
  </w:style>
  <w:style w:type="paragraph" w:styleId="14">
    <w:name w:val="List Paragraph"/>
    <w:basedOn w:val="1"/>
    <w:link w:val="15"/>
    <w:autoRedefine/>
    <w:unhideWhenUsed/>
    <w:qFormat/>
    <w:uiPriority w:val="34"/>
    <w:pPr>
      <w:ind w:firstLine="420" w:firstLineChars="200"/>
    </w:pPr>
  </w:style>
  <w:style w:type="character" w:customStyle="1" w:styleId="15">
    <w:name w:val="列表段落 字符"/>
    <w:link w:val="14"/>
    <w:autoRedefine/>
    <w:qFormat/>
    <w:uiPriority w:val="34"/>
    <w:rPr>
      <w:rFonts w:ascii="Times New Roman" w:hAnsi="Times New Roman" w:eastAsia="宋体" w:cs="Times New Roman"/>
      <w:szCs w:val="24"/>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4104</Words>
  <Characters>4773</Characters>
  <Lines>36</Lines>
  <Paragraphs>10</Paragraphs>
  <TotalTime>0</TotalTime>
  <ScaleCrop>false</ScaleCrop>
  <LinksUpToDate>false</LinksUpToDate>
  <CharactersWithSpaces>4839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2023-07-21T06:54:00Z</dcterms:created>
  <dc:creator>金拓 吴</dc:creator>
  <cp:lastModifiedBy>K</cp:lastModifiedBy>
  <dcterms:modified xsi:type="dcterms:W3CDTF">2024-11-29T06:17:35Z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C6E1F114B3934E67BFB50912E94263B4_12</vt:lpwstr>
  </property>
</Properties>
</file>