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cs="宋体"/>
          <w:b/>
        </w:rPr>
      </w:pPr>
    </w:p>
    <w:p>
      <w:pPr>
        <w:spacing w:line="360" w:lineRule="auto"/>
        <w:rPr>
          <w:rFonts w:ascii="宋体" w:hAnsi="宋体" w:cs="宋体"/>
          <w:b/>
        </w:rPr>
      </w:pPr>
    </w:p>
    <w:p>
      <w:pPr>
        <w:spacing w:line="360" w:lineRule="auto"/>
        <w:jc w:val="center"/>
        <w:rPr>
          <w:rFonts w:ascii="宋体" w:hAnsi="宋体"/>
          <w:b/>
          <w:sz w:val="32"/>
          <w:szCs w:val="32"/>
        </w:rPr>
      </w:pPr>
      <w:r>
        <w:rPr>
          <w:rFonts w:hint="eastAsia" w:ascii="宋体" w:hAnsi="宋体"/>
          <w:b/>
          <w:sz w:val="32"/>
          <w:szCs w:val="32"/>
        </w:rPr>
        <w:t>2022年湛江分公司遂溪县应急行业自然灾害综合风险普查服务</w:t>
      </w:r>
    </w:p>
    <w:p>
      <w:pPr>
        <w:spacing w:line="360" w:lineRule="auto"/>
        <w:jc w:val="center"/>
        <w:rPr>
          <w:rFonts w:ascii="宋体" w:hAnsi="宋体"/>
          <w:b/>
          <w:sz w:val="44"/>
          <w:szCs w:val="44"/>
        </w:rPr>
      </w:pPr>
    </w:p>
    <w:p>
      <w:pPr>
        <w:spacing w:line="360" w:lineRule="auto"/>
        <w:jc w:val="center"/>
        <w:rPr>
          <w:rFonts w:ascii="宋体" w:hAnsi="宋体"/>
          <w:b/>
          <w:sz w:val="30"/>
          <w:szCs w:val="30"/>
        </w:rPr>
      </w:pPr>
      <w:r>
        <w:rPr>
          <w:rFonts w:hint="eastAsia" w:ascii="宋体" w:hAnsi="宋体"/>
          <w:b/>
          <w:sz w:val="30"/>
          <w:szCs w:val="30"/>
        </w:rPr>
        <w:t>业务需求书</w:t>
      </w:r>
    </w:p>
    <w:p>
      <w:pPr>
        <w:spacing w:line="360" w:lineRule="auto"/>
        <w:jc w:val="center"/>
        <w:rPr>
          <w:rFonts w:ascii="宋体" w:hAnsi="宋体"/>
          <w:b/>
          <w:sz w:val="44"/>
          <w:szCs w:val="44"/>
        </w:rPr>
      </w:pPr>
    </w:p>
    <w:p>
      <w:pPr>
        <w:spacing w:line="360" w:lineRule="auto"/>
        <w:jc w:val="center"/>
        <w:rPr>
          <w:rFonts w:ascii="宋体" w:hAnsi="宋体"/>
          <w:b/>
          <w:sz w:val="44"/>
          <w:szCs w:val="44"/>
        </w:rPr>
      </w:pPr>
    </w:p>
    <w:p>
      <w:pPr>
        <w:spacing w:line="360" w:lineRule="auto"/>
        <w:jc w:val="center"/>
        <w:rPr>
          <w:rFonts w:ascii="宋体" w:hAnsi="宋体"/>
          <w:b/>
          <w:sz w:val="44"/>
          <w:szCs w:val="44"/>
        </w:rPr>
      </w:pPr>
      <w:r>
        <w:rPr>
          <w:rFonts w:hint="eastAsia" w:ascii="宋体" w:hAnsi="宋体"/>
          <w:b/>
          <w:sz w:val="44"/>
          <w:szCs w:val="44"/>
        </w:rPr>
        <w:drawing>
          <wp:inline distT="0" distB="0" distL="114300" distR="114300">
            <wp:extent cx="2752725" cy="954405"/>
            <wp:effectExtent l="0" t="0" r="3175"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2752725" cy="954405"/>
                    </a:xfrm>
                    <a:prstGeom prst="rect">
                      <a:avLst/>
                    </a:prstGeom>
                    <a:noFill/>
                    <a:ln>
                      <a:noFill/>
                    </a:ln>
                  </pic:spPr>
                </pic:pic>
              </a:graphicData>
            </a:graphic>
          </wp:inline>
        </w:drawing>
      </w:r>
    </w:p>
    <w:p>
      <w:pPr>
        <w:spacing w:line="360" w:lineRule="auto"/>
        <w:jc w:val="center"/>
        <w:rPr>
          <w:rFonts w:ascii="宋体" w:hAnsi="宋体"/>
          <w:b/>
          <w:sz w:val="44"/>
          <w:szCs w:val="44"/>
        </w:rPr>
      </w:pPr>
    </w:p>
    <w:p>
      <w:pPr>
        <w:spacing w:before="312" w:beforeLines="100" w:after="312" w:afterLines="100" w:line="360" w:lineRule="auto"/>
        <w:jc w:val="center"/>
        <w:rPr>
          <w:rFonts w:ascii="宋体" w:hAnsi="宋体"/>
          <w:b/>
          <w:sz w:val="32"/>
          <w:szCs w:val="32"/>
        </w:rPr>
      </w:pPr>
    </w:p>
    <w:p>
      <w:pPr>
        <w:spacing w:line="360" w:lineRule="auto"/>
        <w:rPr>
          <w:rFonts w:ascii="宋体" w:hAnsi="宋体"/>
          <w:b/>
          <w:sz w:val="44"/>
          <w:szCs w:val="44"/>
        </w:rPr>
      </w:pPr>
    </w:p>
    <w:p>
      <w:pPr>
        <w:spacing w:line="360" w:lineRule="auto"/>
        <w:jc w:val="center"/>
        <w:rPr>
          <w:rFonts w:ascii="宋体" w:hAnsi="宋体"/>
          <w:b/>
          <w:sz w:val="44"/>
          <w:szCs w:val="44"/>
        </w:rPr>
      </w:pPr>
    </w:p>
    <w:p>
      <w:pPr>
        <w:spacing w:line="360" w:lineRule="auto"/>
        <w:jc w:val="center"/>
        <w:rPr>
          <w:rFonts w:ascii="宋体" w:hAnsi="宋体"/>
          <w:b/>
          <w:sz w:val="32"/>
          <w:szCs w:val="32"/>
        </w:rPr>
      </w:pPr>
    </w:p>
    <w:p>
      <w:pPr>
        <w:spacing w:line="360" w:lineRule="auto"/>
        <w:jc w:val="center"/>
        <w:rPr>
          <w:rFonts w:ascii="宋体" w:hAnsi="宋体"/>
          <w:b/>
          <w:sz w:val="28"/>
          <w:szCs w:val="28"/>
        </w:rPr>
      </w:pPr>
      <w:r>
        <w:rPr>
          <w:rFonts w:hint="eastAsia" w:ascii="宋体" w:hAnsi="宋体"/>
          <w:b/>
          <w:sz w:val="28"/>
          <w:szCs w:val="28"/>
        </w:rPr>
        <w:t>中国电信股份有限公司湛江分公司</w:t>
      </w:r>
    </w:p>
    <w:p>
      <w:pPr>
        <w:widowControl/>
        <w:jc w:val="center"/>
        <w:rPr>
          <w:rFonts w:ascii="宋体" w:hAnsi="宋体"/>
          <w:b/>
          <w:sz w:val="28"/>
          <w:szCs w:val="28"/>
        </w:rPr>
      </w:pPr>
      <w:r>
        <w:rPr>
          <w:rFonts w:hint="eastAsia" w:ascii="宋体" w:hAnsi="宋体"/>
          <w:b/>
          <w:sz w:val="28"/>
          <w:szCs w:val="28"/>
        </w:rPr>
        <w:t>版权所有</w:t>
      </w:r>
    </w:p>
    <w:p>
      <w:pPr>
        <w:spacing w:line="360" w:lineRule="auto"/>
        <w:rPr>
          <w:rFonts w:ascii="宋体" w:hAnsi="宋体" w:cs="宋体"/>
          <w:b/>
        </w:rPr>
      </w:pPr>
    </w:p>
    <w:p>
      <w:pPr>
        <w:spacing w:line="360" w:lineRule="auto"/>
        <w:rPr>
          <w:rFonts w:ascii="宋体" w:hAnsi="宋体" w:cs="宋体"/>
          <w:b/>
        </w:rPr>
      </w:pPr>
    </w:p>
    <w:p>
      <w:pPr>
        <w:spacing w:line="360" w:lineRule="auto"/>
        <w:rPr>
          <w:rFonts w:ascii="宋体" w:hAnsi="宋体" w:cs="宋体"/>
          <w:b/>
        </w:rPr>
      </w:pPr>
    </w:p>
    <w:p>
      <w:pPr>
        <w:spacing w:line="360" w:lineRule="auto"/>
        <w:rPr>
          <w:rFonts w:ascii="宋体" w:hAnsi="宋体" w:cs="宋体"/>
          <w:b/>
        </w:rPr>
      </w:pPr>
    </w:p>
    <w:p>
      <w:pPr>
        <w:pStyle w:val="13"/>
        <w:tabs>
          <w:tab w:val="right" w:leader="dot" w:pos="8306"/>
        </w:tabs>
        <w:spacing w:line="360" w:lineRule="auto"/>
        <w:jc w:val="center"/>
        <w:rPr>
          <w:b/>
          <w:bCs/>
          <w:sz w:val="28"/>
          <w:szCs w:val="28"/>
        </w:rPr>
      </w:pPr>
      <w:r>
        <w:rPr>
          <w:rFonts w:hint="eastAsia"/>
          <w:b/>
          <w:bCs/>
          <w:sz w:val="28"/>
          <w:szCs w:val="28"/>
        </w:rPr>
        <w:t>目  录</w:t>
      </w:r>
    </w:p>
    <w:p>
      <w:pPr>
        <w:pStyle w:val="13"/>
        <w:tabs>
          <w:tab w:val="right" w:leader="dot" w:pos="8306"/>
        </w:tabs>
      </w:pPr>
      <w:r>
        <w:fldChar w:fldCharType="begin"/>
      </w:r>
      <w:r>
        <w:instrText xml:space="preserve">TOC \o "1-3" \h \u </w:instrText>
      </w:r>
      <w:r>
        <w:fldChar w:fldCharType="separate"/>
      </w:r>
      <w:r>
        <w:fldChar w:fldCharType="begin"/>
      </w:r>
      <w:r>
        <w:instrText xml:space="preserve"> HYPERLINK \l _Toc2884 </w:instrText>
      </w:r>
      <w:r>
        <w:fldChar w:fldCharType="separate"/>
      </w:r>
      <w:r>
        <w:rPr>
          <w:rFonts w:hint="eastAsia" w:ascii="宋体" w:hAnsi="宋体" w:eastAsia="宋体" w:cs="宋体"/>
          <w:szCs w:val="28"/>
        </w:rPr>
        <w:t>1 总则</w:t>
      </w:r>
      <w:r>
        <w:tab/>
      </w:r>
      <w:r>
        <w:fldChar w:fldCharType="begin"/>
      </w:r>
      <w:r>
        <w:instrText xml:space="preserve"> PAGEREF _Toc2884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_Toc12497 </w:instrText>
      </w:r>
      <w:r>
        <w:fldChar w:fldCharType="separate"/>
      </w:r>
      <w:r>
        <w:rPr>
          <w:rFonts w:hint="eastAsia" w:ascii="宋体" w:hAnsi="宋体" w:eastAsia="宋体" w:cs="宋体"/>
          <w:szCs w:val="24"/>
        </w:rPr>
        <w:t>1.1 概述</w:t>
      </w:r>
      <w:r>
        <w:tab/>
      </w:r>
      <w:r>
        <w:fldChar w:fldCharType="begin"/>
      </w:r>
      <w:r>
        <w:instrText xml:space="preserve"> PAGEREF _Toc12497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_Toc5808 </w:instrText>
      </w:r>
      <w:r>
        <w:fldChar w:fldCharType="separate"/>
      </w:r>
      <w:r>
        <w:rPr>
          <w:rFonts w:hint="eastAsia" w:ascii="宋体" w:hAnsi="宋体" w:eastAsia="宋体" w:cs="宋体"/>
          <w:szCs w:val="24"/>
        </w:rPr>
        <w:t>1.1.1 业务需求定义</w:t>
      </w:r>
      <w:r>
        <w:tab/>
      </w:r>
      <w:r>
        <w:fldChar w:fldCharType="begin"/>
      </w:r>
      <w:r>
        <w:instrText xml:space="preserve"> PAGEREF _Toc5808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_Toc1008 </w:instrText>
      </w:r>
      <w:r>
        <w:fldChar w:fldCharType="separate"/>
      </w:r>
      <w:r>
        <w:rPr>
          <w:rFonts w:hint="eastAsia" w:ascii="宋体" w:hAnsi="宋体" w:eastAsia="宋体" w:cs="宋体"/>
          <w:szCs w:val="24"/>
        </w:rPr>
        <w:t>1.1.2 业务需求内容</w:t>
      </w:r>
      <w:r>
        <w:tab/>
      </w:r>
      <w:r>
        <w:fldChar w:fldCharType="begin"/>
      </w:r>
      <w:r>
        <w:instrText xml:space="preserve"> PAGEREF _Toc1008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_Toc14405 </w:instrText>
      </w:r>
      <w:r>
        <w:fldChar w:fldCharType="separate"/>
      </w:r>
      <w:r>
        <w:rPr>
          <w:rFonts w:hint="eastAsia" w:ascii="宋体" w:hAnsi="宋体" w:eastAsia="宋体" w:cs="宋体"/>
          <w:szCs w:val="24"/>
        </w:rPr>
        <w:t>1.1.3 业务需求依据</w:t>
      </w:r>
      <w:r>
        <w:tab/>
      </w:r>
      <w:r>
        <w:fldChar w:fldCharType="begin"/>
      </w:r>
      <w:r>
        <w:instrText xml:space="preserve"> PAGEREF _Toc14405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_Toc23801 </w:instrText>
      </w:r>
      <w:r>
        <w:fldChar w:fldCharType="separate"/>
      </w:r>
      <w:r>
        <w:rPr>
          <w:rFonts w:hint="eastAsia" w:ascii="宋体" w:hAnsi="宋体" w:eastAsia="宋体" w:cs="宋体"/>
          <w:szCs w:val="24"/>
        </w:rPr>
        <w:t>1.1.4 业务要求</w:t>
      </w:r>
      <w:r>
        <w:tab/>
      </w:r>
      <w:r>
        <w:fldChar w:fldCharType="begin"/>
      </w:r>
      <w:r>
        <w:instrText xml:space="preserve"> PAGEREF _Toc23801 \h </w:instrText>
      </w:r>
      <w:r>
        <w:fldChar w:fldCharType="separate"/>
      </w:r>
      <w:r>
        <w:t>1</w:t>
      </w:r>
      <w:r>
        <w:fldChar w:fldCharType="end"/>
      </w:r>
      <w:r>
        <w:fldChar w:fldCharType="end"/>
      </w:r>
    </w:p>
    <w:p>
      <w:pPr>
        <w:pStyle w:val="8"/>
        <w:tabs>
          <w:tab w:val="right" w:leader="dot" w:pos="8306"/>
        </w:tabs>
      </w:pPr>
      <w:r>
        <w:fldChar w:fldCharType="begin"/>
      </w:r>
      <w:r>
        <w:instrText xml:space="preserve"> HYPERLINK \l _Toc18421 </w:instrText>
      </w:r>
      <w:r>
        <w:fldChar w:fldCharType="separate"/>
      </w:r>
      <w:r>
        <w:rPr>
          <w:rFonts w:hint="eastAsia" w:ascii="宋体" w:hAnsi="宋体" w:eastAsia="宋体" w:cs="宋体"/>
          <w:szCs w:val="24"/>
        </w:rPr>
        <w:t>1.1.5 业务需求书有关内容的澄清</w:t>
      </w:r>
      <w:r>
        <w:tab/>
      </w:r>
      <w:r>
        <w:fldChar w:fldCharType="begin"/>
      </w:r>
      <w:r>
        <w:instrText xml:space="preserve"> PAGEREF _Toc18421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_Toc24866 </w:instrText>
      </w:r>
      <w:r>
        <w:fldChar w:fldCharType="separate"/>
      </w:r>
      <w:r>
        <w:rPr>
          <w:rFonts w:hint="eastAsia" w:ascii="宋体" w:hAnsi="宋体" w:eastAsia="宋体" w:cs="宋体"/>
          <w:szCs w:val="24"/>
        </w:rPr>
        <w:t>1.2 保密要求</w:t>
      </w:r>
      <w:r>
        <w:tab/>
      </w:r>
      <w:r>
        <w:fldChar w:fldCharType="begin"/>
      </w:r>
      <w:r>
        <w:instrText xml:space="preserve"> PAGEREF _Toc24866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_Toc5867 </w:instrText>
      </w:r>
      <w:r>
        <w:fldChar w:fldCharType="separate"/>
      </w:r>
      <w:r>
        <w:rPr>
          <w:rFonts w:hint="eastAsia" w:ascii="宋体" w:hAnsi="宋体" w:eastAsia="宋体" w:cs="宋体"/>
          <w:szCs w:val="28"/>
        </w:rPr>
        <w:t>2 项目说明</w:t>
      </w:r>
      <w:r>
        <w:tab/>
      </w:r>
      <w:r>
        <w:fldChar w:fldCharType="begin"/>
      </w:r>
      <w:r>
        <w:instrText xml:space="preserve"> PAGEREF _Toc5867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_Toc657 </w:instrText>
      </w:r>
      <w:r>
        <w:fldChar w:fldCharType="separate"/>
      </w:r>
      <w:r>
        <w:rPr>
          <w:rFonts w:hint="eastAsia" w:ascii="宋体" w:hAnsi="宋体" w:cs="宋体"/>
          <w:szCs w:val="21"/>
        </w:rPr>
        <w:t xml:space="preserve">2.1 </w:t>
      </w:r>
      <w:r>
        <w:rPr>
          <w:rFonts w:hint="eastAsia" w:ascii="宋体" w:hAnsi="宋体" w:eastAsia="宋体" w:cs="宋体"/>
          <w:szCs w:val="24"/>
        </w:rPr>
        <w:t>项目背景</w:t>
      </w:r>
      <w:r>
        <w:tab/>
      </w:r>
      <w:r>
        <w:fldChar w:fldCharType="begin"/>
      </w:r>
      <w:r>
        <w:instrText xml:space="preserve"> PAGEREF _Toc657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_Toc9676 </w:instrText>
      </w:r>
      <w:r>
        <w:fldChar w:fldCharType="separate"/>
      </w:r>
      <w:r>
        <w:rPr>
          <w:rFonts w:hint="eastAsia" w:ascii="宋体" w:hAnsi="宋体" w:eastAsia="宋体" w:cs="宋体"/>
          <w:szCs w:val="24"/>
        </w:rPr>
        <w:t>2.2 项目目标</w:t>
      </w:r>
      <w:r>
        <w:tab/>
      </w:r>
      <w:r>
        <w:fldChar w:fldCharType="begin"/>
      </w:r>
      <w:r>
        <w:instrText xml:space="preserve"> PAGEREF _Toc9676 \h </w:instrText>
      </w:r>
      <w:r>
        <w:fldChar w:fldCharType="separate"/>
      </w:r>
      <w:r>
        <w:t>3</w:t>
      </w:r>
      <w:r>
        <w:fldChar w:fldCharType="end"/>
      </w:r>
      <w:r>
        <w:fldChar w:fldCharType="end"/>
      </w:r>
    </w:p>
    <w:p>
      <w:pPr>
        <w:pStyle w:val="14"/>
        <w:tabs>
          <w:tab w:val="right" w:leader="dot" w:pos="8306"/>
        </w:tabs>
      </w:pPr>
      <w:r>
        <w:fldChar w:fldCharType="begin"/>
      </w:r>
      <w:r>
        <w:instrText xml:space="preserve"> HYPERLINK \l _Toc8713 </w:instrText>
      </w:r>
      <w:r>
        <w:fldChar w:fldCharType="separate"/>
      </w:r>
      <w:r>
        <w:rPr>
          <w:rFonts w:hint="eastAsia" w:ascii="宋体" w:hAnsi="宋体" w:eastAsia="宋体" w:cs="宋体"/>
          <w:szCs w:val="24"/>
        </w:rPr>
        <w:t>2.3 项目内容</w:t>
      </w:r>
      <w:r>
        <w:tab/>
      </w:r>
      <w:r>
        <w:fldChar w:fldCharType="begin"/>
      </w:r>
      <w:r>
        <w:instrText xml:space="preserve"> PAGEREF _Toc8713 \h </w:instrText>
      </w:r>
      <w:r>
        <w:fldChar w:fldCharType="separate"/>
      </w:r>
      <w:r>
        <w:t>3</w:t>
      </w:r>
      <w:r>
        <w:fldChar w:fldCharType="end"/>
      </w:r>
      <w:r>
        <w:fldChar w:fldCharType="end"/>
      </w:r>
    </w:p>
    <w:p>
      <w:pPr>
        <w:pStyle w:val="13"/>
        <w:tabs>
          <w:tab w:val="right" w:leader="dot" w:pos="8306"/>
        </w:tabs>
      </w:pPr>
      <w:r>
        <w:fldChar w:fldCharType="begin"/>
      </w:r>
      <w:r>
        <w:instrText xml:space="preserve"> HYPERLINK \l _Toc29240 </w:instrText>
      </w:r>
      <w:r>
        <w:fldChar w:fldCharType="separate"/>
      </w:r>
      <w:r>
        <w:rPr>
          <w:rFonts w:hint="eastAsia" w:ascii="宋体" w:hAnsi="宋体" w:eastAsia="宋体" w:cs="宋体"/>
          <w:szCs w:val="28"/>
        </w:rPr>
        <w:t>3 项目需求</w:t>
      </w:r>
      <w:r>
        <w:rPr>
          <w:rFonts w:hint="eastAsia" w:ascii="宋体" w:hAnsi="宋体" w:eastAsia="宋体" w:cs="宋体"/>
          <w:szCs w:val="28"/>
          <w:lang w:eastAsia="zh-CN"/>
        </w:rPr>
        <w:t>（</w:t>
      </w:r>
      <w:r>
        <w:rPr>
          <w:rFonts w:hint="eastAsia" w:ascii="宋体" w:hAnsi="宋体" w:eastAsia="宋体" w:cs="宋体"/>
          <w:szCs w:val="28"/>
          <w:lang w:val="en-US" w:eastAsia="zh-CN"/>
        </w:rPr>
        <w:t>标段一</w:t>
      </w:r>
      <w:r>
        <w:rPr>
          <w:rFonts w:hint="eastAsia" w:ascii="宋体" w:hAnsi="宋体" w:eastAsia="宋体" w:cs="宋体"/>
          <w:szCs w:val="28"/>
          <w:lang w:eastAsia="zh-CN"/>
        </w:rPr>
        <w:t>）</w:t>
      </w:r>
      <w:r>
        <w:tab/>
      </w:r>
      <w:r>
        <w:fldChar w:fldCharType="begin"/>
      </w:r>
      <w:r>
        <w:instrText xml:space="preserve"> PAGEREF _Toc29240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_Toc3817 </w:instrText>
      </w:r>
      <w:r>
        <w:fldChar w:fldCharType="separate"/>
      </w:r>
      <w:r>
        <w:rPr>
          <w:rFonts w:hint="eastAsia" w:ascii="宋体" w:hAnsi="宋体" w:eastAsia="宋体" w:cs="宋体"/>
          <w:szCs w:val="28"/>
        </w:rPr>
        <w:t>4 项目管控要求</w:t>
      </w:r>
      <w:r>
        <w:tab/>
      </w:r>
      <w:r>
        <w:fldChar w:fldCharType="begin"/>
      </w:r>
      <w:r>
        <w:instrText xml:space="preserve"> PAGEREF _Toc3817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_Toc15693 </w:instrText>
      </w:r>
      <w:r>
        <w:fldChar w:fldCharType="separate"/>
      </w:r>
      <w:r>
        <w:rPr>
          <w:rFonts w:hint="eastAsia" w:ascii="宋体" w:hAnsi="宋体" w:eastAsia="宋体" w:cs="宋体"/>
          <w:szCs w:val="28"/>
        </w:rPr>
        <w:t>5 服务时间</w:t>
      </w:r>
      <w:r>
        <w:tab/>
      </w:r>
      <w:r>
        <w:fldChar w:fldCharType="begin"/>
      </w:r>
      <w:r>
        <w:instrText xml:space="preserve"> PAGEREF _Toc15693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_Toc24615 </w:instrText>
      </w:r>
      <w:r>
        <w:fldChar w:fldCharType="separate"/>
      </w:r>
      <w:r>
        <w:rPr>
          <w:rFonts w:hint="eastAsia" w:ascii="宋体" w:hAnsi="宋体" w:eastAsia="宋体" w:cs="宋体"/>
          <w:szCs w:val="28"/>
        </w:rPr>
        <w:t>6 付款方式</w:t>
      </w:r>
      <w:r>
        <w:tab/>
      </w:r>
      <w:r>
        <w:fldChar w:fldCharType="begin"/>
      </w:r>
      <w:r>
        <w:instrText xml:space="preserve"> PAGEREF _Toc24615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_Toc31539 </w:instrText>
      </w:r>
      <w:r>
        <w:fldChar w:fldCharType="separate"/>
      </w:r>
      <w:r>
        <w:rPr>
          <w:rFonts w:hint="eastAsia" w:ascii="宋体" w:hAnsi="宋体" w:eastAsia="宋体" w:cs="宋体"/>
          <w:szCs w:val="28"/>
        </w:rPr>
        <w:t>7 结算标准</w:t>
      </w:r>
      <w:r>
        <w:tab/>
      </w:r>
      <w:r>
        <w:fldChar w:fldCharType="begin"/>
      </w:r>
      <w:r>
        <w:instrText xml:space="preserve"> PAGEREF _Toc31539 \h </w:instrText>
      </w:r>
      <w:r>
        <w:fldChar w:fldCharType="separate"/>
      </w:r>
      <w:r>
        <w:t>1</w:t>
      </w:r>
      <w:r>
        <w:fldChar w:fldCharType="end"/>
      </w:r>
      <w:r>
        <w:fldChar w:fldCharType="end"/>
      </w:r>
    </w:p>
    <w:p>
      <w:pPr>
        <w:pStyle w:val="13"/>
        <w:tabs>
          <w:tab w:val="right" w:leader="dot" w:pos="8306"/>
        </w:tabs>
      </w:pPr>
      <w:r>
        <w:fldChar w:fldCharType="begin"/>
      </w:r>
      <w:r>
        <w:instrText xml:space="preserve"> HYPERLINK \l _Toc13877 </w:instrText>
      </w:r>
      <w:r>
        <w:fldChar w:fldCharType="separate"/>
      </w:r>
      <w:r>
        <w:rPr>
          <w:rFonts w:hint="eastAsia" w:ascii="宋体" w:hAnsi="宋体" w:eastAsia="宋体" w:cs="宋体"/>
          <w:szCs w:val="28"/>
        </w:rPr>
        <w:t>8 设备安装、调试及验收</w:t>
      </w:r>
      <w:r>
        <w:tab/>
      </w:r>
      <w:r>
        <w:fldChar w:fldCharType="begin"/>
      </w:r>
      <w:r>
        <w:instrText xml:space="preserve"> PAGEREF _Toc13877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_Toc23537 </w:instrText>
      </w:r>
      <w:r>
        <w:fldChar w:fldCharType="separate"/>
      </w:r>
      <w:r>
        <w:rPr>
          <w:rFonts w:hint="eastAsia" w:ascii="宋体" w:hAnsi="宋体" w:eastAsia="宋体" w:cs="宋体"/>
          <w:szCs w:val="24"/>
        </w:rPr>
        <w:t>8.1 交货</w:t>
      </w:r>
      <w:r>
        <w:tab/>
      </w:r>
      <w:r>
        <w:fldChar w:fldCharType="begin"/>
      </w:r>
      <w:r>
        <w:instrText xml:space="preserve"> PAGEREF _Toc23537 \h </w:instrText>
      </w:r>
      <w:r>
        <w:fldChar w:fldCharType="separate"/>
      </w:r>
      <w:r>
        <w:t>1</w:t>
      </w:r>
      <w:r>
        <w:fldChar w:fldCharType="end"/>
      </w:r>
      <w:r>
        <w:fldChar w:fldCharType="end"/>
      </w:r>
    </w:p>
    <w:p>
      <w:pPr>
        <w:pStyle w:val="14"/>
        <w:tabs>
          <w:tab w:val="right" w:leader="dot" w:pos="8306"/>
        </w:tabs>
      </w:pPr>
      <w:r>
        <w:fldChar w:fldCharType="begin"/>
      </w:r>
      <w:r>
        <w:instrText xml:space="preserve"> HYPERLINK \l _Toc13546 </w:instrText>
      </w:r>
      <w:r>
        <w:fldChar w:fldCharType="separate"/>
      </w:r>
      <w:r>
        <w:rPr>
          <w:rFonts w:hint="eastAsia" w:ascii="宋体" w:hAnsi="宋体" w:eastAsia="宋体" w:cs="宋体"/>
          <w:szCs w:val="24"/>
        </w:rPr>
        <w:t>8.2 验收</w:t>
      </w:r>
      <w:r>
        <w:tab/>
      </w:r>
      <w:r>
        <w:fldChar w:fldCharType="begin"/>
      </w:r>
      <w:r>
        <w:instrText xml:space="preserve"> PAGEREF _Toc13546 \h </w:instrText>
      </w:r>
      <w:r>
        <w:fldChar w:fldCharType="separate"/>
      </w:r>
      <w:r>
        <w:t>2</w:t>
      </w:r>
      <w:r>
        <w:fldChar w:fldCharType="end"/>
      </w:r>
      <w:r>
        <w:fldChar w:fldCharType="end"/>
      </w:r>
    </w:p>
    <w:p>
      <w:pPr>
        <w:pStyle w:val="13"/>
        <w:tabs>
          <w:tab w:val="right" w:leader="dot" w:pos="8306"/>
        </w:tabs>
      </w:pPr>
      <w:r>
        <w:fldChar w:fldCharType="begin"/>
      </w:r>
      <w:r>
        <w:instrText xml:space="preserve"> HYPERLINK \l _Toc8229 </w:instrText>
      </w:r>
      <w:r>
        <w:fldChar w:fldCharType="separate"/>
      </w:r>
      <w:r>
        <w:rPr>
          <w:rFonts w:hint="eastAsia" w:ascii="宋体" w:hAnsi="宋体" w:eastAsia="宋体" w:cs="宋体"/>
          <w:szCs w:val="28"/>
        </w:rPr>
        <w:t>9 售后服务</w:t>
      </w:r>
      <w:r>
        <w:tab/>
      </w:r>
      <w:r>
        <w:fldChar w:fldCharType="begin"/>
      </w:r>
      <w:r>
        <w:instrText xml:space="preserve"> PAGEREF _Toc8229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_Toc15853 </w:instrText>
      </w:r>
      <w:r>
        <w:fldChar w:fldCharType="separate"/>
      </w:r>
      <w:r>
        <w:rPr>
          <w:rFonts w:hint="eastAsia" w:ascii="宋体" w:hAnsi="宋体" w:eastAsia="宋体"/>
          <w:bCs w:val="0"/>
          <w:szCs w:val="21"/>
        </w:rPr>
        <w:t>9.1 合同签订后，1个月内完成相关方案的编制工作和人员培训工作；数据调查、技术指导和质检核查工作按照国家统一安排部署，全县普查总体时间按照国家最新时间要求执行。</w:t>
      </w:r>
      <w:r>
        <w:tab/>
      </w:r>
      <w:r>
        <w:fldChar w:fldCharType="begin"/>
      </w:r>
      <w:r>
        <w:instrText xml:space="preserve"> PAGEREF _Toc15853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_Toc16476 </w:instrText>
      </w:r>
      <w:r>
        <w:fldChar w:fldCharType="separate"/>
      </w:r>
      <w:r>
        <w:rPr>
          <w:rFonts w:hint="eastAsia" w:ascii="宋体" w:hAnsi="宋体" w:eastAsia="宋体"/>
          <w:bCs w:val="0"/>
          <w:szCs w:val="21"/>
        </w:rPr>
        <w:t>9.2 项目实施中涉及到的相关保密数据、资料、文档等按照相应相关保密规定执行，</w:t>
      </w:r>
      <w:r>
        <w:rPr>
          <w:rFonts w:hint="eastAsia" w:ascii="宋体" w:hAnsi="宋体" w:eastAsia="宋体"/>
          <w:bCs w:val="0"/>
          <w:szCs w:val="21"/>
          <w:lang w:eastAsia="zh-CN"/>
        </w:rPr>
        <w:t>中选</w:t>
      </w:r>
      <w:r>
        <w:rPr>
          <w:rFonts w:hint="eastAsia" w:ascii="宋体" w:hAnsi="宋体" w:eastAsia="宋体"/>
          <w:bCs w:val="0"/>
          <w:szCs w:val="21"/>
        </w:rPr>
        <w:t>人有对资料保密的义务。不得以商业目的使用该资料或者开发和生产其他产品；</w:t>
      </w:r>
      <w:r>
        <w:rPr>
          <w:rFonts w:hint="eastAsia" w:ascii="宋体" w:hAnsi="宋体" w:eastAsia="宋体"/>
          <w:bCs w:val="0"/>
          <w:szCs w:val="21"/>
          <w:lang w:eastAsia="zh-CN"/>
        </w:rPr>
        <w:t>中选</w:t>
      </w:r>
      <w:r>
        <w:rPr>
          <w:rFonts w:hint="eastAsia" w:ascii="宋体" w:hAnsi="宋体" w:eastAsia="宋体"/>
          <w:bCs w:val="0"/>
          <w:szCs w:val="21"/>
        </w:rPr>
        <w:t>人可根据需 要对资料内容进行必要的修改和对数据格式进行转换，但未经许可，不得将修改、转换后的数据对外发布和提供。</w:t>
      </w:r>
      <w:r>
        <w:tab/>
      </w:r>
      <w:r>
        <w:fldChar w:fldCharType="begin"/>
      </w:r>
      <w:r>
        <w:instrText xml:space="preserve"> PAGEREF _Toc16476 \h </w:instrText>
      </w:r>
      <w:r>
        <w:fldChar w:fldCharType="separate"/>
      </w:r>
      <w:r>
        <w:t>2</w:t>
      </w:r>
      <w:r>
        <w:fldChar w:fldCharType="end"/>
      </w:r>
      <w:r>
        <w:fldChar w:fldCharType="end"/>
      </w:r>
    </w:p>
    <w:p>
      <w:pPr>
        <w:pStyle w:val="14"/>
        <w:tabs>
          <w:tab w:val="right" w:leader="dot" w:pos="8306"/>
        </w:tabs>
      </w:pPr>
      <w:r>
        <w:fldChar w:fldCharType="begin"/>
      </w:r>
      <w:r>
        <w:instrText xml:space="preserve"> HYPERLINK \l _Toc30510 </w:instrText>
      </w:r>
      <w:r>
        <w:fldChar w:fldCharType="separate"/>
      </w:r>
      <w:r>
        <w:rPr>
          <w:rFonts w:hint="eastAsia" w:ascii="宋体" w:hAnsi="宋体" w:eastAsia="宋体"/>
          <w:bCs w:val="0"/>
          <w:szCs w:val="21"/>
        </w:rPr>
        <w:t>9.3 提供12个月售后服务。</w:t>
      </w:r>
      <w:r>
        <w:tab/>
      </w:r>
      <w:r>
        <w:fldChar w:fldCharType="begin"/>
      </w:r>
      <w:r>
        <w:instrText xml:space="preserve"> PAGEREF _Toc30510 \h </w:instrText>
      </w:r>
      <w:r>
        <w:fldChar w:fldCharType="separate"/>
      </w:r>
      <w:r>
        <w:t>2</w:t>
      </w:r>
      <w:r>
        <w:fldChar w:fldCharType="end"/>
      </w:r>
      <w:r>
        <w:fldChar w:fldCharType="end"/>
      </w:r>
    </w:p>
    <w:p>
      <w:r>
        <w:fldChar w:fldCharType="end"/>
      </w:r>
    </w:p>
    <w:p>
      <w:pPr>
        <w:pStyle w:val="2"/>
        <w:rPr>
          <w:rFonts w:ascii="宋体" w:hAnsi="宋体" w:eastAsia="宋体" w:cs="宋体"/>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bookmarkStart w:id="0" w:name="_Toc479588070"/>
      <w:bookmarkStart w:id="1" w:name="_Toc75803769"/>
    </w:p>
    <w:p>
      <w:pPr>
        <w:pStyle w:val="2"/>
        <w:rPr>
          <w:rFonts w:ascii="宋体" w:hAnsi="宋体" w:eastAsia="宋体" w:cs="宋体"/>
          <w:sz w:val="28"/>
          <w:szCs w:val="28"/>
        </w:rPr>
      </w:pPr>
      <w:bookmarkStart w:id="2" w:name="_Toc2884"/>
      <w:r>
        <w:rPr>
          <w:rFonts w:hint="eastAsia" w:ascii="宋体" w:hAnsi="宋体" w:eastAsia="宋体" w:cs="宋体"/>
          <w:sz w:val="28"/>
          <w:szCs w:val="28"/>
        </w:rPr>
        <w:t>总则</w:t>
      </w:r>
      <w:bookmarkEnd w:id="0"/>
      <w:bookmarkEnd w:id="1"/>
      <w:bookmarkEnd w:id="2"/>
    </w:p>
    <w:p>
      <w:pPr>
        <w:pStyle w:val="3"/>
        <w:rPr>
          <w:rFonts w:ascii="宋体" w:hAnsi="宋体" w:eastAsia="宋体" w:cs="宋体"/>
          <w:sz w:val="24"/>
          <w:szCs w:val="24"/>
        </w:rPr>
      </w:pPr>
      <w:bookmarkStart w:id="3" w:name="_Toc75803770"/>
      <w:bookmarkStart w:id="4" w:name="_Toc12497"/>
      <w:bookmarkStart w:id="5" w:name="_Toc479588071"/>
      <w:r>
        <w:rPr>
          <w:rFonts w:hint="eastAsia" w:ascii="宋体" w:hAnsi="宋体" w:eastAsia="宋体" w:cs="宋体"/>
          <w:sz w:val="24"/>
          <w:szCs w:val="24"/>
        </w:rPr>
        <w:t>概述</w:t>
      </w:r>
      <w:bookmarkEnd w:id="3"/>
      <w:bookmarkEnd w:id="4"/>
      <w:bookmarkEnd w:id="5"/>
    </w:p>
    <w:p>
      <w:pPr>
        <w:pStyle w:val="4"/>
        <w:rPr>
          <w:rFonts w:ascii="宋体" w:hAnsi="宋体" w:eastAsia="宋体" w:cs="宋体"/>
          <w:sz w:val="24"/>
          <w:szCs w:val="24"/>
        </w:rPr>
      </w:pPr>
      <w:bookmarkStart w:id="6" w:name="_Toc31570440"/>
      <w:bookmarkStart w:id="7" w:name="_Toc5808"/>
      <w:bookmarkStart w:id="8" w:name="_Toc479588072"/>
      <w:bookmarkStart w:id="9" w:name="_Toc75803771"/>
      <w:r>
        <w:rPr>
          <w:rFonts w:hint="eastAsia" w:ascii="宋体" w:hAnsi="宋体" w:eastAsia="宋体" w:cs="宋体"/>
          <w:sz w:val="24"/>
          <w:szCs w:val="24"/>
        </w:rPr>
        <w:t>业务需求定义</w:t>
      </w:r>
      <w:bookmarkEnd w:id="6"/>
      <w:bookmarkEnd w:id="7"/>
      <w:bookmarkEnd w:id="8"/>
      <w:bookmarkEnd w:id="9"/>
    </w:p>
    <w:p>
      <w:pPr>
        <w:pStyle w:val="20"/>
        <w:ind w:firstLine="420"/>
        <w:rPr>
          <w:rFonts w:ascii="宋体" w:hAnsi="宋体" w:cs="宋体"/>
          <w:sz w:val="21"/>
          <w:szCs w:val="21"/>
        </w:rPr>
      </w:pPr>
      <w:r>
        <w:rPr>
          <w:rFonts w:hint="eastAsia" w:ascii="宋体" w:hAnsi="宋体" w:cs="宋体"/>
          <w:sz w:val="21"/>
          <w:szCs w:val="21"/>
        </w:rPr>
        <w:t>本文件为</w:t>
      </w:r>
      <w:bookmarkStart w:id="174" w:name="_GoBack"/>
      <w:bookmarkEnd w:id="174"/>
      <w:r>
        <w:rPr>
          <w:rFonts w:hint="eastAsia" w:ascii="宋体" w:hAnsi="宋体" w:cs="宋体"/>
          <w:color w:val="FF0000"/>
          <w:sz w:val="21"/>
          <w:szCs w:val="21"/>
          <w:lang w:eastAsia="zh-CN"/>
        </w:rPr>
        <w:t>2022年湛江分公司第一批普查服务项目比选</w:t>
      </w:r>
      <w:r>
        <w:rPr>
          <w:rFonts w:hint="eastAsia" w:ascii="宋体" w:hAnsi="宋体" w:cs="宋体"/>
          <w:sz w:val="21"/>
          <w:szCs w:val="21"/>
        </w:rPr>
        <w:t>能力提升项目的业务需求书。本项目的</w:t>
      </w:r>
      <w:r>
        <w:rPr>
          <w:rFonts w:hint="eastAsia" w:ascii="宋体" w:hAnsi="宋体" w:cs="宋体"/>
          <w:sz w:val="21"/>
          <w:szCs w:val="21"/>
          <w:lang w:eastAsia="zh-CN"/>
        </w:rPr>
        <w:t>参选</w:t>
      </w:r>
      <w:r>
        <w:rPr>
          <w:rFonts w:hint="eastAsia" w:ascii="宋体" w:hAnsi="宋体" w:cs="宋体"/>
          <w:sz w:val="21"/>
          <w:szCs w:val="21"/>
        </w:rPr>
        <w:t>公司（以下称“</w:t>
      </w:r>
      <w:r>
        <w:rPr>
          <w:rFonts w:hint="eastAsia" w:ascii="宋体" w:hAnsi="宋体" w:cs="宋体"/>
          <w:sz w:val="21"/>
          <w:szCs w:val="21"/>
          <w:lang w:eastAsia="zh-CN"/>
        </w:rPr>
        <w:t>参选</w:t>
      </w:r>
      <w:r>
        <w:rPr>
          <w:rFonts w:hint="eastAsia" w:ascii="宋体" w:hAnsi="宋体" w:cs="宋体"/>
          <w:sz w:val="21"/>
          <w:szCs w:val="21"/>
        </w:rPr>
        <w:t>方”）应向</w:t>
      </w:r>
      <w:r>
        <w:rPr>
          <w:rFonts w:hint="eastAsia" w:ascii="宋体" w:hAnsi="宋体" w:cs="宋体"/>
          <w:color w:val="FF0000"/>
          <w:sz w:val="21"/>
          <w:szCs w:val="21"/>
        </w:rPr>
        <w:t>中国电信股份有限公司</w:t>
      </w:r>
      <w:r>
        <w:rPr>
          <w:rFonts w:hint="eastAsia" w:ascii="宋体" w:hAnsi="宋体" w:cs="宋体"/>
          <w:sz w:val="21"/>
          <w:szCs w:val="21"/>
        </w:rPr>
        <w:t>湛江分公司（以下称“湛江分公司”）就所需的项目内容作出详细答复。</w:t>
      </w:r>
    </w:p>
    <w:p>
      <w:pPr>
        <w:pStyle w:val="4"/>
        <w:rPr>
          <w:rFonts w:ascii="宋体" w:hAnsi="宋体" w:eastAsia="宋体" w:cs="宋体"/>
          <w:sz w:val="24"/>
          <w:szCs w:val="24"/>
        </w:rPr>
      </w:pPr>
      <w:bookmarkStart w:id="10" w:name="_Toc531398169"/>
      <w:bookmarkStart w:id="11" w:name="_Toc531420070"/>
      <w:bookmarkStart w:id="12" w:name="_Toc531095242"/>
      <w:bookmarkStart w:id="13" w:name="_Toc532810061"/>
      <w:bookmarkStart w:id="14" w:name="_Toc531095842"/>
      <w:bookmarkStart w:id="15" w:name="_Toc531744455"/>
      <w:bookmarkStart w:id="16" w:name="_Toc531095614"/>
      <w:bookmarkStart w:id="17" w:name="_Toc531701812"/>
      <w:bookmarkStart w:id="18" w:name="_Toc535039092"/>
      <w:bookmarkStart w:id="19" w:name="_Toc531687449"/>
      <w:bookmarkStart w:id="20" w:name="_Toc536432306"/>
      <w:bookmarkStart w:id="21" w:name="_Toc597538"/>
      <w:bookmarkStart w:id="22" w:name="_Toc75803772"/>
      <w:bookmarkStart w:id="23" w:name="_Toc536445798"/>
      <w:bookmarkStart w:id="24" w:name="_Toc531482939"/>
      <w:bookmarkStart w:id="25" w:name="_Toc531077882"/>
      <w:bookmarkStart w:id="26" w:name="_Toc479588073"/>
      <w:bookmarkStart w:id="27" w:name="_Toc1008"/>
      <w:bookmarkStart w:id="28" w:name="_Toc31570441"/>
      <w:bookmarkStart w:id="29" w:name="_Toc536432215"/>
      <w:bookmarkStart w:id="30" w:name="_Toc531152907"/>
      <w:bookmarkStart w:id="31" w:name="_Toc531601977"/>
      <w:bookmarkStart w:id="32" w:name="_Toc532008702"/>
      <w:r>
        <w:rPr>
          <w:rFonts w:hint="eastAsia" w:ascii="宋体" w:hAnsi="宋体" w:eastAsia="宋体" w:cs="宋体"/>
          <w:sz w:val="24"/>
          <w:szCs w:val="24"/>
        </w:rPr>
        <w:t>业务需求内容</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pPr>
        <w:pStyle w:val="20"/>
        <w:ind w:firstLine="420"/>
        <w:rPr>
          <w:rFonts w:ascii="宋体" w:hAnsi="宋体" w:cs="宋体"/>
          <w:sz w:val="21"/>
          <w:szCs w:val="21"/>
        </w:rPr>
      </w:pPr>
      <w:r>
        <w:rPr>
          <w:rFonts w:hint="eastAsia" w:ascii="宋体" w:hAnsi="宋体" w:cs="宋体"/>
          <w:sz w:val="21"/>
          <w:szCs w:val="21"/>
        </w:rPr>
        <w:t>本业务需求书给出了湛江分公司对</w:t>
      </w:r>
      <w:r>
        <w:rPr>
          <w:rFonts w:hint="eastAsia" w:ascii="宋体" w:hAnsi="宋体" w:cs="宋体"/>
          <w:color w:val="FF0000"/>
          <w:sz w:val="21"/>
          <w:szCs w:val="21"/>
          <w:lang w:eastAsia="zh-CN"/>
        </w:rPr>
        <w:t>2022年湛江分公司第一批普查服务项目比选</w:t>
      </w:r>
      <w:r>
        <w:rPr>
          <w:rFonts w:hint="eastAsia" w:ascii="宋体" w:hAnsi="宋体" w:cs="宋体"/>
          <w:sz w:val="21"/>
          <w:szCs w:val="21"/>
        </w:rPr>
        <w:t>工作各方面应满足的各项要求，这些要求将在以后的各章节中列出，以供</w:t>
      </w:r>
      <w:r>
        <w:rPr>
          <w:rFonts w:hint="eastAsia" w:ascii="宋体" w:hAnsi="宋体" w:cs="宋体"/>
          <w:sz w:val="21"/>
          <w:szCs w:val="21"/>
          <w:lang w:eastAsia="zh-CN"/>
        </w:rPr>
        <w:t>参选</w:t>
      </w:r>
      <w:r>
        <w:rPr>
          <w:rFonts w:hint="eastAsia" w:ascii="宋体" w:hAnsi="宋体" w:cs="宋体"/>
          <w:sz w:val="21"/>
          <w:szCs w:val="21"/>
        </w:rPr>
        <w:t>方编写标书及报价书之用。</w:t>
      </w:r>
    </w:p>
    <w:p>
      <w:pPr>
        <w:pStyle w:val="4"/>
        <w:rPr>
          <w:rFonts w:ascii="宋体" w:hAnsi="宋体" w:eastAsia="宋体" w:cs="宋体"/>
          <w:sz w:val="24"/>
          <w:szCs w:val="24"/>
        </w:rPr>
      </w:pPr>
      <w:bookmarkStart w:id="33" w:name="_Toc531095615"/>
      <w:bookmarkStart w:id="34" w:name="_Toc531482940"/>
      <w:bookmarkStart w:id="35" w:name="_Toc532810062"/>
      <w:bookmarkStart w:id="36" w:name="_Toc531744456"/>
      <w:bookmarkStart w:id="37" w:name="_Toc531601978"/>
      <w:bookmarkStart w:id="38" w:name="_Toc536432307"/>
      <w:bookmarkStart w:id="39" w:name="_Toc531095243"/>
      <w:bookmarkStart w:id="40" w:name="_Toc535039093"/>
      <w:bookmarkStart w:id="41" w:name="_Toc14405"/>
      <w:bookmarkStart w:id="42" w:name="_Toc531398170"/>
      <w:bookmarkStart w:id="43" w:name="_Toc532008703"/>
      <w:bookmarkStart w:id="44" w:name="_Toc531077883"/>
      <w:bookmarkStart w:id="45" w:name="_Toc531420071"/>
      <w:bookmarkStart w:id="46" w:name="_Toc75803773"/>
      <w:bookmarkStart w:id="47" w:name="_Toc531095843"/>
      <w:bookmarkStart w:id="48" w:name="_Toc531701813"/>
      <w:bookmarkStart w:id="49" w:name="_Toc531687450"/>
      <w:bookmarkStart w:id="50" w:name="_Toc536445799"/>
      <w:bookmarkStart w:id="51" w:name="_Toc597539"/>
      <w:bookmarkStart w:id="52" w:name="_Toc531152908"/>
      <w:bookmarkStart w:id="53" w:name="_Toc479588074"/>
      <w:bookmarkStart w:id="54" w:name="_Toc31570442"/>
      <w:bookmarkStart w:id="55" w:name="_Toc536432216"/>
      <w:r>
        <w:rPr>
          <w:rFonts w:hint="eastAsia" w:ascii="宋体" w:hAnsi="宋体" w:eastAsia="宋体" w:cs="宋体"/>
          <w:sz w:val="24"/>
          <w:szCs w:val="24"/>
        </w:rPr>
        <w:t>业务需求依据</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pPr>
        <w:pStyle w:val="20"/>
        <w:ind w:firstLine="420"/>
        <w:rPr>
          <w:rFonts w:ascii="宋体" w:hAnsi="宋体" w:cs="宋体"/>
          <w:sz w:val="21"/>
          <w:szCs w:val="21"/>
        </w:rPr>
      </w:pPr>
      <w:r>
        <w:rPr>
          <w:rFonts w:hint="eastAsia" w:ascii="宋体" w:hAnsi="宋体" w:cs="宋体"/>
          <w:sz w:val="21"/>
          <w:szCs w:val="21"/>
          <w:lang w:eastAsia="zh-CN"/>
        </w:rPr>
        <w:t>参选</w:t>
      </w:r>
      <w:r>
        <w:rPr>
          <w:rFonts w:hint="eastAsia" w:ascii="宋体" w:hAnsi="宋体" w:cs="宋体"/>
          <w:sz w:val="21"/>
          <w:szCs w:val="21"/>
        </w:rPr>
        <w:t>人应该按以下标准进行项目实施和服务：</w:t>
      </w:r>
    </w:p>
    <w:p>
      <w:pPr>
        <w:pStyle w:val="20"/>
        <w:ind w:firstLine="420"/>
        <w:rPr>
          <w:rFonts w:ascii="宋体" w:hAnsi="宋体" w:cs="宋体"/>
          <w:sz w:val="21"/>
          <w:szCs w:val="21"/>
        </w:rPr>
      </w:pPr>
      <w:r>
        <w:rPr>
          <w:rFonts w:hint="eastAsia" w:ascii="宋体" w:hAnsi="宋体" w:cs="宋体"/>
          <w:sz w:val="21"/>
          <w:szCs w:val="21"/>
        </w:rPr>
        <w:t>2018年10月10日，习近平总书记主持召开中央财经委员会第三次会议，研究提高自然灾害防治能力问题，强调加强自然灾害防治关系国计民生，要建立高效科学的自然灾害防治体系，提高全社会自然灾害防治能力，为保护人民群众生命财产安全和国家安全提供有力保障。针对关键领域和薄弱环节，明确提出要实施灾害风险调查和重点隐患排查工程，掌握风险隐患底数，将其作为自然灾害防治九项工程之首。</w:t>
      </w:r>
    </w:p>
    <w:p>
      <w:pPr>
        <w:pStyle w:val="4"/>
        <w:rPr>
          <w:rFonts w:ascii="宋体" w:hAnsi="宋体" w:eastAsia="宋体" w:cs="宋体"/>
          <w:sz w:val="24"/>
          <w:szCs w:val="24"/>
        </w:rPr>
      </w:pPr>
      <w:bookmarkStart w:id="56" w:name="_Toc23801"/>
      <w:r>
        <w:rPr>
          <w:rFonts w:hint="eastAsia" w:ascii="宋体" w:hAnsi="宋体" w:eastAsia="宋体" w:cs="宋体"/>
          <w:sz w:val="24"/>
          <w:szCs w:val="24"/>
        </w:rPr>
        <w:t>业务要求</w:t>
      </w:r>
      <w:bookmarkEnd w:id="56"/>
    </w:p>
    <w:p>
      <w:pPr>
        <w:pStyle w:val="20"/>
        <w:ind w:firstLine="420"/>
        <w:rPr>
          <w:rFonts w:ascii="宋体" w:hAnsi="宋体" w:cs="宋体"/>
          <w:sz w:val="21"/>
          <w:szCs w:val="21"/>
        </w:rPr>
      </w:pPr>
      <w:r>
        <w:rPr>
          <w:rFonts w:hint="eastAsia" w:ascii="宋体" w:hAnsi="宋体" w:cs="宋体"/>
          <w:sz w:val="21"/>
          <w:szCs w:val="21"/>
        </w:rPr>
        <w:t>一、</w:t>
      </w:r>
      <w:r>
        <w:rPr>
          <w:rFonts w:hint="eastAsia" w:ascii="宋体" w:hAnsi="宋体" w:cs="宋体"/>
          <w:sz w:val="21"/>
          <w:szCs w:val="21"/>
          <w:lang w:eastAsia="zh-CN"/>
        </w:rPr>
        <w:t>参选</w:t>
      </w:r>
      <w:r>
        <w:rPr>
          <w:rFonts w:hint="eastAsia" w:ascii="宋体" w:hAnsi="宋体" w:cs="宋体"/>
          <w:sz w:val="21"/>
          <w:szCs w:val="21"/>
        </w:rPr>
        <w:t>方应承诺所提供的</w:t>
      </w:r>
      <w:r>
        <w:rPr>
          <w:rFonts w:hint="eastAsia" w:ascii="宋体" w:hAnsi="宋体" w:cs="宋体"/>
          <w:color w:val="FF0000"/>
          <w:sz w:val="21"/>
          <w:szCs w:val="21"/>
        </w:rPr>
        <w:t>服务</w:t>
      </w:r>
      <w:r>
        <w:rPr>
          <w:rFonts w:hint="eastAsia" w:ascii="宋体" w:hAnsi="宋体" w:cs="宋体"/>
          <w:sz w:val="21"/>
          <w:szCs w:val="21"/>
        </w:rPr>
        <w:t>在功能范围、技术指标等方面满足本规范的要求。</w:t>
      </w:r>
    </w:p>
    <w:p>
      <w:pPr>
        <w:pStyle w:val="20"/>
        <w:ind w:firstLine="420"/>
        <w:rPr>
          <w:rFonts w:ascii="宋体" w:hAnsi="宋体" w:cs="宋体"/>
          <w:sz w:val="21"/>
          <w:szCs w:val="21"/>
        </w:rPr>
      </w:pPr>
      <w:r>
        <w:rPr>
          <w:rFonts w:hint="eastAsia" w:ascii="宋体" w:hAnsi="宋体" w:cs="宋体"/>
          <w:sz w:val="21"/>
          <w:szCs w:val="21"/>
        </w:rPr>
        <w:t>二、当湛江分公司有新建议，而本需求又尚未包括或和本需求不符时，则应符合湛江分公司新建议的要求；对于湛江分公司尚未有标准的，而本需求又未提及的部分，</w:t>
      </w:r>
      <w:r>
        <w:rPr>
          <w:rFonts w:hint="eastAsia" w:ascii="宋体" w:hAnsi="宋体" w:cs="宋体"/>
          <w:sz w:val="21"/>
          <w:szCs w:val="21"/>
          <w:lang w:eastAsia="zh-CN"/>
        </w:rPr>
        <w:t>参选</w:t>
      </w:r>
      <w:r>
        <w:rPr>
          <w:rFonts w:hint="eastAsia" w:ascii="宋体" w:hAnsi="宋体" w:cs="宋体"/>
          <w:sz w:val="21"/>
          <w:szCs w:val="21"/>
        </w:rPr>
        <w:t>方提出其标准，留待双方认可后执行。</w:t>
      </w:r>
    </w:p>
    <w:p>
      <w:pPr>
        <w:pStyle w:val="20"/>
        <w:ind w:firstLine="420"/>
        <w:rPr>
          <w:rFonts w:ascii="宋体" w:hAnsi="宋体" w:cs="宋体"/>
          <w:sz w:val="21"/>
          <w:szCs w:val="21"/>
        </w:rPr>
      </w:pPr>
    </w:p>
    <w:p>
      <w:pPr>
        <w:pStyle w:val="4"/>
        <w:rPr>
          <w:rFonts w:ascii="宋体" w:hAnsi="宋体" w:eastAsia="宋体" w:cs="宋体"/>
          <w:sz w:val="24"/>
          <w:szCs w:val="24"/>
        </w:rPr>
      </w:pPr>
      <w:bookmarkStart w:id="57" w:name="_Toc18421"/>
      <w:bookmarkStart w:id="58" w:name="_Toc31570444"/>
      <w:bookmarkStart w:id="59" w:name="_Toc479588076"/>
      <w:bookmarkStart w:id="60" w:name="_Toc75803775"/>
      <w:r>
        <w:rPr>
          <w:rFonts w:hint="eastAsia" w:ascii="宋体" w:hAnsi="宋体" w:eastAsia="宋体" w:cs="宋体"/>
          <w:sz w:val="24"/>
          <w:szCs w:val="24"/>
        </w:rPr>
        <w:t>业务需求书有关内容的澄清</w:t>
      </w:r>
      <w:bookmarkEnd w:id="57"/>
      <w:bookmarkEnd w:id="58"/>
      <w:bookmarkEnd w:id="59"/>
      <w:bookmarkEnd w:id="60"/>
    </w:p>
    <w:p>
      <w:pPr>
        <w:pStyle w:val="20"/>
        <w:ind w:firstLine="420"/>
        <w:rPr>
          <w:rFonts w:ascii="宋体" w:hAnsi="宋体" w:cs="宋体"/>
          <w:sz w:val="21"/>
          <w:szCs w:val="21"/>
        </w:rPr>
      </w:pPr>
      <w:r>
        <w:rPr>
          <w:rFonts w:hint="eastAsia" w:ascii="宋体" w:hAnsi="宋体" w:cs="宋体"/>
          <w:sz w:val="21"/>
          <w:szCs w:val="21"/>
        </w:rPr>
        <w:t>一、</w:t>
      </w:r>
      <w:r>
        <w:rPr>
          <w:rFonts w:hint="eastAsia" w:ascii="宋体" w:hAnsi="宋体" w:cs="宋体"/>
          <w:sz w:val="21"/>
          <w:szCs w:val="21"/>
          <w:lang w:eastAsia="zh-CN"/>
        </w:rPr>
        <w:t>参选</w:t>
      </w:r>
      <w:r>
        <w:rPr>
          <w:rFonts w:hint="eastAsia" w:ascii="宋体" w:hAnsi="宋体" w:cs="宋体"/>
          <w:sz w:val="21"/>
          <w:szCs w:val="21"/>
        </w:rPr>
        <w:t>方对于业务需求书的疑问可以通过书面材料与湛江分公司联系。在规定的建议书提交最后期限以前，湛江分公司将以书面材料给予答复，有关湛江分公司答复材料的复印件也将递交所有得到业务需求书的</w:t>
      </w:r>
      <w:r>
        <w:rPr>
          <w:rFonts w:hint="eastAsia" w:ascii="宋体" w:hAnsi="宋体" w:cs="宋体"/>
          <w:sz w:val="21"/>
          <w:szCs w:val="21"/>
          <w:lang w:eastAsia="zh-CN"/>
        </w:rPr>
        <w:t>参选</w:t>
      </w:r>
      <w:r>
        <w:rPr>
          <w:rFonts w:hint="eastAsia" w:ascii="宋体" w:hAnsi="宋体" w:cs="宋体"/>
          <w:sz w:val="21"/>
          <w:szCs w:val="21"/>
        </w:rPr>
        <w:t>方。</w:t>
      </w:r>
    </w:p>
    <w:p>
      <w:pPr>
        <w:pStyle w:val="20"/>
        <w:ind w:firstLine="420"/>
        <w:rPr>
          <w:rFonts w:ascii="宋体" w:hAnsi="宋体" w:cs="宋体"/>
          <w:sz w:val="21"/>
          <w:szCs w:val="21"/>
        </w:rPr>
      </w:pPr>
      <w:r>
        <w:rPr>
          <w:rFonts w:hint="eastAsia" w:ascii="宋体" w:hAnsi="宋体" w:cs="宋体"/>
          <w:sz w:val="21"/>
          <w:szCs w:val="21"/>
        </w:rPr>
        <w:t>二、在技术谈判的各个阶段，湛江分公司将以书面形式要求</w:t>
      </w:r>
      <w:r>
        <w:rPr>
          <w:rFonts w:hint="eastAsia" w:ascii="宋体" w:hAnsi="宋体" w:cs="宋体"/>
          <w:sz w:val="21"/>
          <w:szCs w:val="21"/>
          <w:lang w:eastAsia="zh-CN"/>
        </w:rPr>
        <w:t>参选</w:t>
      </w:r>
      <w:r>
        <w:rPr>
          <w:rFonts w:hint="eastAsia" w:ascii="宋体" w:hAnsi="宋体" w:cs="宋体"/>
          <w:sz w:val="21"/>
          <w:szCs w:val="21"/>
        </w:rPr>
        <w:t>方对有关问题进行进一步的技术澄清，</w:t>
      </w:r>
      <w:r>
        <w:rPr>
          <w:rFonts w:hint="eastAsia" w:ascii="宋体" w:hAnsi="宋体" w:cs="宋体"/>
          <w:sz w:val="21"/>
          <w:szCs w:val="21"/>
          <w:lang w:eastAsia="zh-CN"/>
        </w:rPr>
        <w:t>参选</w:t>
      </w:r>
      <w:r>
        <w:rPr>
          <w:rFonts w:hint="eastAsia" w:ascii="宋体" w:hAnsi="宋体" w:cs="宋体"/>
          <w:sz w:val="21"/>
          <w:szCs w:val="21"/>
        </w:rPr>
        <w:t>方应以书面资料给予正式应答；所有各阶段的技术澄清文件都将作为合同附件。</w:t>
      </w:r>
    </w:p>
    <w:p>
      <w:pPr>
        <w:pStyle w:val="20"/>
        <w:ind w:firstLine="420"/>
        <w:rPr>
          <w:rFonts w:ascii="宋体" w:hAnsi="宋体" w:cs="宋体"/>
          <w:sz w:val="21"/>
          <w:szCs w:val="21"/>
        </w:rPr>
      </w:pPr>
      <w:r>
        <w:rPr>
          <w:rFonts w:hint="eastAsia" w:ascii="宋体" w:hAnsi="宋体" w:cs="宋体"/>
          <w:sz w:val="21"/>
          <w:szCs w:val="21"/>
        </w:rPr>
        <w:t>三、未经湛江分公司许可，</w:t>
      </w:r>
      <w:r>
        <w:rPr>
          <w:rFonts w:hint="eastAsia" w:ascii="宋体" w:hAnsi="宋体" w:cs="宋体"/>
          <w:sz w:val="21"/>
          <w:szCs w:val="21"/>
          <w:lang w:eastAsia="zh-CN"/>
        </w:rPr>
        <w:t>参选</w:t>
      </w:r>
      <w:r>
        <w:rPr>
          <w:rFonts w:hint="eastAsia" w:ascii="宋体" w:hAnsi="宋体" w:cs="宋体"/>
          <w:sz w:val="21"/>
          <w:szCs w:val="21"/>
        </w:rPr>
        <w:t>方不得以任何形式向第三方提供本文件的全部或部分内容。</w:t>
      </w:r>
    </w:p>
    <w:p>
      <w:pPr>
        <w:pStyle w:val="20"/>
        <w:ind w:firstLine="420"/>
        <w:rPr>
          <w:rFonts w:ascii="宋体" w:hAnsi="宋体" w:cs="宋体"/>
          <w:sz w:val="21"/>
          <w:szCs w:val="21"/>
        </w:rPr>
      </w:pPr>
      <w:r>
        <w:rPr>
          <w:rFonts w:hint="eastAsia" w:ascii="宋体" w:hAnsi="宋体" w:cs="宋体"/>
          <w:sz w:val="21"/>
          <w:szCs w:val="21"/>
        </w:rPr>
        <w:t>四、湛江分公司在任何时候保留和拥有对本文件的解释权和修改权。湛江分公司有权在签定合同前，根据需要修改和补充本业务需求书，修改补充后的最终业务需求书将作为合同的附件。</w:t>
      </w:r>
    </w:p>
    <w:p>
      <w:pPr>
        <w:pStyle w:val="3"/>
        <w:rPr>
          <w:rFonts w:ascii="宋体" w:hAnsi="宋体" w:eastAsia="宋体" w:cs="宋体"/>
          <w:sz w:val="24"/>
          <w:szCs w:val="24"/>
        </w:rPr>
      </w:pPr>
      <w:bookmarkStart w:id="61" w:name="_Toc513805947"/>
      <w:bookmarkStart w:id="62" w:name="_Toc479588079"/>
      <w:bookmarkStart w:id="63" w:name="_Toc24866"/>
      <w:bookmarkStart w:id="64" w:name="_Toc31570455"/>
      <w:bookmarkStart w:id="65" w:name="_Toc75803776"/>
      <w:r>
        <w:rPr>
          <w:rFonts w:hint="eastAsia" w:ascii="宋体" w:hAnsi="宋体" w:eastAsia="宋体" w:cs="宋体"/>
          <w:sz w:val="24"/>
          <w:szCs w:val="24"/>
        </w:rPr>
        <w:t>保密</w:t>
      </w:r>
      <w:bookmarkEnd w:id="61"/>
      <w:r>
        <w:rPr>
          <w:rFonts w:hint="eastAsia" w:ascii="宋体" w:hAnsi="宋体" w:eastAsia="宋体" w:cs="宋体"/>
          <w:sz w:val="24"/>
          <w:szCs w:val="24"/>
        </w:rPr>
        <w:t>要求</w:t>
      </w:r>
      <w:bookmarkEnd w:id="62"/>
      <w:bookmarkEnd w:id="63"/>
      <w:bookmarkEnd w:id="64"/>
      <w:bookmarkEnd w:id="65"/>
    </w:p>
    <w:p>
      <w:pPr>
        <w:pStyle w:val="20"/>
        <w:ind w:firstLine="420"/>
        <w:rPr>
          <w:rFonts w:ascii="宋体" w:hAnsi="宋体" w:cs="宋体"/>
          <w:sz w:val="21"/>
          <w:szCs w:val="21"/>
        </w:rPr>
      </w:pPr>
      <w:r>
        <w:rPr>
          <w:rFonts w:hint="eastAsia" w:ascii="宋体" w:hAnsi="宋体" w:cs="宋体"/>
          <w:sz w:val="21"/>
          <w:szCs w:val="21"/>
        </w:rPr>
        <w:t>卖方必须对技术文件以及由买方提供的所有内部资料、技术文档和信息予以保密。卖方必须遵守与买方签订的保密协议，未经买方书面许可，卖方不得以任何形式向第三方透露本业务需求书（包括附件）以及本项目的任何内容。</w:t>
      </w:r>
    </w:p>
    <w:p>
      <w:pPr>
        <w:pStyle w:val="20"/>
        <w:ind w:firstLine="420"/>
        <w:rPr>
          <w:rFonts w:ascii="宋体" w:hAnsi="宋体" w:cs="宋体"/>
          <w:sz w:val="21"/>
          <w:szCs w:val="21"/>
        </w:rPr>
      </w:pPr>
      <w:r>
        <w:rPr>
          <w:rFonts w:hint="eastAsia" w:ascii="宋体" w:hAnsi="宋体" w:cs="宋体"/>
          <w:sz w:val="21"/>
          <w:szCs w:val="21"/>
        </w:rPr>
        <w:t>买方保持有对本业务需求书的修改和解释权。卖方对于业务需求书有关问题的澄清可以通过书面材料或传真电报与</w:t>
      </w:r>
      <w:r>
        <w:rPr>
          <w:rFonts w:hint="eastAsia" w:ascii="宋体" w:hAnsi="宋体" w:cs="宋体"/>
          <w:color w:val="FF0000"/>
          <w:sz w:val="21"/>
          <w:szCs w:val="21"/>
        </w:rPr>
        <w:t>中国电信股份有限公司</w:t>
      </w:r>
      <w:r>
        <w:rPr>
          <w:rFonts w:hint="eastAsia" w:ascii="宋体" w:hAnsi="宋体" w:cs="宋体"/>
          <w:sz w:val="21"/>
          <w:szCs w:val="21"/>
        </w:rPr>
        <w:t>湛江分公司联系。在规定的项目应答书提交最后期限以前，买方对收到的有关对业务需求书中某些问题澄清的要求将以书面材料给予答复。有关买方答复材料的复印件（包括有关问题的解释，但不标明问题的出处）也将递交所有得到业务需求书的卖方。</w:t>
      </w:r>
    </w:p>
    <w:p>
      <w:pPr>
        <w:pStyle w:val="2"/>
        <w:rPr>
          <w:rFonts w:ascii="宋体" w:hAnsi="宋体" w:eastAsia="宋体" w:cs="宋体"/>
          <w:sz w:val="28"/>
          <w:szCs w:val="28"/>
        </w:rPr>
      </w:pPr>
      <w:bookmarkStart w:id="66" w:name="_Toc479588080"/>
      <w:bookmarkStart w:id="67" w:name="_Toc384222312"/>
      <w:bookmarkStart w:id="68" w:name="_Toc291166171"/>
      <w:bookmarkStart w:id="69" w:name="_Toc75803777"/>
      <w:bookmarkStart w:id="70" w:name="_Toc5867"/>
      <w:bookmarkStart w:id="71" w:name="_Toc30247379"/>
      <w:bookmarkStart w:id="72" w:name="_Toc18160310"/>
      <w:bookmarkStart w:id="73" w:name="_Toc31570458"/>
      <w:r>
        <w:rPr>
          <w:rFonts w:hint="eastAsia" w:ascii="宋体" w:hAnsi="宋体" w:eastAsia="宋体" w:cs="宋体"/>
          <w:sz w:val="28"/>
          <w:szCs w:val="28"/>
        </w:rPr>
        <w:t>项目</w:t>
      </w:r>
      <w:bookmarkEnd w:id="66"/>
      <w:bookmarkEnd w:id="67"/>
      <w:bookmarkEnd w:id="68"/>
      <w:r>
        <w:rPr>
          <w:rFonts w:hint="eastAsia" w:ascii="宋体" w:hAnsi="宋体" w:eastAsia="宋体" w:cs="宋体"/>
          <w:sz w:val="28"/>
          <w:szCs w:val="28"/>
        </w:rPr>
        <w:t>说明</w:t>
      </w:r>
      <w:bookmarkEnd w:id="69"/>
      <w:bookmarkEnd w:id="70"/>
    </w:p>
    <w:p>
      <w:pPr>
        <w:pStyle w:val="3"/>
        <w:rPr>
          <w:rFonts w:ascii="宋体" w:hAnsi="宋体" w:cs="宋体"/>
          <w:szCs w:val="21"/>
        </w:rPr>
      </w:pPr>
      <w:bookmarkStart w:id="74" w:name="_Toc657"/>
      <w:bookmarkStart w:id="75" w:name="_Toc75803778"/>
      <w:bookmarkStart w:id="76" w:name="_Toc479588081"/>
      <w:bookmarkStart w:id="77" w:name="_Toc384222313"/>
      <w:r>
        <w:rPr>
          <w:rFonts w:hint="eastAsia" w:ascii="宋体" w:hAnsi="宋体" w:eastAsia="宋体" w:cs="宋体"/>
          <w:sz w:val="24"/>
          <w:szCs w:val="24"/>
        </w:rPr>
        <w:t>项目背景</w:t>
      </w:r>
      <w:bookmarkEnd w:id="74"/>
      <w:bookmarkEnd w:id="75"/>
      <w:bookmarkEnd w:id="76"/>
      <w:bookmarkEnd w:id="77"/>
    </w:p>
    <w:p>
      <w:pPr>
        <w:pStyle w:val="20"/>
        <w:ind w:firstLine="420"/>
        <w:rPr>
          <w:rFonts w:ascii="宋体" w:hAnsi="宋体" w:cs="宋体"/>
          <w:sz w:val="21"/>
          <w:szCs w:val="21"/>
        </w:rPr>
      </w:pPr>
      <w:r>
        <w:rPr>
          <w:rFonts w:hint="eastAsia" w:ascii="宋体" w:hAnsi="宋体" w:cs="宋体"/>
          <w:sz w:val="21"/>
          <w:szCs w:val="21"/>
        </w:rPr>
        <w:t>遂溪县应急管理局为贯彻落实习近平总书记关于提高自然灾害防治能力重要论述精神，按照党中央、国务院决策部署，根据《国务院办公厅关于开展第一次全国自然灾害综合风险普查的通知》（国办发〔2020〕12号）要求，组织开展遂溪第一次全国自然灾害综合风险普查工作。</w:t>
      </w:r>
    </w:p>
    <w:p>
      <w:pPr>
        <w:pStyle w:val="20"/>
        <w:ind w:firstLine="420"/>
        <w:rPr>
          <w:rFonts w:ascii="宋体" w:hAnsi="宋体" w:cs="宋体"/>
          <w:szCs w:val="21"/>
        </w:rPr>
      </w:pPr>
      <w:r>
        <w:rPr>
          <w:rFonts w:hint="eastAsia" w:ascii="宋体" w:hAnsi="宋体" w:cs="宋体"/>
          <w:sz w:val="21"/>
          <w:szCs w:val="21"/>
        </w:rPr>
        <w:t>普查工作要按照“政府统一领导、部门分工协作、地方分级负责、各方共同参与”的原则组织实施。</w:t>
      </w:r>
    </w:p>
    <w:p>
      <w:pPr>
        <w:pStyle w:val="3"/>
        <w:rPr>
          <w:rFonts w:ascii="宋体" w:hAnsi="宋体" w:eastAsia="宋体" w:cs="宋体"/>
          <w:sz w:val="24"/>
          <w:szCs w:val="24"/>
        </w:rPr>
      </w:pPr>
      <w:bookmarkStart w:id="78" w:name="_Toc479588083"/>
      <w:bookmarkStart w:id="79" w:name="_Toc75803779"/>
      <w:bookmarkStart w:id="80" w:name="_Toc9676"/>
      <w:bookmarkStart w:id="81" w:name="_Toc384222315"/>
      <w:bookmarkStart w:id="82" w:name="_Toc418585418"/>
      <w:bookmarkStart w:id="83" w:name="_Toc291166173"/>
      <w:bookmarkStart w:id="84" w:name="_Toc479588082"/>
      <w:r>
        <w:rPr>
          <w:rFonts w:hint="eastAsia" w:ascii="宋体" w:hAnsi="宋体" w:eastAsia="宋体" w:cs="宋体"/>
          <w:sz w:val="24"/>
          <w:szCs w:val="24"/>
        </w:rPr>
        <w:t>项目目标</w:t>
      </w:r>
      <w:bookmarkEnd w:id="78"/>
      <w:bookmarkEnd w:id="79"/>
      <w:bookmarkEnd w:id="80"/>
    </w:p>
    <w:p>
      <w:pPr>
        <w:pStyle w:val="20"/>
        <w:ind w:firstLine="420"/>
        <w:rPr>
          <w:rFonts w:ascii="宋体" w:hAnsi="宋体" w:cs="宋体"/>
          <w:sz w:val="21"/>
          <w:szCs w:val="21"/>
        </w:rPr>
      </w:pPr>
      <w:bookmarkStart w:id="85" w:name="_Toc75803780"/>
      <w:r>
        <w:rPr>
          <w:rFonts w:hint="eastAsia" w:ascii="宋体" w:hAnsi="宋体" w:cs="宋体"/>
          <w:sz w:val="21"/>
          <w:szCs w:val="21"/>
        </w:rPr>
        <w:t>湛江分公司拟共同参与，需提升</w:t>
      </w:r>
      <w:r>
        <w:rPr>
          <w:rFonts w:hint="eastAsia" w:ascii="宋体" w:hAnsi="宋体" w:cs="宋体"/>
          <w:color w:val="FF0000"/>
          <w:sz w:val="21"/>
          <w:szCs w:val="21"/>
        </w:rPr>
        <w:t>灾害普查</w:t>
      </w:r>
      <w:r>
        <w:rPr>
          <w:rFonts w:hint="eastAsia" w:ascii="宋体" w:hAnsi="宋体" w:cs="宋体"/>
          <w:sz w:val="21"/>
          <w:szCs w:val="21"/>
        </w:rPr>
        <w:t>能力，通过组织开展遂溪第一次全国自然灾害综合风险普查，摸清遂溪自然灾害风险隐患底数，查明重点区域减灾能力，客观认识遂溪自然灾害综合风险水平，为遂溪政府有效开展自然灾害防治和应急管理工作、切实保障经济社会可持续发展提供权威的自然灾害风险信息和科学决策依据。</w:t>
      </w:r>
    </w:p>
    <w:p>
      <w:pPr>
        <w:pStyle w:val="3"/>
        <w:spacing w:line="276" w:lineRule="auto"/>
        <w:rPr>
          <w:rFonts w:ascii="宋体" w:hAnsi="宋体" w:eastAsia="宋体" w:cs="宋体"/>
          <w:sz w:val="24"/>
          <w:szCs w:val="24"/>
        </w:rPr>
      </w:pPr>
      <w:bookmarkStart w:id="86" w:name="_Toc8713"/>
      <w:r>
        <w:rPr>
          <w:rFonts w:hint="eastAsia" w:ascii="宋体" w:hAnsi="宋体" w:eastAsia="宋体" w:cs="宋体"/>
          <w:sz w:val="24"/>
          <w:szCs w:val="24"/>
        </w:rPr>
        <w:t>项目内容</w:t>
      </w:r>
      <w:bookmarkEnd w:id="85"/>
      <w:bookmarkEnd w:id="86"/>
    </w:p>
    <w:p>
      <w:pPr>
        <w:spacing w:line="360" w:lineRule="auto"/>
        <w:ind w:firstLine="420" w:firstLineChars="200"/>
        <w:rPr>
          <w:rFonts w:ascii="宋体" w:hAnsi="宋体" w:cs="Songti SC Regular"/>
          <w:color w:val="000000"/>
          <w:szCs w:val="21"/>
        </w:rPr>
      </w:pPr>
      <w:r>
        <w:rPr>
          <w:rFonts w:hint="eastAsia" w:ascii="宋体" w:hAnsi="宋体" w:cs="Songti SC Regular"/>
          <w:color w:val="000000"/>
          <w:szCs w:val="21"/>
          <w:lang w:eastAsia="zh-CN"/>
        </w:rPr>
        <w:t>参选</w:t>
      </w:r>
      <w:r>
        <w:rPr>
          <w:rFonts w:hint="eastAsia" w:ascii="宋体" w:hAnsi="宋体" w:cs="Songti SC Regular"/>
          <w:color w:val="000000"/>
          <w:szCs w:val="21"/>
        </w:rPr>
        <w:t>方需根据上述服务，提供可以满足本期自然灾害综合风险普查服务目标要求的技术方案，如果因</w:t>
      </w:r>
      <w:r>
        <w:rPr>
          <w:rFonts w:hint="eastAsia" w:ascii="宋体" w:hAnsi="宋体" w:cs="Songti SC Regular"/>
          <w:color w:val="000000"/>
          <w:szCs w:val="21"/>
          <w:lang w:eastAsia="zh-CN"/>
        </w:rPr>
        <w:t>参选</w:t>
      </w:r>
      <w:r>
        <w:rPr>
          <w:rFonts w:hint="eastAsia" w:ascii="宋体" w:hAnsi="宋体" w:cs="Songti SC Regular"/>
          <w:color w:val="000000"/>
          <w:szCs w:val="21"/>
        </w:rPr>
        <w:t>方的技术方案原因导致无法满足本期自然灾害综合风险普查服务目标要求，由</w:t>
      </w:r>
      <w:r>
        <w:rPr>
          <w:rFonts w:hint="eastAsia" w:ascii="宋体" w:hAnsi="宋体" w:cs="Songti SC Regular"/>
          <w:color w:val="000000"/>
          <w:szCs w:val="21"/>
          <w:lang w:eastAsia="zh-CN"/>
        </w:rPr>
        <w:t>参选</w:t>
      </w:r>
      <w:r>
        <w:rPr>
          <w:rFonts w:hint="eastAsia" w:ascii="宋体" w:hAnsi="宋体" w:cs="Songti SC Regular"/>
          <w:color w:val="000000"/>
          <w:szCs w:val="21"/>
        </w:rPr>
        <w:t>方免费提供相应服务及解决方案，直至满足本期自然灾害综合风险普查服务目标为止。</w:t>
      </w:r>
    </w:p>
    <w:p>
      <w:pPr>
        <w:spacing w:line="360" w:lineRule="auto"/>
        <w:rPr>
          <w:rFonts w:hint="eastAsia" w:ascii="宋体" w:hAnsi="宋体" w:cs="Songti SC Regular"/>
          <w:color w:val="000000"/>
          <w:szCs w:val="21"/>
        </w:rPr>
        <w:sectPr>
          <w:footerReference r:id="rId5" w:type="default"/>
          <w:pgSz w:w="11906" w:h="16838"/>
          <w:pgMar w:top="1440" w:right="1800" w:bottom="1440" w:left="1800" w:header="851" w:footer="992" w:gutter="0"/>
          <w:pgNumType w:start="1"/>
          <w:cols w:space="425" w:num="1"/>
          <w:docGrid w:type="lines" w:linePitch="312" w:charSpace="0"/>
        </w:sectPr>
      </w:pPr>
    </w:p>
    <w:bookmarkEnd w:id="71"/>
    <w:bookmarkEnd w:id="72"/>
    <w:bookmarkEnd w:id="73"/>
    <w:bookmarkEnd w:id="81"/>
    <w:bookmarkEnd w:id="82"/>
    <w:bookmarkEnd w:id="83"/>
    <w:bookmarkEnd w:id="84"/>
    <w:p>
      <w:pPr>
        <w:pStyle w:val="2"/>
        <w:spacing w:line="276" w:lineRule="auto"/>
        <w:rPr>
          <w:rFonts w:ascii="宋体" w:hAnsi="宋体" w:eastAsia="宋体" w:cs="宋体"/>
          <w:sz w:val="28"/>
          <w:szCs w:val="28"/>
        </w:rPr>
      </w:pPr>
      <w:bookmarkStart w:id="87" w:name="_Toc75803781"/>
      <w:bookmarkStart w:id="88" w:name="_Toc13672910"/>
      <w:bookmarkStart w:id="89" w:name="_Toc421541354"/>
      <w:bookmarkStart w:id="90" w:name="_Toc29240"/>
      <w:r>
        <w:rPr>
          <w:rFonts w:hint="eastAsia" w:ascii="宋体" w:hAnsi="宋体" w:eastAsia="宋体" w:cs="宋体"/>
          <w:sz w:val="28"/>
          <w:szCs w:val="28"/>
        </w:rPr>
        <w:t>项目需求</w:t>
      </w:r>
      <w:bookmarkEnd w:id="87"/>
      <w:bookmarkEnd w:id="88"/>
      <w:bookmarkEnd w:id="89"/>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标段一</w:t>
      </w:r>
      <w:r>
        <w:rPr>
          <w:rFonts w:hint="eastAsia" w:ascii="宋体" w:hAnsi="宋体" w:eastAsia="宋体" w:cs="宋体"/>
          <w:sz w:val="28"/>
          <w:szCs w:val="28"/>
          <w:lang w:eastAsia="zh-CN"/>
        </w:rPr>
        <w:t>）</w:t>
      </w:r>
      <w:bookmarkEnd w:id="90"/>
    </w:p>
    <w:tbl>
      <w:tblPr>
        <w:tblStyle w:val="16"/>
        <w:tblW w:w="13316" w:type="dxa"/>
        <w:jc w:val="center"/>
        <w:tblLayout w:type="autofit"/>
        <w:tblCellMar>
          <w:top w:w="0" w:type="dxa"/>
          <w:left w:w="108" w:type="dxa"/>
          <w:bottom w:w="0" w:type="dxa"/>
          <w:right w:w="108" w:type="dxa"/>
        </w:tblCellMar>
      </w:tblPr>
      <w:tblGrid>
        <w:gridCol w:w="781"/>
        <w:gridCol w:w="808"/>
        <w:gridCol w:w="1309"/>
        <w:gridCol w:w="2547"/>
        <w:gridCol w:w="3625"/>
        <w:gridCol w:w="1223"/>
        <w:gridCol w:w="1443"/>
        <w:gridCol w:w="1580"/>
      </w:tblGrid>
      <w:tr>
        <w:tblPrEx>
          <w:tblCellMar>
            <w:top w:w="0" w:type="dxa"/>
            <w:left w:w="108" w:type="dxa"/>
            <w:bottom w:w="0" w:type="dxa"/>
            <w:right w:w="108" w:type="dxa"/>
          </w:tblCellMar>
        </w:tblPrEx>
        <w:trPr>
          <w:trHeight w:val="628" w:hRule="atLeast"/>
          <w:jc w:val="center"/>
        </w:trPr>
        <w:tc>
          <w:tcPr>
            <w:tcW w:w="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bookmarkStart w:id="91" w:name="_Toc479588118"/>
            <w:bookmarkStart w:id="92" w:name="_Toc15603122"/>
            <w:bookmarkStart w:id="93" w:name="_Toc75803802"/>
            <w:r>
              <w:rPr>
                <w:rFonts w:hint="eastAsia" w:ascii="宋体" w:hAnsi="宋体" w:cs="宋体"/>
                <w:b/>
                <w:bCs/>
                <w:color w:val="000000"/>
                <w:kern w:val="0"/>
                <w:sz w:val="24"/>
                <w:lang w:bidi="ar"/>
              </w:rPr>
              <w:t>序号</w:t>
            </w:r>
          </w:p>
        </w:tc>
        <w:tc>
          <w:tcPr>
            <w:tcW w:w="4664"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服务名称</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服务说明</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highlight w:val="none"/>
                <w:lang w:val="en-US" w:eastAsia="zh-CN" w:bidi="ar"/>
              </w:rPr>
              <w:t>预估</w:t>
            </w:r>
            <w:r>
              <w:rPr>
                <w:rFonts w:hint="eastAsia" w:ascii="宋体" w:hAnsi="宋体" w:cs="宋体"/>
                <w:b/>
                <w:bCs/>
                <w:color w:val="000000"/>
                <w:kern w:val="0"/>
                <w:sz w:val="24"/>
                <w:lang w:bidi="ar"/>
              </w:rPr>
              <w:t>数量</w:t>
            </w:r>
          </w:p>
        </w:tc>
        <w:tc>
          <w:tcPr>
            <w:tcW w:w="144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宋体" w:hAnsi="宋体" w:eastAsia="宋体" w:cs="宋体"/>
                <w:b/>
                <w:bCs/>
                <w:color w:val="000000"/>
                <w:sz w:val="24"/>
                <w:lang w:val="en-US" w:eastAsia="zh-CN"/>
              </w:rPr>
            </w:pPr>
            <w:r>
              <w:rPr>
                <w:rFonts w:hint="eastAsia" w:ascii="宋体" w:hAnsi="宋体" w:cs="宋体"/>
                <w:b/>
                <w:bCs/>
                <w:color w:val="000000"/>
                <w:kern w:val="0"/>
                <w:sz w:val="24"/>
                <w:lang w:bidi="ar"/>
              </w:rPr>
              <w:t>单价</w:t>
            </w:r>
            <w:r>
              <w:rPr>
                <w:rFonts w:hint="eastAsia" w:ascii="宋体" w:hAnsi="宋体" w:cs="宋体"/>
                <w:b/>
                <w:bCs/>
                <w:color w:val="000000"/>
                <w:kern w:val="0"/>
                <w:sz w:val="24"/>
                <w:lang w:val="en-US" w:eastAsia="zh-CN" w:bidi="ar"/>
              </w:rPr>
              <w:t>限价</w:t>
            </w:r>
          </w:p>
        </w:tc>
        <w:tc>
          <w:tcPr>
            <w:tcW w:w="1580"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合计（元）</w:t>
            </w:r>
          </w:p>
        </w:tc>
      </w:tr>
      <w:tr>
        <w:tblPrEx>
          <w:tblCellMar>
            <w:top w:w="0" w:type="dxa"/>
            <w:left w:w="108" w:type="dxa"/>
            <w:bottom w:w="0" w:type="dxa"/>
            <w:right w:w="108" w:type="dxa"/>
          </w:tblCellMar>
        </w:tblPrEx>
        <w:trPr>
          <w:trHeight w:val="628" w:hRule="atLeast"/>
          <w:jc w:val="center"/>
        </w:trPr>
        <w:tc>
          <w:tcPr>
            <w:tcW w:w="13316" w:type="dxa"/>
            <w:gridSpan w:val="8"/>
            <w:tcBorders>
              <w:top w:val="single" w:color="000000" w:sz="4" w:space="0"/>
              <w:left w:val="single" w:color="000000" w:sz="4" w:space="0"/>
              <w:bottom w:val="single" w:color="000000" w:sz="4" w:space="0"/>
              <w:right w:val="nil"/>
            </w:tcBorders>
            <w:vAlign w:val="center"/>
          </w:tcPr>
          <w:p>
            <w:pPr>
              <w:widowControl/>
              <w:jc w:val="center"/>
              <w:textAlignment w:val="center"/>
              <w:rPr>
                <w:rFonts w:ascii="宋体" w:hAnsi="宋体" w:cs="宋体"/>
                <w:b/>
                <w:bCs/>
                <w:color w:val="000000"/>
                <w:sz w:val="24"/>
              </w:rPr>
            </w:pPr>
            <w:r>
              <w:rPr>
                <w:rFonts w:hint="eastAsia" w:ascii="宋体" w:hAnsi="宋体" w:cs="宋体"/>
                <w:b/>
                <w:bCs/>
                <w:color w:val="000000"/>
                <w:kern w:val="0"/>
                <w:sz w:val="24"/>
                <w:lang w:bidi="ar"/>
              </w:rPr>
              <w:t>标段一：应急系统，预算1386329.79元</w:t>
            </w:r>
          </w:p>
        </w:tc>
      </w:tr>
      <w:tr>
        <w:tblPrEx>
          <w:tblCellMar>
            <w:top w:w="0" w:type="dxa"/>
            <w:left w:w="108" w:type="dxa"/>
            <w:bottom w:w="0" w:type="dxa"/>
            <w:right w:w="108" w:type="dxa"/>
          </w:tblCellMar>
        </w:tblPrEx>
        <w:trPr>
          <w:trHeight w:val="90" w:hRule="atLeast"/>
          <w:jc w:val="center"/>
        </w:trPr>
        <w:tc>
          <w:tcPr>
            <w:tcW w:w="78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80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承灾体调查</w:t>
            </w:r>
          </w:p>
        </w:tc>
        <w:tc>
          <w:tcPr>
            <w:tcW w:w="13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公共服务设施</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对学校、医疗卫生机构、公共文化场所等重要承灾体的空间位置信息、保障服务能力、灾害属性开展调查。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学校（608个）、医疗卫生机构（34个）、提供住宿的社会服务机构（21个）、公共文化场所（5个）、旅游景区（2个）、星级饭店（1个）、体育场馆（1个）、大型超市、百货店和亿元以上商品交易市场（2个）共8类合计674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127000.00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127000.00</w:t>
            </w:r>
          </w:p>
        </w:tc>
      </w:tr>
      <w:tr>
        <w:tblPrEx>
          <w:tblCellMar>
            <w:top w:w="0" w:type="dxa"/>
            <w:left w:w="108" w:type="dxa"/>
            <w:bottom w:w="0" w:type="dxa"/>
            <w:right w:w="108" w:type="dxa"/>
          </w:tblCellMar>
        </w:tblPrEx>
        <w:trPr>
          <w:trHeight w:val="1246"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危险化学品、煤矿和非煤矿山等重点企业调查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非煤矿山自然灾害承灾体调查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根据统计资料：露天矿山（1个）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400.00</w:t>
            </w:r>
          </w:p>
        </w:tc>
      </w:tr>
      <w:tr>
        <w:tblPrEx>
          <w:tblCellMar>
            <w:top w:w="0" w:type="dxa"/>
            <w:left w:w="108" w:type="dxa"/>
            <w:bottom w:w="0" w:type="dxa"/>
            <w:right w:w="108" w:type="dxa"/>
          </w:tblCellMar>
        </w:tblPrEx>
        <w:trPr>
          <w:trHeight w:val="1663"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危险化学品（含加油加气加氢站）承灾体调查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根据统计资料：危险化学品企业（6个）、加油加气站（55个）、共2类合计61个。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34700.00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34700.00</w:t>
            </w:r>
          </w:p>
        </w:tc>
      </w:tr>
      <w:tr>
        <w:tblPrEx>
          <w:tblCellMar>
            <w:top w:w="0" w:type="dxa"/>
            <w:left w:w="108" w:type="dxa"/>
            <w:bottom w:w="0" w:type="dxa"/>
            <w:right w:w="108" w:type="dxa"/>
          </w:tblCellMar>
        </w:tblPrEx>
        <w:trPr>
          <w:trHeight w:val="2509" w:hRule="atLeast"/>
          <w:jc w:val="center"/>
        </w:trPr>
        <w:tc>
          <w:tcPr>
            <w:tcW w:w="78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w:t>
            </w:r>
          </w:p>
        </w:tc>
        <w:tc>
          <w:tcPr>
            <w:tcW w:w="80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综合减灾能力调查</w:t>
            </w:r>
          </w:p>
        </w:tc>
        <w:tc>
          <w:tcPr>
            <w:tcW w:w="13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政府综合减灾能力调查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政府综合减灾能力调查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根据统计资料：辖区内政府灾害管理能力（8个）、政府专职和企事业专职消防队伍（17个）、森林消防队伍（1个）、救灾物资储备库（3个）、应急避难场所（4个）共5类合计33个。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7700.00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7700.00</w:t>
            </w:r>
          </w:p>
        </w:tc>
      </w:tr>
      <w:tr>
        <w:tblPrEx>
          <w:tblCellMar>
            <w:top w:w="0" w:type="dxa"/>
            <w:left w:w="108" w:type="dxa"/>
            <w:bottom w:w="0" w:type="dxa"/>
            <w:right w:w="108" w:type="dxa"/>
          </w:tblCellMar>
        </w:tblPrEx>
        <w:trPr>
          <w:trHeight w:val="1899"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基层减灾能力调查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乡镇与社区减灾能力调查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根据统计资料：辖区内乡镇（街道）减灾能力(16个)、社区（行政村）减灾能力（349个）共2类合计365个。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69000.00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69000.00</w:t>
            </w:r>
          </w:p>
        </w:tc>
      </w:tr>
      <w:tr>
        <w:tblPrEx>
          <w:tblCellMar>
            <w:top w:w="0" w:type="dxa"/>
            <w:left w:w="108" w:type="dxa"/>
            <w:bottom w:w="0" w:type="dxa"/>
            <w:right w:w="108" w:type="dxa"/>
          </w:tblCellMar>
        </w:tblPrEx>
        <w:trPr>
          <w:trHeight w:val="1246"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家庭减灾能力调查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家庭减灾能力调查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家庭减灾能力合计1200个调查对象</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207600.00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207600.00</w:t>
            </w:r>
          </w:p>
        </w:tc>
      </w:tr>
      <w:tr>
        <w:tblPrEx>
          <w:tblCellMar>
            <w:top w:w="0" w:type="dxa"/>
            <w:left w:w="108" w:type="dxa"/>
            <w:bottom w:w="0" w:type="dxa"/>
            <w:right w:w="108" w:type="dxa"/>
          </w:tblCellMar>
        </w:tblPrEx>
        <w:trPr>
          <w:trHeight w:val="2357" w:hRule="atLeast"/>
          <w:jc w:val="center"/>
        </w:trPr>
        <w:tc>
          <w:tcPr>
            <w:tcW w:w="78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w:t>
            </w:r>
          </w:p>
        </w:tc>
        <w:tc>
          <w:tcPr>
            <w:tcW w:w="8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历史灾害调查</w:t>
            </w:r>
          </w:p>
        </w:tc>
        <w:tc>
          <w:tcPr>
            <w:tcW w:w="1309"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历史年度自然灾害调查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每个灾种每年填一张表，主要灾种包括：①地震灾害②地质灾害③气象灾害④水旱灾害⑤森林火灾。</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年份跨度：1978-2020，填报主体：应急局、统计局、档案局</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96400.00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96400.00</w:t>
            </w:r>
          </w:p>
        </w:tc>
      </w:tr>
      <w:tr>
        <w:tblPrEx>
          <w:tblCellMar>
            <w:top w:w="0" w:type="dxa"/>
            <w:left w:w="108" w:type="dxa"/>
            <w:bottom w:w="0" w:type="dxa"/>
            <w:right w:w="108" w:type="dxa"/>
          </w:tblCellMar>
        </w:tblPrEx>
        <w:trPr>
          <w:trHeight w:val="3532" w:hRule="atLeast"/>
          <w:jc w:val="center"/>
        </w:trPr>
        <w:tc>
          <w:tcPr>
            <w:tcW w:w="781"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4</w:t>
            </w:r>
          </w:p>
        </w:tc>
        <w:tc>
          <w:tcPr>
            <w:tcW w:w="808"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质检核查</w:t>
            </w:r>
          </w:p>
        </w:tc>
        <w:tc>
          <w:tcPr>
            <w:tcW w:w="1309"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普查成果质检、审核、上报</w:t>
            </w: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负责公共服务系统调查数据的系统数据录入、空间数据标绘、质量检查、综合性审查以及上报。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学校（608个）、医疗卫生机构（34个）、提供住宿的社会服务机构（21个）、公共文化场所（5个）、旅游景区（2个）、星级饭店（1个）、体育场馆（1个）、大型超市、百货店和亿元以上商品交易市场（2个）共8类合计674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212071.75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212071.75</w:t>
            </w:r>
          </w:p>
        </w:tc>
      </w:tr>
      <w:tr>
        <w:tblPrEx>
          <w:tblCellMar>
            <w:top w:w="0" w:type="dxa"/>
            <w:left w:w="108" w:type="dxa"/>
            <w:bottom w:w="0" w:type="dxa"/>
            <w:right w:w="108" w:type="dxa"/>
          </w:tblCellMar>
        </w:tblPrEx>
        <w:trPr>
          <w:trHeight w:val="1884"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负责危化企业调查数据的系统数据录入、质量检查、综合性审查以及上报。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根据统计资料：危险化学品企业（6个）、加油加气站（55个）、共2类合计61个。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57921.21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57921.21</w:t>
            </w:r>
          </w:p>
        </w:tc>
      </w:tr>
      <w:tr>
        <w:tblPrEx>
          <w:tblCellMar>
            <w:top w:w="0" w:type="dxa"/>
            <w:left w:w="108" w:type="dxa"/>
            <w:bottom w:w="0" w:type="dxa"/>
            <w:right w:w="108" w:type="dxa"/>
          </w:tblCellMar>
        </w:tblPrEx>
        <w:trPr>
          <w:trHeight w:val="2481"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负责非煤矿山调查数据的系统数据录入、质量检查、综合性审查以及上报。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根据统计资料：露天矿山（1个）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834.60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834.60</w:t>
            </w:r>
          </w:p>
        </w:tc>
      </w:tr>
      <w:tr>
        <w:tblPrEx>
          <w:tblCellMar>
            <w:top w:w="0" w:type="dxa"/>
            <w:left w:w="108" w:type="dxa"/>
            <w:bottom w:w="0" w:type="dxa"/>
            <w:right w:w="108" w:type="dxa"/>
          </w:tblCellMar>
        </w:tblPrEx>
        <w:trPr>
          <w:trHeight w:val="2093"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负责年度自然灾害灾情调查数据的系统数据录入、质量检查、综合性审查以及上报。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年份跨度：1978-2020，填报主体：应急局、统计局、档案局</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69605.60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69605.60</w:t>
            </w:r>
          </w:p>
        </w:tc>
      </w:tr>
      <w:tr>
        <w:tblPrEx>
          <w:tblCellMar>
            <w:top w:w="0" w:type="dxa"/>
            <w:left w:w="108" w:type="dxa"/>
            <w:bottom w:w="0" w:type="dxa"/>
            <w:right w:w="108" w:type="dxa"/>
          </w:tblCellMar>
        </w:tblPrEx>
        <w:trPr>
          <w:trHeight w:val="2389"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负责政府综合减灾能力调查数据的系统数据录入、质量检查、综合性审查以及上报。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根据统计资料：辖区内政府灾害管理能力（8个）、政府专职和企事业专职消防队伍（17个）、森林消防队伍（1个）、救灾物资储备库（3个）、应急避难场所（4个）共5类合计33个。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10432.49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10432.49</w:t>
            </w:r>
          </w:p>
        </w:tc>
      </w:tr>
      <w:tr>
        <w:tblPrEx>
          <w:tblCellMar>
            <w:top w:w="0" w:type="dxa"/>
            <w:left w:w="108" w:type="dxa"/>
            <w:bottom w:w="0" w:type="dxa"/>
            <w:right w:w="108" w:type="dxa"/>
          </w:tblCellMar>
        </w:tblPrEx>
        <w:trPr>
          <w:trHeight w:val="1933"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负责乡镇和社区减灾能力调查数据的系统数据录入、质量检查、综合性审查以及上报。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根据统计资料：辖区内乡镇（街道）减灾能力(16个)、社区（行政村）减灾能力（349个）共2类合计365个。</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115258.21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115258.21</w:t>
            </w:r>
          </w:p>
        </w:tc>
      </w:tr>
      <w:tr>
        <w:tblPrEx>
          <w:tblCellMar>
            <w:top w:w="0" w:type="dxa"/>
            <w:left w:w="108" w:type="dxa"/>
            <w:bottom w:w="0" w:type="dxa"/>
            <w:right w:w="108" w:type="dxa"/>
          </w:tblCellMar>
        </w:tblPrEx>
        <w:trPr>
          <w:trHeight w:val="2144" w:hRule="atLeast"/>
          <w:jc w:val="center"/>
        </w:trPr>
        <w:tc>
          <w:tcPr>
            <w:tcW w:w="781"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808"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1309"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4"/>
              </w:rPr>
            </w:pPr>
          </w:p>
        </w:tc>
        <w:tc>
          <w:tcPr>
            <w:tcW w:w="2547"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负责家庭减灾能力调查数据的质量检查、综合性审查以及上报。</w:t>
            </w:r>
          </w:p>
        </w:tc>
        <w:tc>
          <w:tcPr>
            <w:tcW w:w="3625" w:type="dxa"/>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ascii="宋体" w:hAnsi="宋体" w:cs="宋体"/>
                <w:color w:val="000000"/>
                <w:sz w:val="24"/>
              </w:rPr>
            </w:pPr>
            <w:r>
              <w:rPr>
                <w:rFonts w:hint="eastAsia" w:ascii="宋体" w:hAnsi="宋体" w:cs="宋体"/>
                <w:color w:val="000000"/>
                <w:kern w:val="0"/>
                <w:sz w:val="24"/>
                <w:lang w:bidi="ar"/>
              </w:rPr>
              <w:t>家庭减灾能力合计1200个质检对象</w:t>
            </w:r>
          </w:p>
        </w:tc>
        <w:tc>
          <w:tcPr>
            <w:tcW w:w="1223"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377405.93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377405.93</w:t>
            </w:r>
          </w:p>
        </w:tc>
      </w:tr>
      <w:tr>
        <w:tblPrEx>
          <w:tblCellMar>
            <w:top w:w="0" w:type="dxa"/>
            <w:left w:w="108" w:type="dxa"/>
            <w:bottom w:w="0" w:type="dxa"/>
            <w:right w:w="108" w:type="dxa"/>
          </w:tblCellMar>
        </w:tblPrEx>
        <w:trPr>
          <w:trHeight w:val="638" w:hRule="atLeast"/>
          <w:jc w:val="center"/>
        </w:trPr>
        <w:tc>
          <w:tcPr>
            <w:tcW w:w="0" w:type="auto"/>
            <w:gridSpan w:val="7"/>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合计</w:t>
            </w:r>
          </w:p>
        </w:tc>
        <w:tc>
          <w:tcPr>
            <w:tcW w:w="0" w:type="auto"/>
            <w:tcBorders>
              <w:top w:val="single" w:color="000000" w:sz="4" w:space="0"/>
              <w:left w:val="single" w:color="000000" w:sz="4" w:space="0"/>
              <w:bottom w:val="single" w:color="000000" w:sz="4" w:space="0"/>
              <w:right w:val="nil"/>
            </w:tcBorders>
            <w:noWrap/>
            <w:vAlign w:val="center"/>
          </w:tcPr>
          <w:p>
            <w:pPr>
              <w:widowControl/>
              <w:jc w:val="center"/>
              <w:textAlignment w:val="center"/>
              <w:rPr>
                <w:rFonts w:ascii="宋体" w:hAnsi="宋体" w:cs="宋体"/>
                <w:color w:val="000000"/>
                <w:sz w:val="24"/>
              </w:rPr>
            </w:pPr>
            <w:r>
              <w:rPr>
                <w:rFonts w:hint="eastAsia" w:ascii="宋体" w:hAnsi="宋体" w:cs="宋体"/>
                <w:color w:val="000000"/>
                <w:kern w:val="0"/>
                <w:sz w:val="24"/>
                <w:lang w:bidi="ar"/>
              </w:rPr>
              <w:t>1386329.79</w:t>
            </w:r>
          </w:p>
        </w:tc>
      </w:tr>
    </w:tbl>
    <w:p>
      <w:pPr>
        <w:rPr>
          <w:rFonts w:ascii="宋体" w:hAnsi="宋体" w:cs="宋体"/>
          <w:sz w:val="28"/>
          <w:szCs w:val="28"/>
        </w:rPr>
        <w:sectPr>
          <w:pgSz w:w="16838" w:h="11906" w:orient="landscape"/>
          <w:pgMar w:top="1800" w:right="1440" w:bottom="1800" w:left="1440" w:header="851" w:footer="992" w:gutter="0"/>
          <w:pgNumType w:start="1"/>
          <w:cols w:space="425" w:num="1"/>
          <w:docGrid w:type="lines" w:linePitch="312" w:charSpace="0"/>
        </w:sectPr>
      </w:pPr>
    </w:p>
    <w:p/>
    <w:p>
      <w:pPr>
        <w:pStyle w:val="2"/>
        <w:rPr>
          <w:rFonts w:ascii="宋体" w:hAnsi="宋体" w:eastAsia="宋体" w:cs="宋体"/>
          <w:sz w:val="28"/>
          <w:szCs w:val="28"/>
        </w:rPr>
      </w:pPr>
      <w:bookmarkStart w:id="94" w:name="_Toc3817"/>
      <w:r>
        <w:rPr>
          <w:rFonts w:hint="eastAsia" w:ascii="宋体" w:hAnsi="宋体" w:eastAsia="宋体" w:cs="宋体"/>
          <w:sz w:val="28"/>
          <w:szCs w:val="28"/>
        </w:rPr>
        <w:t>项目管控要求</w:t>
      </w:r>
      <w:bookmarkEnd w:id="91"/>
      <w:bookmarkEnd w:id="92"/>
      <w:bookmarkEnd w:id="93"/>
      <w:bookmarkEnd w:id="94"/>
    </w:p>
    <w:p>
      <w:pPr>
        <w:spacing w:line="360" w:lineRule="auto"/>
        <w:ind w:firstLine="420" w:firstLineChars="200"/>
        <w:rPr>
          <w:rFonts w:ascii="宋体" w:hAnsi="宋体" w:cs="宋体"/>
          <w:szCs w:val="21"/>
        </w:rPr>
      </w:pPr>
      <w:r>
        <w:rPr>
          <w:rFonts w:hint="eastAsia" w:ascii="宋体" w:hAnsi="宋体" w:cs="宋体"/>
          <w:szCs w:val="21"/>
        </w:rPr>
        <w:t>供应商根据湛江分公司要求，合理安排整体项目进度，要求以图表的形式给出项目的分工及时间进度安排，需明确每项工作的开始和完成时间节点以及每个阶段的服务交付和责任划分情况。由湛江分公司对</w:t>
      </w:r>
      <w:r>
        <w:rPr>
          <w:rFonts w:hint="eastAsia" w:ascii="宋体" w:hAnsi="宋体" w:cs="宋体"/>
          <w:szCs w:val="21"/>
          <w:lang w:eastAsia="zh-CN"/>
        </w:rPr>
        <w:t>参选</w:t>
      </w:r>
      <w:r>
        <w:rPr>
          <w:rFonts w:hint="eastAsia" w:ascii="宋体" w:hAnsi="宋体" w:cs="宋体"/>
          <w:szCs w:val="21"/>
        </w:rPr>
        <w:t xml:space="preserve">方的完成情况评估考核。 </w:t>
      </w:r>
    </w:p>
    <w:p>
      <w:pPr>
        <w:pStyle w:val="2"/>
        <w:rPr>
          <w:rFonts w:ascii="宋体" w:hAnsi="宋体" w:eastAsia="宋体" w:cs="宋体"/>
          <w:sz w:val="28"/>
          <w:szCs w:val="28"/>
        </w:rPr>
      </w:pPr>
      <w:bookmarkStart w:id="95" w:name="_Toc15693"/>
      <w:r>
        <w:rPr>
          <w:rFonts w:hint="eastAsia" w:ascii="宋体" w:hAnsi="宋体" w:eastAsia="宋体" w:cs="宋体"/>
          <w:sz w:val="28"/>
          <w:szCs w:val="28"/>
        </w:rPr>
        <w:t>服务时间</w:t>
      </w:r>
      <w:bookmarkEnd w:id="95"/>
    </w:p>
    <w:p>
      <w:pPr>
        <w:spacing w:line="360" w:lineRule="auto"/>
        <w:ind w:firstLine="420" w:firstLineChars="200"/>
        <w:rPr>
          <w:rFonts w:ascii="宋体" w:hAnsi="宋体" w:cs="宋体"/>
          <w:szCs w:val="21"/>
        </w:rPr>
      </w:pPr>
      <w:r>
        <w:rPr>
          <w:rFonts w:hint="eastAsia" w:ascii="宋体" w:hAnsi="宋体" w:cs="宋体"/>
          <w:szCs w:val="21"/>
        </w:rPr>
        <w:t>自合同签订之日起15天内完成相关方案的编制工作和人员培训工作，1个月内完成项目交付。按照国家、广东省以及湛江市普查工作最新进展安排和要求如期完成普查各个环节工作。供应商确保湛江分公司客户遂溪县应急管理局普查工作全面结束且验收合格后，方可结束服务。</w:t>
      </w:r>
    </w:p>
    <w:p>
      <w:pPr>
        <w:pStyle w:val="2"/>
        <w:rPr>
          <w:rFonts w:ascii="宋体" w:hAnsi="宋体" w:eastAsia="宋体" w:cs="宋体"/>
          <w:sz w:val="28"/>
          <w:szCs w:val="28"/>
        </w:rPr>
      </w:pPr>
      <w:bookmarkStart w:id="96" w:name="_Toc24615"/>
      <w:r>
        <w:rPr>
          <w:rFonts w:hint="eastAsia" w:ascii="宋体" w:hAnsi="宋体" w:eastAsia="宋体" w:cs="宋体"/>
          <w:sz w:val="28"/>
          <w:szCs w:val="28"/>
        </w:rPr>
        <w:t>付款方式</w:t>
      </w:r>
      <w:bookmarkEnd w:id="96"/>
    </w:p>
    <w:p>
      <w:pPr>
        <w:spacing w:line="360" w:lineRule="auto"/>
        <w:ind w:left="0" w:leftChars="0" w:firstLine="420" w:firstLineChars="200"/>
        <w:jc w:val="both"/>
        <w:rPr>
          <w:rFonts w:hint="eastAsia"/>
        </w:rPr>
      </w:pPr>
      <w:r>
        <w:rPr>
          <w:rFonts w:hint="eastAsia"/>
        </w:rPr>
        <w:t>1期：支付比例30%，合同签订后20个工作日内，采购人向预付合同总价的30 %。</w:t>
      </w:r>
    </w:p>
    <w:p>
      <w:pPr>
        <w:spacing w:line="360" w:lineRule="auto"/>
        <w:ind w:left="0" w:leftChars="0" w:firstLine="420" w:firstLineChars="200"/>
        <w:jc w:val="both"/>
        <w:rPr>
          <w:rFonts w:hint="eastAsia"/>
        </w:rPr>
      </w:pPr>
      <w:r>
        <w:rPr>
          <w:rFonts w:hint="eastAsia"/>
        </w:rPr>
        <w:t>2期：支付比例70%，项目验收合格后，20个工作日内，采购人支付合同总价 的70%。</w:t>
      </w:r>
    </w:p>
    <w:p>
      <w:pPr>
        <w:pStyle w:val="2"/>
        <w:rPr>
          <w:rFonts w:ascii="宋体" w:hAnsi="宋体" w:eastAsia="宋体" w:cs="宋体"/>
          <w:sz w:val="28"/>
          <w:szCs w:val="28"/>
        </w:rPr>
      </w:pPr>
      <w:bookmarkStart w:id="97" w:name="_Toc31539"/>
      <w:r>
        <w:rPr>
          <w:rFonts w:hint="eastAsia" w:ascii="宋体" w:hAnsi="宋体" w:eastAsia="宋体" w:cs="宋体"/>
          <w:sz w:val="28"/>
          <w:szCs w:val="28"/>
        </w:rPr>
        <w:t>结算标准</w:t>
      </w:r>
      <w:bookmarkEnd w:id="97"/>
    </w:p>
    <w:p>
      <w:pPr>
        <w:ind w:left="425"/>
        <w:rPr>
          <w:rFonts w:hint="eastAsia"/>
        </w:rPr>
      </w:pPr>
      <w:r>
        <w:rPr>
          <w:rFonts w:hint="eastAsia"/>
        </w:rPr>
        <w:t>供应商需持湛江分公司客户遂溪县应急管理局项目验收合格报告方可结算。</w:t>
      </w:r>
    </w:p>
    <w:p>
      <w:pPr>
        <w:pStyle w:val="2"/>
        <w:rPr>
          <w:rFonts w:ascii="宋体" w:hAnsi="宋体" w:eastAsia="宋体" w:cs="宋体"/>
          <w:sz w:val="28"/>
          <w:szCs w:val="28"/>
        </w:rPr>
      </w:pPr>
      <w:bookmarkStart w:id="98" w:name="_Toc467302615"/>
      <w:bookmarkStart w:id="99" w:name="_Toc76232176"/>
      <w:bookmarkStart w:id="100" w:name="_Toc76231539"/>
      <w:bookmarkStart w:id="101" w:name="_Toc76231695"/>
      <w:bookmarkStart w:id="102" w:name="_Toc76232022"/>
      <w:bookmarkStart w:id="103" w:name="_Toc76232310"/>
      <w:bookmarkStart w:id="104" w:name="_Toc76231762"/>
      <w:bookmarkStart w:id="105" w:name="_Toc457206129"/>
      <w:bookmarkStart w:id="106" w:name="_Toc76232243"/>
      <w:bookmarkStart w:id="107" w:name="_Toc467953287"/>
      <w:bookmarkStart w:id="108" w:name="_Toc76379153"/>
      <w:bookmarkStart w:id="109" w:name="_Toc468710706"/>
      <w:bookmarkStart w:id="110" w:name="_Toc469304646"/>
      <w:bookmarkStart w:id="111" w:name="_Toc486170477"/>
      <w:bookmarkStart w:id="112" w:name="_Toc15603123"/>
      <w:bookmarkStart w:id="113" w:name="_Toc501640971"/>
      <w:bookmarkStart w:id="114" w:name="_Toc75803803"/>
      <w:bookmarkStart w:id="115" w:name="_Toc13877"/>
      <w:r>
        <w:rPr>
          <w:rFonts w:hint="eastAsia" w:ascii="宋体" w:hAnsi="宋体" w:eastAsia="宋体" w:cs="宋体"/>
          <w:sz w:val="28"/>
          <w:szCs w:val="28"/>
        </w:rPr>
        <w:t>设备安装、调试</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Pr>
          <w:rFonts w:hint="eastAsia" w:ascii="宋体" w:hAnsi="宋体" w:eastAsia="宋体" w:cs="宋体"/>
          <w:sz w:val="28"/>
          <w:szCs w:val="28"/>
        </w:rPr>
        <w:t>及验收</w:t>
      </w:r>
      <w:bookmarkEnd w:id="112"/>
      <w:bookmarkEnd w:id="113"/>
      <w:bookmarkEnd w:id="114"/>
      <w:bookmarkEnd w:id="115"/>
    </w:p>
    <w:p>
      <w:pPr>
        <w:pStyle w:val="3"/>
        <w:tabs>
          <w:tab w:val="left" w:pos="420"/>
        </w:tabs>
        <w:rPr>
          <w:rFonts w:ascii="宋体" w:hAnsi="宋体" w:eastAsia="宋体" w:cs="宋体"/>
          <w:sz w:val="24"/>
          <w:szCs w:val="24"/>
        </w:rPr>
      </w:pPr>
      <w:bookmarkStart w:id="116" w:name="_Toc475911870"/>
      <w:bookmarkEnd w:id="116"/>
      <w:bookmarkStart w:id="117" w:name="_Toc475911871"/>
      <w:bookmarkEnd w:id="117"/>
      <w:bookmarkStart w:id="118" w:name="_Toc15603124"/>
      <w:bookmarkStart w:id="119" w:name="_Toc467953288"/>
      <w:bookmarkStart w:id="120" w:name="_Toc76232177"/>
      <w:bookmarkStart w:id="121" w:name="_Toc468710707"/>
      <w:bookmarkStart w:id="122" w:name="_Toc76379155"/>
      <w:bookmarkStart w:id="123" w:name="_Toc486170478"/>
      <w:bookmarkStart w:id="124" w:name="_Toc467302616"/>
      <w:bookmarkStart w:id="125" w:name="_Toc76231540"/>
      <w:bookmarkStart w:id="126" w:name="_Toc76232311"/>
      <w:bookmarkStart w:id="127" w:name="_Toc23537"/>
      <w:bookmarkStart w:id="128" w:name="_Toc457206130"/>
      <w:bookmarkStart w:id="129" w:name="_Toc76232244"/>
      <w:bookmarkStart w:id="130" w:name="_Toc76231696"/>
      <w:bookmarkStart w:id="131" w:name="_Toc75803804"/>
      <w:bookmarkStart w:id="132" w:name="_Toc469304647"/>
      <w:bookmarkStart w:id="133" w:name="_Toc76231763"/>
      <w:bookmarkStart w:id="134" w:name="_Toc76231894"/>
      <w:bookmarkStart w:id="135" w:name="_Toc501640972"/>
      <w:bookmarkStart w:id="136" w:name="_Toc76232023"/>
      <w:r>
        <w:rPr>
          <w:rFonts w:hint="eastAsia" w:ascii="宋体" w:hAnsi="宋体" w:eastAsia="宋体" w:cs="宋体"/>
          <w:sz w:val="24"/>
          <w:szCs w:val="24"/>
        </w:rPr>
        <w:t>交货</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pPr>
        <w:spacing w:line="360" w:lineRule="auto"/>
        <w:ind w:firstLine="420"/>
        <w:rPr>
          <w:rFonts w:ascii="宋体" w:hAnsi="宋体"/>
          <w:color w:val="000000"/>
          <w:szCs w:val="21"/>
        </w:rPr>
      </w:pPr>
      <w:r>
        <w:rPr>
          <w:rFonts w:hint="eastAsia" w:ascii="宋体" w:hAnsi="宋体"/>
          <w:color w:val="000000"/>
          <w:szCs w:val="21"/>
        </w:rPr>
        <w:t>标的提供的时间：</w:t>
      </w:r>
      <w:r>
        <w:rPr>
          <w:rFonts w:ascii="宋体" w:hAnsi="宋体"/>
          <w:color w:val="000000"/>
          <w:szCs w:val="21"/>
        </w:rPr>
        <w:t>自合同签订之日起</w:t>
      </w:r>
      <w:r>
        <w:rPr>
          <w:rFonts w:hint="eastAsia" w:ascii="宋体" w:hAnsi="宋体"/>
          <w:color w:val="000000"/>
          <w:szCs w:val="21"/>
        </w:rPr>
        <w:t>3</w:t>
      </w:r>
      <w:r>
        <w:rPr>
          <w:rFonts w:ascii="宋体" w:hAnsi="宋体"/>
          <w:color w:val="000000"/>
          <w:szCs w:val="21"/>
        </w:rPr>
        <w:t>个月内完成，按照国家、广东省以及湛江市普查工作最新进度安排和要求如期完成普查各个环节工作。</w:t>
      </w:r>
      <w:r>
        <w:rPr>
          <w:rFonts w:hint="eastAsia" w:ascii="宋体" w:hAnsi="宋体"/>
          <w:color w:val="000000"/>
          <w:szCs w:val="21"/>
          <w:lang w:eastAsia="zh-CN"/>
        </w:rPr>
        <w:t>中选</w:t>
      </w:r>
      <w:r>
        <w:rPr>
          <w:rFonts w:ascii="宋体" w:hAnsi="宋体"/>
          <w:color w:val="000000"/>
          <w:szCs w:val="21"/>
        </w:rPr>
        <w:t>人待</w:t>
      </w:r>
      <w:r>
        <w:rPr>
          <w:rFonts w:hint="eastAsia" w:ascii="宋体" w:hAnsi="宋体"/>
          <w:color w:val="000000"/>
          <w:szCs w:val="21"/>
        </w:rPr>
        <w:t>遂溪县</w:t>
      </w:r>
      <w:r>
        <w:rPr>
          <w:rFonts w:ascii="宋体" w:hAnsi="宋体"/>
          <w:color w:val="000000"/>
          <w:szCs w:val="21"/>
        </w:rPr>
        <w:t>普查工作全面结束且验收合格后方可结束服务。</w:t>
      </w:r>
    </w:p>
    <w:p>
      <w:pPr>
        <w:spacing w:line="360" w:lineRule="auto"/>
        <w:ind w:firstLine="420"/>
        <w:rPr>
          <w:rFonts w:ascii="宋体" w:hAnsi="宋体"/>
          <w:color w:val="000000"/>
          <w:szCs w:val="21"/>
        </w:rPr>
      </w:pPr>
      <w:r>
        <w:rPr>
          <w:rFonts w:hint="eastAsia" w:ascii="宋体" w:hAnsi="宋体"/>
          <w:color w:val="000000"/>
          <w:szCs w:val="21"/>
        </w:rPr>
        <w:t>标的提供的地点：</w:t>
      </w:r>
      <w:r>
        <w:rPr>
          <w:sz w:val="19"/>
        </w:rPr>
        <w:t>采购人指定地点。</w:t>
      </w:r>
    </w:p>
    <w:p>
      <w:pPr>
        <w:pStyle w:val="3"/>
        <w:tabs>
          <w:tab w:val="left" w:pos="420"/>
        </w:tabs>
        <w:rPr>
          <w:rFonts w:ascii="宋体" w:hAnsi="宋体" w:eastAsia="宋体" w:cs="宋体"/>
          <w:sz w:val="24"/>
          <w:szCs w:val="24"/>
        </w:rPr>
      </w:pPr>
      <w:bookmarkStart w:id="137" w:name="_Toc475911881"/>
      <w:bookmarkEnd w:id="137"/>
      <w:bookmarkStart w:id="138" w:name="_Toc475911883"/>
      <w:bookmarkEnd w:id="138"/>
      <w:bookmarkStart w:id="139" w:name="_Toc475911882"/>
      <w:bookmarkEnd w:id="139"/>
      <w:bookmarkStart w:id="140" w:name="_Toc475911876"/>
      <w:bookmarkEnd w:id="140"/>
      <w:bookmarkStart w:id="141" w:name="_Toc475911875"/>
      <w:bookmarkEnd w:id="141"/>
      <w:bookmarkStart w:id="142" w:name="_Toc475911880"/>
      <w:bookmarkEnd w:id="142"/>
      <w:bookmarkStart w:id="143" w:name="_Toc475911877"/>
      <w:bookmarkEnd w:id="143"/>
      <w:bookmarkStart w:id="144" w:name="_Toc475911878"/>
      <w:bookmarkEnd w:id="144"/>
      <w:bookmarkStart w:id="145" w:name="_Toc475911884"/>
      <w:bookmarkEnd w:id="145"/>
      <w:bookmarkStart w:id="146" w:name="_Toc475911873"/>
      <w:bookmarkEnd w:id="146"/>
      <w:bookmarkStart w:id="147" w:name="_Toc475911879"/>
      <w:bookmarkEnd w:id="147"/>
      <w:bookmarkStart w:id="148" w:name="_Toc469304650"/>
      <w:bookmarkStart w:id="149" w:name="_Toc468710710"/>
      <w:bookmarkStart w:id="150" w:name="_Toc76379158"/>
      <w:bookmarkStart w:id="151" w:name="_Toc13546"/>
      <w:bookmarkStart w:id="152" w:name="_Toc457206133"/>
      <w:bookmarkStart w:id="153" w:name="_Toc486170481"/>
      <w:bookmarkStart w:id="154" w:name="_Toc467953291"/>
      <w:bookmarkStart w:id="155" w:name="_Toc76231699"/>
      <w:bookmarkStart w:id="156" w:name="_Toc76232180"/>
      <w:bookmarkStart w:id="157" w:name="_Toc76232026"/>
      <w:bookmarkStart w:id="158" w:name="_Toc76232247"/>
      <w:bookmarkStart w:id="159" w:name="_Toc76231897"/>
      <w:bookmarkStart w:id="160" w:name="_Toc15603126"/>
      <w:bookmarkStart w:id="161" w:name="_Toc467302619"/>
      <w:bookmarkStart w:id="162" w:name="_Toc75803806"/>
      <w:bookmarkStart w:id="163" w:name="_Toc76232314"/>
      <w:bookmarkStart w:id="164" w:name="_Toc76231543"/>
      <w:bookmarkStart w:id="165" w:name="_Toc501640974"/>
      <w:bookmarkStart w:id="166" w:name="_Toc76231766"/>
      <w:r>
        <w:rPr>
          <w:rFonts w:hint="eastAsia" w:ascii="宋体" w:hAnsi="宋体" w:eastAsia="宋体" w:cs="宋体"/>
          <w:sz w:val="24"/>
          <w:szCs w:val="24"/>
        </w:rPr>
        <w:t>验收</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pPr>
        <w:spacing w:line="360" w:lineRule="auto"/>
        <w:ind w:firstLine="420"/>
        <w:rPr>
          <w:rFonts w:ascii="宋体" w:hAnsi="宋体"/>
          <w:color w:val="000000"/>
          <w:szCs w:val="21"/>
        </w:rPr>
      </w:pPr>
      <w:r>
        <w:rPr>
          <w:rFonts w:hint="eastAsia" w:ascii="宋体" w:hAnsi="宋体"/>
          <w:color w:val="000000"/>
          <w:szCs w:val="21"/>
        </w:rPr>
        <w:t>验收由湛江分公司和</w:t>
      </w:r>
      <w:r>
        <w:rPr>
          <w:rFonts w:hint="eastAsia" w:ascii="宋体" w:hAnsi="宋体"/>
          <w:color w:val="000000"/>
          <w:szCs w:val="21"/>
          <w:lang w:eastAsia="zh-CN"/>
        </w:rPr>
        <w:t>中选</w:t>
      </w:r>
      <w:r>
        <w:rPr>
          <w:rFonts w:hint="eastAsia" w:ascii="宋体" w:hAnsi="宋体"/>
          <w:color w:val="000000"/>
          <w:szCs w:val="21"/>
        </w:rPr>
        <w:t>人双方共同参与完成，按国家有关规定、规范进行。</w:t>
      </w:r>
    </w:p>
    <w:p>
      <w:pPr>
        <w:numPr>
          <w:ilvl w:val="0"/>
          <w:numId w:val="2"/>
        </w:numPr>
        <w:spacing w:line="360" w:lineRule="auto"/>
        <w:rPr>
          <w:rFonts w:ascii="宋体" w:hAnsi="宋体"/>
          <w:color w:val="000000"/>
          <w:szCs w:val="21"/>
        </w:rPr>
      </w:pPr>
      <w:r>
        <w:rPr>
          <w:rFonts w:hint="eastAsia" w:ascii="宋体" w:hAnsi="宋体"/>
          <w:color w:val="000000"/>
          <w:szCs w:val="21"/>
        </w:rPr>
        <w:t>由采购人和</w:t>
      </w:r>
      <w:r>
        <w:rPr>
          <w:rFonts w:hint="eastAsia" w:ascii="宋体" w:hAnsi="宋体"/>
          <w:color w:val="000000"/>
          <w:szCs w:val="21"/>
          <w:lang w:eastAsia="zh-CN"/>
        </w:rPr>
        <w:t>中选</w:t>
      </w:r>
      <w:r>
        <w:rPr>
          <w:rFonts w:hint="eastAsia" w:ascii="宋体" w:hAnsi="宋体"/>
          <w:color w:val="000000"/>
          <w:szCs w:val="21"/>
        </w:rPr>
        <w:t xml:space="preserve">人双方按照合同要求，一同对服务内容验收，并在“验收书”上签字确认。 </w:t>
      </w:r>
    </w:p>
    <w:p>
      <w:pPr>
        <w:numPr>
          <w:ilvl w:val="0"/>
          <w:numId w:val="2"/>
        </w:numPr>
        <w:spacing w:line="360" w:lineRule="auto"/>
        <w:rPr>
          <w:rFonts w:ascii="宋体" w:hAnsi="宋体"/>
          <w:color w:val="000000"/>
          <w:szCs w:val="21"/>
        </w:rPr>
      </w:pPr>
      <w:r>
        <w:rPr>
          <w:rFonts w:hint="eastAsia" w:ascii="宋体" w:hAnsi="宋体"/>
          <w:color w:val="000000"/>
          <w:szCs w:val="21"/>
        </w:rPr>
        <w:t>验收通过后7个工作日内，采购人出具验收报告给</w:t>
      </w:r>
      <w:r>
        <w:rPr>
          <w:rFonts w:hint="eastAsia" w:ascii="宋体" w:hAnsi="宋体"/>
          <w:color w:val="000000"/>
          <w:szCs w:val="21"/>
          <w:lang w:eastAsia="zh-CN"/>
        </w:rPr>
        <w:t>中选</w:t>
      </w:r>
      <w:r>
        <w:rPr>
          <w:rFonts w:hint="eastAsia" w:ascii="宋体" w:hAnsi="宋体"/>
          <w:color w:val="000000"/>
          <w:szCs w:val="21"/>
        </w:rPr>
        <w:t>人。</w:t>
      </w:r>
    </w:p>
    <w:p>
      <w:pPr>
        <w:pStyle w:val="2"/>
        <w:rPr>
          <w:rFonts w:ascii="宋体" w:hAnsi="宋体" w:eastAsia="宋体" w:cs="宋体"/>
          <w:sz w:val="28"/>
          <w:szCs w:val="28"/>
        </w:rPr>
      </w:pPr>
      <w:bookmarkStart w:id="167" w:name="_Toc501640975"/>
      <w:bookmarkStart w:id="168" w:name="_Toc8229"/>
      <w:bookmarkStart w:id="169" w:name="_Toc15603127"/>
      <w:bookmarkStart w:id="170" w:name="_Toc75803807"/>
      <w:r>
        <w:rPr>
          <w:rFonts w:hint="eastAsia" w:ascii="宋体" w:hAnsi="宋体" w:eastAsia="宋体" w:cs="宋体"/>
          <w:sz w:val="28"/>
          <w:szCs w:val="28"/>
        </w:rPr>
        <w:t>售后服务</w:t>
      </w:r>
      <w:bookmarkEnd w:id="167"/>
      <w:bookmarkEnd w:id="168"/>
      <w:bookmarkEnd w:id="169"/>
      <w:bookmarkEnd w:id="170"/>
    </w:p>
    <w:p>
      <w:pPr>
        <w:pStyle w:val="3"/>
        <w:rPr>
          <w:rFonts w:ascii="宋体" w:hAnsi="宋体" w:eastAsia="宋体"/>
          <w:b w:val="0"/>
          <w:bCs w:val="0"/>
          <w:color w:val="000000"/>
          <w:sz w:val="21"/>
          <w:szCs w:val="21"/>
        </w:rPr>
      </w:pPr>
      <w:bookmarkStart w:id="171" w:name="_Toc15853"/>
      <w:r>
        <w:rPr>
          <w:rFonts w:hint="eastAsia" w:ascii="宋体" w:hAnsi="宋体" w:eastAsia="宋体"/>
          <w:b w:val="0"/>
          <w:bCs w:val="0"/>
          <w:color w:val="000000"/>
          <w:sz w:val="21"/>
          <w:szCs w:val="21"/>
        </w:rPr>
        <w:t>合同签订后，1个月内完成相关方案的编制工作和人员培训工作；数据调查、技术指导和质检核查工作按照国家统一安排部署，全县普查总体时间按照国家最新时间要求执行。</w:t>
      </w:r>
      <w:bookmarkEnd w:id="171"/>
    </w:p>
    <w:p>
      <w:pPr>
        <w:pStyle w:val="3"/>
        <w:rPr>
          <w:rFonts w:ascii="宋体" w:hAnsi="宋体" w:eastAsia="宋体"/>
          <w:b w:val="0"/>
          <w:bCs w:val="0"/>
          <w:color w:val="000000"/>
          <w:sz w:val="21"/>
          <w:szCs w:val="21"/>
        </w:rPr>
      </w:pPr>
      <w:bookmarkStart w:id="172" w:name="_Toc16476"/>
      <w:r>
        <w:rPr>
          <w:rFonts w:hint="eastAsia" w:ascii="宋体" w:hAnsi="宋体" w:eastAsia="宋体"/>
          <w:b w:val="0"/>
          <w:bCs w:val="0"/>
          <w:color w:val="000000"/>
          <w:sz w:val="21"/>
          <w:szCs w:val="21"/>
        </w:rPr>
        <w:t>项目实施中涉及到的相关保密数据、资料、文档等按照相应相关保密规定执行，</w:t>
      </w:r>
      <w:r>
        <w:rPr>
          <w:rFonts w:hint="eastAsia" w:ascii="宋体" w:hAnsi="宋体" w:eastAsia="宋体"/>
          <w:b w:val="0"/>
          <w:bCs w:val="0"/>
          <w:color w:val="000000"/>
          <w:sz w:val="21"/>
          <w:szCs w:val="21"/>
          <w:lang w:eastAsia="zh-CN"/>
        </w:rPr>
        <w:t>中选</w:t>
      </w:r>
      <w:r>
        <w:rPr>
          <w:rFonts w:hint="eastAsia" w:ascii="宋体" w:hAnsi="宋体" w:eastAsia="宋体"/>
          <w:b w:val="0"/>
          <w:bCs w:val="0"/>
          <w:color w:val="000000"/>
          <w:sz w:val="21"/>
          <w:szCs w:val="21"/>
        </w:rPr>
        <w:t>人有对资料保密的义务。不得以商业目的使用该资料或者开发和生产其他产品；</w:t>
      </w:r>
      <w:r>
        <w:rPr>
          <w:rFonts w:hint="eastAsia" w:ascii="宋体" w:hAnsi="宋体" w:eastAsia="宋体"/>
          <w:b w:val="0"/>
          <w:bCs w:val="0"/>
          <w:color w:val="000000"/>
          <w:sz w:val="21"/>
          <w:szCs w:val="21"/>
          <w:lang w:eastAsia="zh-CN"/>
        </w:rPr>
        <w:t>中选</w:t>
      </w:r>
      <w:r>
        <w:rPr>
          <w:rFonts w:hint="eastAsia" w:ascii="宋体" w:hAnsi="宋体" w:eastAsia="宋体"/>
          <w:b w:val="0"/>
          <w:bCs w:val="0"/>
          <w:color w:val="000000"/>
          <w:sz w:val="21"/>
          <w:szCs w:val="21"/>
        </w:rPr>
        <w:t>人可根据需 要对资料内容进行必要的修改和对数据格式进行转换，但未经许可，不得将修改、转换后的数据对外发布和提供。</w:t>
      </w:r>
      <w:bookmarkEnd w:id="172"/>
    </w:p>
    <w:p>
      <w:pPr>
        <w:pStyle w:val="3"/>
        <w:rPr>
          <w:rFonts w:ascii="宋体" w:hAnsi="宋体" w:eastAsia="宋体"/>
          <w:b w:val="0"/>
          <w:bCs w:val="0"/>
          <w:color w:val="000000"/>
          <w:sz w:val="21"/>
          <w:szCs w:val="21"/>
        </w:rPr>
      </w:pPr>
      <w:bookmarkStart w:id="173" w:name="_Toc30510"/>
      <w:r>
        <w:rPr>
          <w:rFonts w:hint="eastAsia" w:ascii="宋体" w:hAnsi="宋体" w:eastAsia="宋体"/>
          <w:b w:val="0"/>
          <w:bCs w:val="0"/>
          <w:color w:val="000000"/>
          <w:sz w:val="21"/>
          <w:szCs w:val="21"/>
        </w:rPr>
        <w:t>提供12个月售后服务。</w:t>
      </w:r>
      <w:bookmarkEnd w:id="173"/>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ongti SC Regular">
    <w:altName w:val="微软雅黑 Light"/>
    <w:panose1 w:val="00000000000000000000"/>
    <w:charset w:val="86"/>
    <w:family w:val="auto"/>
    <w:pitch w:val="default"/>
    <w:sig w:usb0="00000000" w:usb1="00000000" w:usb2="00000000" w:usb3="00000000" w:csb0="00040000"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4910302"/>
    </w:sdtPr>
    <w:sdtContent>
      <w:sdt>
        <w:sdtPr>
          <w:id w:val="1728636285"/>
        </w:sdtPr>
        <w:sdtContent>
          <w:p>
            <w:pPr>
              <w:pStyle w:val="11"/>
              <w:jc w:val="center"/>
            </w:pPr>
            <w:r>
              <w:rPr>
                <w:lang w:val="zh-CN"/>
              </w:rPr>
              <w:t xml:space="preserve"> </w:t>
            </w:r>
            <w:r>
              <w:rPr>
                <w:b/>
                <w:bCs/>
                <w:sz w:val="24"/>
              </w:rPr>
              <w:fldChar w:fldCharType="begin"/>
            </w:r>
            <w:r>
              <w:rPr>
                <w:b/>
                <w:bCs/>
              </w:rPr>
              <w:instrText xml:space="preserve">PAGE</w:instrText>
            </w:r>
            <w:r>
              <w:rPr>
                <w:b/>
                <w:bCs/>
                <w:sz w:val="24"/>
              </w:rPr>
              <w:fldChar w:fldCharType="separate"/>
            </w:r>
            <w:r>
              <w:rPr>
                <w:b/>
                <w:bCs/>
              </w:rPr>
              <w:t>2</w:t>
            </w:r>
            <w:r>
              <w:rPr>
                <w:b/>
                <w:bCs/>
                <w:sz w:val="24"/>
              </w:rPr>
              <w:fldChar w:fldCharType="end"/>
            </w:r>
            <w:r>
              <w:rPr>
                <w:lang w:val="zh-CN"/>
              </w:rPr>
              <w:t xml:space="preserve"> / </w:t>
            </w:r>
            <w:r>
              <w:rPr>
                <w:b/>
                <w:bCs/>
                <w:sz w:val="24"/>
              </w:rPr>
              <w:fldChar w:fldCharType="begin"/>
            </w:r>
            <w:r>
              <w:rPr>
                <w:b/>
                <w:bCs/>
              </w:rPr>
              <w:instrText xml:space="preserve">NUMPAGES</w:instrText>
            </w:r>
            <w:r>
              <w:rPr>
                <w:b/>
                <w:bCs/>
                <w:sz w:val="24"/>
              </w:rPr>
              <w:fldChar w:fldCharType="separate"/>
            </w:r>
            <w:r>
              <w:rPr>
                <w:b/>
                <w:bCs/>
              </w:rPr>
              <w:t>16</w:t>
            </w:r>
            <w:r>
              <w:rPr>
                <w:b/>
                <w:bCs/>
                <w:sz w:val="24"/>
              </w:rPr>
              <w:fldChar w:fldCharType="end"/>
            </w:r>
          </w:p>
        </w:sdtContent>
      </w:sdt>
    </w:sdtContent>
  </w:sdt>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F1D56C"/>
    <w:multiLevelType w:val="singleLevel"/>
    <w:tmpl w:val="DDF1D56C"/>
    <w:lvl w:ilvl="0" w:tentative="0">
      <w:start w:val="1"/>
      <w:numFmt w:val="decimal"/>
      <w:suff w:val="nothing"/>
      <w:lvlText w:val="%1）"/>
      <w:lvlJc w:val="left"/>
      <w:pPr>
        <w:ind w:left="525" w:firstLine="0"/>
      </w:pPr>
    </w:lvl>
  </w:abstractNum>
  <w:abstractNum w:abstractNumId="1">
    <w:nsid w:val="2F9A5152"/>
    <w:multiLevelType w:val="multilevel"/>
    <w:tmpl w:val="2F9A5152"/>
    <w:lvl w:ilvl="0" w:tentative="0">
      <w:start w:val="1"/>
      <w:numFmt w:val="decimal"/>
      <w:pStyle w:val="2"/>
      <w:lvlText w:val="%1"/>
      <w:lvlJc w:val="left"/>
      <w:pPr>
        <w:ind w:left="425" w:hanging="425"/>
      </w:pPr>
      <w:rPr>
        <w:rFonts w:hint="eastAsia"/>
        <w:sz w:val="28"/>
        <w:szCs w:val="28"/>
      </w:rPr>
    </w:lvl>
    <w:lvl w:ilvl="1" w:tentative="0">
      <w:start w:val="1"/>
      <w:numFmt w:val="decimal"/>
      <w:pStyle w:val="3"/>
      <w:isLgl/>
      <w:lvlText w:val="%1.%2"/>
      <w:lvlJc w:val="left"/>
      <w:pPr>
        <w:ind w:left="992" w:hanging="567"/>
      </w:pPr>
      <w:rPr>
        <w:rFonts w:hint="eastAsia"/>
      </w:rPr>
    </w:lvl>
    <w:lvl w:ilvl="2" w:tentative="0">
      <w:start w:val="1"/>
      <w:numFmt w:val="decimal"/>
      <w:pStyle w:val="4"/>
      <w:isLgl/>
      <w:lvlText w:val="%1.%2.%3"/>
      <w:lvlJc w:val="left"/>
      <w:pPr>
        <w:ind w:left="1418" w:hanging="567"/>
      </w:pPr>
      <w:rPr>
        <w:rFonts w:hint="eastAsia"/>
      </w:rPr>
    </w:lvl>
    <w:lvl w:ilvl="3" w:tentative="0">
      <w:start w:val="1"/>
      <w:numFmt w:val="decimal"/>
      <w:isLgl/>
      <w:lvlText w:val="%1.%2.%3.%4"/>
      <w:lvlJc w:val="left"/>
      <w:pPr>
        <w:ind w:left="1984" w:hanging="708"/>
      </w:pPr>
      <w:rPr>
        <w:rFonts w:hint="eastAsia"/>
      </w:rPr>
    </w:lvl>
    <w:lvl w:ilvl="4" w:tentative="0">
      <w:start w:val="1"/>
      <w:numFmt w:val="decimal"/>
      <w:isLg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BhYTBkNzIyMzI2Y2Q5ZTRmMGE1MzZhYjFhYjI3MmIifQ=="/>
  </w:docVars>
  <w:rsids>
    <w:rsidRoot w:val="00E9554F"/>
    <w:rsid w:val="00005760"/>
    <w:rsid w:val="00013883"/>
    <w:rsid w:val="00013CB7"/>
    <w:rsid w:val="000469A2"/>
    <w:rsid w:val="0008048A"/>
    <w:rsid w:val="000938F6"/>
    <w:rsid w:val="0009732E"/>
    <w:rsid w:val="000A0826"/>
    <w:rsid w:val="000A15C9"/>
    <w:rsid w:val="000E33F9"/>
    <w:rsid w:val="00103567"/>
    <w:rsid w:val="00114824"/>
    <w:rsid w:val="00130FA3"/>
    <w:rsid w:val="00163D42"/>
    <w:rsid w:val="001C540B"/>
    <w:rsid w:val="00220DD4"/>
    <w:rsid w:val="002336FA"/>
    <w:rsid w:val="002537C3"/>
    <w:rsid w:val="00300F03"/>
    <w:rsid w:val="00307C9D"/>
    <w:rsid w:val="003505F3"/>
    <w:rsid w:val="00410364"/>
    <w:rsid w:val="00421D0D"/>
    <w:rsid w:val="00495D15"/>
    <w:rsid w:val="00503953"/>
    <w:rsid w:val="00524441"/>
    <w:rsid w:val="00530DEC"/>
    <w:rsid w:val="00540E4E"/>
    <w:rsid w:val="0054644B"/>
    <w:rsid w:val="005545FC"/>
    <w:rsid w:val="0059061B"/>
    <w:rsid w:val="00594BD4"/>
    <w:rsid w:val="005A70F2"/>
    <w:rsid w:val="005E79DA"/>
    <w:rsid w:val="00676235"/>
    <w:rsid w:val="0069470F"/>
    <w:rsid w:val="006A1832"/>
    <w:rsid w:val="00702719"/>
    <w:rsid w:val="00787C09"/>
    <w:rsid w:val="00797B3B"/>
    <w:rsid w:val="007C11C1"/>
    <w:rsid w:val="007C2CDB"/>
    <w:rsid w:val="007D4CFE"/>
    <w:rsid w:val="00874951"/>
    <w:rsid w:val="008D153B"/>
    <w:rsid w:val="008D6FC1"/>
    <w:rsid w:val="0096033E"/>
    <w:rsid w:val="009A3DF0"/>
    <w:rsid w:val="009B4CF7"/>
    <w:rsid w:val="009B7779"/>
    <w:rsid w:val="009C5B7A"/>
    <w:rsid w:val="009D7E5E"/>
    <w:rsid w:val="009F32AA"/>
    <w:rsid w:val="00A2396E"/>
    <w:rsid w:val="00A610BC"/>
    <w:rsid w:val="00A73939"/>
    <w:rsid w:val="00B04460"/>
    <w:rsid w:val="00B0649A"/>
    <w:rsid w:val="00B7745C"/>
    <w:rsid w:val="00C24BD9"/>
    <w:rsid w:val="00C30909"/>
    <w:rsid w:val="00C659B3"/>
    <w:rsid w:val="00CF35F6"/>
    <w:rsid w:val="00D41F3F"/>
    <w:rsid w:val="00D80DCD"/>
    <w:rsid w:val="00DA1510"/>
    <w:rsid w:val="00DC448B"/>
    <w:rsid w:val="00E23EC7"/>
    <w:rsid w:val="00E4162C"/>
    <w:rsid w:val="00E6165D"/>
    <w:rsid w:val="00E91CA4"/>
    <w:rsid w:val="00E9554F"/>
    <w:rsid w:val="00EA4F79"/>
    <w:rsid w:val="00EE7920"/>
    <w:rsid w:val="00F031E1"/>
    <w:rsid w:val="00F17796"/>
    <w:rsid w:val="00F73C6A"/>
    <w:rsid w:val="00FD1A83"/>
    <w:rsid w:val="01853E11"/>
    <w:rsid w:val="01AC3A93"/>
    <w:rsid w:val="01D60AF8"/>
    <w:rsid w:val="02392DC9"/>
    <w:rsid w:val="02BC3862"/>
    <w:rsid w:val="04ED064B"/>
    <w:rsid w:val="04F2181E"/>
    <w:rsid w:val="056B1570"/>
    <w:rsid w:val="05D16C11"/>
    <w:rsid w:val="070C28DE"/>
    <w:rsid w:val="07591FC8"/>
    <w:rsid w:val="08850B9A"/>
    <w:rsid w:val="0BA6332F"/>
    <w:rsid w:val="0C2E2F63"/>
    <w:rsid w:val="0F692FC4"/>
    <w:rsid w:val="107E65FB"/>
    <w:rsid w:val="12643F6B"/>
    <w:rsid w:val="15904894"/>
    <w:rsid w:val="15B81E40"/>
    <w:rsid w:val="180025B2"/>
    <w:rsid w:val="18502F73"/>
    <w:rsid w:val="18585288"/>
    <w:rsid w:val="190F698A"/>
    <w:rsid w:val="19314B52"/>
    <w:rsid w:val="1A5C1747"/>
    <w:rsid w:val="1B0B0CD8"/>
    <w:rsid w:val="1B5A6313"/>
    <w:rsid w:val="1B9A08C3"/>
    <w:rsid w:val="1C8F1B5D"/>
    <w:rsid w:val="1D214EDE"/>
    <w:rsid w:val="1E75164C"/>
    <w:rsid w:val="1E7A6976"/>
    <w:rsid w:val="1F243668"/>
    <w:rsid w:val="1F7A2BE2"/>
    <w:rsid w:val="1FB7540E"/>
    <w:rsid w:val="1FD06747"/>
    <w:rsid w:val="2150320D"/>
    <w:rsid w:val="22590860"/>
    <w:rsid w:val="230C7214"/>
    <w:rsid w:val="25A20B86"/>
    <w:rsid w:val="25FA2770"/>
    <w:rsid w:val="26D0702D"/>
    <w:rsid w:val="27171CED"/>
    <w:rsid w:val="28060F58"/>
    <w:rsid w:val="29FB7E84"/>
    <w:rsid w:val="2B09434C"/>
    <w:rsid w:val="2CA84CD4"/>
    <w:rsid w:val="2CE64C6F"/>
    <w:rsid w:val="2D4C255B"/>
    <w:rsid w:val="2D852A61"/>
    <w:rsid w:val="2E3D64AF"/>
    <w:rsid w:val="2EEF70B9"/>
    <w:rsid w:val="2FA6671D"/>
    <w:rsid w:val="30422D49"/>
    <w:rsid w:val="316F4012"/>
    <w:rsid w:val="31E64731"/>
    <w:rsid w:val="32043298"/>
    <w:rsid w:val="321A14D6"/>
    <w:rsid w:val="32AB72CC"/>
    <w:rsid w:val="32B03E9E"/>
    <w:rsid w:val="33024A12"/>
    <w:rsid w:val="33C142EC"/>
    <w:rsid w:val="33E800AC"/>
    <w:rsid w:val="352324B1"/>
    <w:rsid w:val="35C47185"/>
    <w:rsid w:val="368F6734"/>
    <w:rsid w:val="36A05164"/>
    <w:rsid w:val="387939C8"/>
    <w:rsid w:val="3891486E"/>
    <w:rsid w:val="394B59F6"/>
    <w:rsid w:val="3954311F"/>
    <w:rsid w:val="3A0D4D7E"/>
    <w:rsid w:val="3C853908"/>
    <w:rsid w:val="3DC76F84"/>
    <w:rsid w:val="3EC46564"/>
    <w:rsid w:val="3F560A40"/>
    <w:rsid w:val="40CE69A1"/>
    <w:rsid w:val="42853187"/>
    <w:rsid w:val="445A7B54"/>
    <w:rsid w:val="45AE2646"/>
    <w:rsid w:val="466E61EE"/>
    <w:rsid w:val="477535AD"/>
    <w:rsid w:val="49AD2D5D"/>
    <w:rsid w:val="4A30526B"/>
    <w:rsid w:val="4AB47C17"/>
    <w:rsid w:val="4D620D32"/>
    <w:rsid w:val="4F834ECC"/>
    <w:rsid w:val="4F954258"/>
    <w:rsid w:val="4FCD0E71"/>
    <w:rsid w:val="4FD37ECC"/>
    <w:rsid w:val="50151DD1"/>
    <w:rsid w:val="504601DC"/>
    <w:rsid w:val="509225E1"/>
    <w:rsid w:val="55D7651A"/>
    <w:rsid w:val="571B5705"/>
    <w:rsid w:val="58837389"/>
    <w:rsid w:val="59CF4D9E"/>
    <w:rsid w:val="5A386DE8"/>
    <w:rsid w:val="5AEE2091"/>
    <w:rsid w:val="5B305469"/>
    <w:rsid w:val="5C385FFB"/>
    <w:rsid w:val="5D2A7E12"/>
    <w:rsid w:val="5EAC38D8"/>
    <w:rsid w:val="5FB16063"/>
    <w:rsid w:val="6006114B"/>
    <w:rsid w:val="61A17D62"/>
    <w:rsid w:val="624B6B48"/>
    <w:rsid w:val="62774225"/>
    <w:rsid w:val="628F4D65"/>
    <w:rsid w:val="65041EBA"/>
    <w:rsid w:val="669F5FBA"/>
    <w:rsid w:val="66FA059B"/>
    <w:rsid w:val="678B487D"/>
    <w:rsid w:val="67C16124"/>
    <w:rsid w:val="68680248"/>
    <w:rsid w:val="6A6A2F7E"/>
    <w:rsid w:val="6BBB77DC"/>
    <w:rsid w:val="6E4E0530"/>
    <w:rsid w:val="70182F3F"/>
    <w:rsid w:val="70521241"/>
    <w:rsid w:val="707B4089"/>
    <w:rsid w:val="707C5666"/>
    <w:rsid w:val="70E94540"/>
    <w:rsid w:val="71A566B9"/>
    <w:rsid w:val="71A964DF"/>
    <w:rsid w:val="72BE7763"/>
    <w:rsid w:val="742D6622"/>
    <w:rsid w:val="74A83637"/>
    <w:rsid w:val="778C7525"/>
    <w:rsid w:val="77F35CA4"/>
    <w:rsid w:val="78BB0EB8"/>
    <w:rsid w:val="798661F3"/>
    <w:rsid w:val="7CCB69C8"/>
    <w:rsid w:val="7D8D08DE"/>
    <w:rsid w:val="7E494870"/>
    <w:rsid w:val="7F6242FF"/>
    <w:rsid w:val="7F8025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iPriority="99"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eastAsia="楷体_GB2312"/>
      <w:b/>
      <w:bCs/>
      <w:kern w:val="44"/>
      <w:sz w:val="44"/>
      <w:szCs w:val="44"/>
    </w:rPr>
  </w:style>
  <w:style w:type="paragraph" w:styleId="3">
    <w:name w:val="heading 2"/>
    <w:basedOn w:val="1"/>
    <w:next w:val="1"/>
    <w:qFormat/>
    <w:uiPriority w:val="0"/>
    <w:pPr>
      <w:keepNext/>
      <w:keepLines/>
      <w:numPr>
        <w:ilvl w:val="1"/>
        <w:numId w:val="1"/>
      </w:numPr>
      <w:spacing w:before="260" w:after="260" w:line="416" w:lineRule="auto"/>
      <w:outlineLvl w:val="1"/>
    </w:pPr>
    <w:rPr>
      <w:rFonts w:ascii="Arial" w:hAnsi="Arial" w:eastAsia="楷体_GB2312"/>
      <w:b/>
      <w:bCs/>
      <w:sz w:val="32"/>
      <w:szCs w:val="32"/>
    </w:rPr>
  </w:style>
  <w:style w:type="paragraph" w:styleId="4">
    <w:name w:val="heading 3"/>
    <w:basedOn w:val="1"/>
    <w:next w:val="1"/>
    <w:qFormat/>
    <w:uiPriority w:val="0"/>
    <w:pPr>
      <w:keepNext/>
      <w:keepLines/>
      <w:numPr>
        <w:ilvl w:val="2"/>
        <w:numId w:val="1"/>
      </w:numPr>
      <w:spacing w:before="260" w:after="260" w:line="416" w:lineRule="auto"/>
      <w:outlineLvl w:val="2"/>
    </w:pPr>
    <w:rPr>
      <w:rFonts w:eastAsia="楷体_GB2312"/>
      <w:b/>
      <w:bCs/>
      <w:sz w:val="32"/>
      <w:szCs w:val="3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napToGrid w:val="0"/>
      <w:spacing w:after="120" w:line="300" w:lineRule="auto"/>
      <w:ind w:firstLine="425"/>
      <w:jc w:val="left"/>
    </w:pPr>
    <w:rPr>
      <w:sz w:val="24"/>
    </w:rPr>
  </w:style>
  <w:style w:type="paragraph" w:styleId="6">
    <w:name w:val="annotation text"/>
    <w:basedOn w:val="1"/>
    <w:link w:val="21"/>
    <w:qFormat/>
    <w:uiPriority w:val="0"/>
    <w:pPr>
      <w:jc w:val="left"/>
    </w:pPr>
  </w:style>
  <w:style w:type="paragraph" w:styleId="7">
    <w:name w:val="Body Text"/>
    <w:basedOn w:val="1"/>
    <w:qFormat/>
    <w:uiPriority w:val="0"/>
    <w:pPr>
      <w:spacing w:after="120"/>
    </w:pPr>
    <w:rPr>
      <w:kern w:val="0"/>
      <w:sz w:val="20"/>
    </w:rPr>
  </w:style>
  <w:style w:type="paragraph" w:styleId="8">
    <w:name w:val="toc 3"/>
    <w:basedOn w:val="1"/>
    <w:next w:val="1"/>
    <w:unhideWhenUsed/>
    <w:qFormat/>
    <w:uiPriority w:val="39"/>
    <w:pPr>
      <w:ind w:left="840" w:leftChars="400"/>
    </w:pPr>
  </w:style>
  <w:style w:type="paragraph" w:styleId="9">
    <w:name w:val="Body Text Indent 2"/>
    <w:basedOn w:val="1"/>
    <w:unhideWhenUsed/>
    <w:qFormat/>
    <w:uiPriority w:val="99"/>
    <w:pPr>
      <w:spacing w:after="120" w:line="480" w:lineRule="auto"/>
      <w:ind w:left="420" w:leftChars="200"/>
    </w:pPr>
  </w:style>
  <w:style w:type="paragraph" w:styleId="10">
    <w:name w:val="Balloon Text"/>
    <w:basedOn w:val="1"/>
    <w:link w:val="23"/>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paragraph" w:styleId="15">
    <w:name w:val="annotation subject"/>
    <w:basedOn w:val="6"/>
    <w:next w:val="6"/>
    <w:link w:val="22"/>
    <w:qFormat/>
    <w:uiPriority w:val="0"/>
    <w:rPr>
      <w:b/>
      <w:bCs/>
    </w:rPr>
  </w:style>
  <w:style w:type="character" w:styleId="18">
    <w:name w:val="Hyperlink"/>
    <w:basedOn w:val="17"/>
    <w:unhideWhenUsed/>
    <w:qFormat/>
    <w:uiPriority w:val="99"/>
    <w:rPr>
      <w:color w:val="0563C1" w:themeColor="hyperlink"/>
      <w:u w:val="single"/>
      <w14:textFill>
        <w14:solidFill>
          <w14:schemeClr w14:val="hlink"/>
        </w14:solidFill>
      </w14:textFill>
    </w:rPr>
  </w:style>
  <w:style w:type="character" w:styleId="19">
    <w:name w:val="annotation reference"/>
    <w:basedOn w:val="17"/>
    <w:qFormat/>
    <w:uiPriority w:val="0"/>
    <w:rPr>
      <w:sz w:val="21"/>
      <w:szCs w:val="21"/>
    </w:rPr>
  </w:style>
  <w:style w:type="paragraph" w:customStyle="1" w:styleId="20">
    <w:name w:val="my"/>
    <w:basedOn w:val="5"/>
    <w:qFormat/>
    <w:uiPriority w:val="0"/>
    <w:pPr>
      <w:adjustRightInd w:val="0"/>
      <w:snapToGrid/>
      <w:spacing w:after="0" w:line="360" w:lineRule="auto"/>
      <w:ind w:firstLine="100" w:firstLineChars="200"/>
      <w:jc w:val="both"/>
      <w:textAlignment w:val="baseline"/>
    </w:pPr>
    <w:rPr>
      <w:kern w:val="0"/>
      <w:szCs w:val="20"/>
    </w:rPr>
  </w:style>
  <w:style w:type="character" w:customStyle="1" w:styleId="21">
    <w:name w:val="批注文字 字符"/>
    <w:basedOn w:val="17"/>
    <w:link w:val="6"/>
    <w:qFormat/>
    <w:uiPriority w:val="0"/>
    <w:rPr>
      <w:kern w:val="2"/>
      <w:sz w:val="21"/>
      <w:szCs w:val="24"/>
    </w:rPr>
  </w:style>
  <w:style w:type="character" w:customStyle="1" w:styleId="22">
    <w:name w:val="批注主题 字符"/>
    <w:basedOn w:val="21"/>
    <w:link w:val="15"/>
    <w:qFormat/>
    <w:uiPriority w:val="0"/>
    <w:rPr>
      <w:b/>
      <w:bCs/>
      <w:kern w:val="2"/>
      <w:sz w:val="21"/>
      <w:szCs w:val="24"/>
    </w:rPr>
  </w:style>
  <w:style w:type="character" w:customStyle="1" w:styleId="23">
    <w:name w:val="批注框文本 字符"/>
    <w:basedOn w:val="17"/>
    <w:link w:val="10"/>
    <w:qFormat/>
    <w:uiPriority w:val="0"/>
    <w:rPr>
      <w:kern w:val="2"/>
      <w:sz w:val="18"/>
      <w:szCs w:val="18"/>
    </w:rPr>
  </w:style>
  <w:style w:type="character" w:customStyle="1" w:styleId="24">
    <w:name w:val="页脚 字符"/>
    <w:basedOn w:val="17"/>
    <w:link w:val="11"/>
    <w:qFormat/>
    <w:uiPriority w:val="99"/>
    <w:rPr>
      <w:kern w:val="2"/>
      <w:sz w:val="18"/>
      <w:szCs w:val="24"/>
    </w:rPr>
  </w:style>
  <w:style w:type="paragraph" w:customStyle="1" w:styleId="25">
    <w:name w:val="Table Paragraph"/>
    <w:basedOn w:val="1"/>
    <w:qFormat/>
    <w:uiPriority w:val="1"/>
    <w:rPr>
      <w:rFonts w:ascii="宋体" w:hAnsi="宋体" w:cs="宋体"/>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1049</Words>
  <Characters>5984</Characters>
  <Lines>49</Lines>
  <Paragraphs>14</Paragraphs>
  <TotalTime>1</TotalTime>
  <ScaleCrop>false</ScaleCrop>
  <LinksUpToDate>false</LinksUpToDate>
  <CharactersWithSpaces>7019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2022-01-21T11:04:00Z</dcterms:created>
  <dc:creator>Dabin</dc:creator>
  <cp:lastModifiedBy>L·Jian</cp:lastModifiedBy>
  <dcterms:modified xsi:type="dcterms:W3CDTF">2022-09-19T07:44:32Z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098F3174377F43D291D4DDB62F16DC48</vt:lpwstr>
  </property>
</Properties>
</file>