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40" w:lineRule="exact"/>
        <w:rPr>
          <w:rFonts w:hint="eastAsia" w:ascii="宋体" w:hAnsi="宋体"/>
          <w:b/>
          <w:color w:val="auto"/>
          <w:sz w:val="28"/>
          <w:szCs w:val="30"/>
          <w:highlight w:val="none"/>
        </w:rPr>
      </w:pPr>
    </w:p>
    <w:p>
      <w:pPr>
        <w:spacing w:line="440" w:lineRule="exact"/>
        <w:rPr>
          <w:rFonts w:hint="eastAsia" w:ascii="宋体" w:hAnsi="宋体" w:eastAsia="宋体"/>
          <w:b/>
          <w:color w:val="auto"/>
          <w:sz w:val="28"/>
          <w:szCs w:val="30"/>
          <w:highlight w:val="none"/>
          <w:lang w:eastAsia="zh-CN"/>
        </w:rPr>
      </w:pPr>
      <w:r>
        <w:rPr>
          <w:rFonts w:hint="eastAsia" w:ascii="宋体" w:hAnsi="宋体"/>
          <w:b/>
          <w:color w:val="auto"/>
          <w:sz w:val="28"/>
          <w:szCs w:val="30"/>
          <w:highlight w:val="none"/>
        </w:rPr>
        <w:t>比选代理机构编号：</w:t>
      </w:r>
      <w:r>
        <w:rPr>
          <w:rFonts w:hint="eastAsia" w:ascii="宋体" w:hAnsi="宋体"/>
          <w:b/>
          <w:color w:val="auto"/>
          <w:sz w:val="28"/>
          <w:szCs w:val="30"/>
          <w:highlight w:val="none"/>
          <w:lang w:eastAsia="zh-CN"/>
        </w:rPr>
        <w:t>ZJZB-2022-18622</w:t>
      </w:r>
    </w:p>
    <w:p>
      <w:pPr>
        <w:spacing w:line="360" w:lineRule="auto"/>
        <w:ind w:firstLine="560"/>
        <w:rPr>
          <w:rFonts w:ascii="宋体" w:hAnsi="宋体" w:cs="宋体"/>
          <w:color w:val="auto"/>
          <w:sz w:val="28"/>
          <w:szCs w:val="28"/>
          <w:highlight w:val="none"/>
        </w:rPr>
      </w:pPr>
    </w:p>
    <w:p>
      <w:pPr>
        <w:spacing w:line="360" w:lineRule="auto"/>
        <w:ind w:firstLine="560"/>
        <w:rPr>
          <w:rFonts w:ascii="宋体" w:hAnsi="宋体" w:cs="宋体"/>
          <w:color w:val="auto"/>
          <w:sz w:val="28"/>
          <w:szCs w:val="28"/>
          <w:highlight w:val="none"/>
        </w:rPr>
      </w:pPr>
    </w:p>
    <w:p>
      <w:pPr>
        <w:spacing w:line="360" w:lineRule="auto"/>
        <w:ind w:firstLine="560"/>
        <w:rPr>
          <w:rFonts w:ascii="宋体" w:hAnsi="宋体" w:cs="宋体"/>
          <w:b/>
          <w:color w:val="auto"/>
          <w:szCs w:val="21"/>
          <w:highlight w:val="none"/>
          <w:u w:val="single"/>
        </w:rPr>
      </w:pPr>
    </w:p>
    <w:p>
      <w:pPr>
        <w:jc w:val="center"/>
        <w:rPr>
          <w:rFonts w:ascii="宋体" w:hAnsi="宋体" w:cs="宋体"/>
          <w:b/>
          <w:color w:val="auto"/>
          <w:szCs w:val="21"/>
          <w:highlight w:val="none"/>
          <w:u w:val="single"/>
        </w:rPr>
      </w:pPr>
      <w:r>
        <w:rPr>
          <w:rFonts w:hint="eastAsia" w:ascii="宋体" w:hAnsi="宋体"/>
          <w:b/>
          <w:color w:val="auto"/>
          <w:sz w:val="32"/>
          <w:szCs w:val="32"/>
          <w:highlight w:val="none"/>
          <w:u w:val="single"/>
          <w:lang w:eastAsia="zh-CN"/>
        </w:rPr>
        <w:t>2022年湛江分公司第一批普查服务项目比选</w:t>
      </w:r>
    </w:p>
    <w:p>
      <w:pPr>
        <w:spacing w:after="120" w:line="360" w:lineRule="atLeast"/>
        <w:jc w:val="center"/>
        <w:rPr>
          <w:rFonts w:ascii="宋体" w:hAnsi="宋体" w:cs="宋体"/>
          <w:b/>
          <w:color w:val="auto"/>
          <w:sz w:val="36"/>
          <w:szCs w:val="36"/>
          <w:highlight w:val="none"/>
        </w:rPr>
      </w:pPr>
      <w:r>
        <w:rPr>
          <w:rFonts w:hint="eastAsia" w:ascii="宋体" w:hAnsi="宋体" w:cs="宋体"/>
          <w:b/>
          <w:color w:val="auto"/>
          <w:sz w:val="36"/>
          <w:szCs w:val="36"/>
          <w:highlight w:val="none"/>
        </w:rPr>
        <w:t>比选文件</w:t>
      </w:r>
    </w:p>
    <w:p>
      <w:pPr>
        <w:spacing w:after="120" w:line="360" w:lineRule="atLeast"/>
        <w:jc w:val="center"/>
        <w:rPr>
          <w:rFonts w:ascii="宋体" w:hAnsi="宋体" w:cs="宋体"/>
          <w:b/>
          <w:color w:val="auto"/>
          <w:sz w:val="32"/>
          <w:szCs w:val="32"/>
          <w:highlight w:val="none"/>
        </w:rPr>
      </w:pPr>
    </w:p>
    <w:p>
      <w:pPr>
        <w:spacing w:after="120" w:line="360" w:lineRule="atLeast"/>
        <w:jc w:val="center"/>
        <w:rPr>
          <w:rFonts w:ascii="宋体" w:hAnsi="宋体" w:cs="宋体"/>
          <w:b/>
          <w:color w:val="auto"/>
          <w:sz w:val="32"/>
          <w:szCs w:val="32"/>
          <w:highlight w:val="none"/>
        </w:rPr>
      </w:pPr>
    </w:p>
    <w:p>
      <w:pPr>
        <w:spacing w:after="120" w:line="360" w:lineRule="atLeast"/>
        <w:jc w:val="center"/>
        <w:rPr>
          <w:rFonts w:ascii="宋体" w:hAnsi="宋体" w:cs="宋体"/>
          <w:b/>
          <w:color w:val="auto"/>
          <w:sz w:val="32"/>
          <w:szCs w:val="32"/>
          <w:highlight w:val="none"/>
        </w:rPr>
      </w:pPr>
    </w:p>
    <w:p>
      <w:pPr>
        <w:spacing w:after="120" w:line="360" w:lineRule="atLeast"/>
        <w:jc w:val="center"/>
        <w:rPr>
          <w:rFonts w:ascii="宋体" w:hAnsi="宋体" w:cs="宋体"/>
          <w:b/>
          <w:color w:val="auto"/>
          <w:sz w:val="32"/>
          <w:szCs w:val="32"/>
          <w:highlight w:val="none"/>
        </w:rPr>
      </w:pPr>
    </w:p>
    <w:p>
      <w:pPr>
        <w:spacing w:after="120" w:line="360" w:lineRule="atLeast"/>
        <w:jc w:val="center"/>
        <w:rPr>
          <w:rFonts w:ascii="宋体" w:hAnsi="宋体" w:cs="宋体"/>
          <w:b/>
          <w:color w:val="auto"/>
          <w:sz w:val="32"/>
          <w:szCs w:val="32"/>
          <w:highlight w:val="none"/>
        </w:rPr>
      </w:pPr>
    </w:p>
    <w:p>
      <w:pPr>
        <w:spacing w:line="600" w:lineRule="exact"/>
        <w:jc w:val="center"/>
        <w:rPr>
          <w:rFonts w:ascii="宋体" w:hAnsi="宋体"/>
          <w:b/>
          <w:color w:val="auto"/>
          <w:sz w:val="24"/>
          <w:highlight w:val="none"/>
        </w:rPr>
      </w:pPr>
      <w:r>
        <w:rPr>
          <w:rFonts w:hint="eastAsia" w:ascii="宋体" w:hAnsi="宋体"/>
          <w:b/>
          <w:color w:val="auto"/>
          <w:sz w:val="24"/>
          <w:highlight w:val="none"/>
        </w:rPr>
        <w:t>比选</w:t>
      </w:r>
      <w:r>
        <w:rPr>
          <w:rFonts w:ascii="宋体" w:hAnsi="宋体"/>
          <w:b/>
          <w:color w:val="auto"/>
          <w:sz w:val="24"/>
          <w:highlight w:val="none"/>
        </w:rPr>
        <w:t>人：</w:t>
      </w:r>
      <w:r>
        <w:rPr>
          <w:rFonts w:hint="eastAsia" w:ascii="宋体" w:hAnsi="宋体"/>
          <w:b/>
          <w:color w:val="auto"/>
          <w:sz w:val="24"/>
          <w:highlight w:val="none"/>
          <w:u w:val="single"/>
        </w:rPr>
        <w:t>中国电信股份有限公司湛江分公司</w:t>
      </w:r>
      <w:r>
        <w:rPr>
          <w:rFonts w:asciiTheme="minorEastAsia" w:hAnsiTheme="minorEastAsia" w:eastAsiaTheme="minorEastAsia"/>
          <w:b/>
          <w:color w:val="auto"/>
          <w:sz w:val="24"/>
          <w:highlight w:val="none"/>
        </w:rPr>
        <w:t>（盖章）</w:t>
      </w:r>
    </w:p>
    <w:p>
      <w:pPr>
        <w:spacing w:line="600" w:lineRule="exact"/>
        <w:jc w:val="center"/>
        <w:rPr>
          <w:rFonts w:ascii="宋体" w:hAnsi="宋体"/>
          <w:b/>
          <w:color w:val="auto"/>
          <w:sz w:val="24"/>
          <w:highlight w:val="none"/>
        </w:rPr>
      </w:pPr>
      <w:r>
        <w:rPr>
          <w:rFonts w:hint="eastAsia" w:ascii="宋体" w:hAnsi="宋体"/>
          <w:b/>
          <w:color w:val="auto"/>
          <w:sz w:val="24"/>
          <w:highlight w:val="none"/>
        </w:rPr>
        <w:t>比选代理机构</w:t>
      </w:r>
      <w:r>
        <w:rPr>
          <w:rFonts w:ascii="宋体" w:hAnsi="宋体"/>
          <w:b/>
          <w:color w:val="auto"/>
          <w:sz w:val="24"/>
          <w:highlight w:val="none"/>
        </w:rPr>
        <w:t>：</w:t>
      </w:r>
      <w:r>
        <w:rPr>
          <w:rFonts w:hint="eastAsia" w:ascii="宋体" w:hAnsi="宋体"/>
          <w:b/>
          <w:color w:val="auto"/>
          <w:sz w:val="24"/>
          <w:highlight w:val="none"/>
          <w:u w:val="single"/>
        </w:rPr>
        <w:t>中捷通信有限公司</w:t>
      </w:r>
      <w:r>
        <w:rPr>
          <w:rFonts w:ascii="宋体" w:hAnsi="宋体"/>
          <w:b/>
          <w:color w:val="auto"/>
          <w:sz w:val="24"/>
          <w:highlight w:val="none"/>
        </w:rPr>
        <w:t>（盖章）</w:t>
      </w:r>
    </w:p>
    <w:p>
      <w:pPr>
        <w:spacing w:line="600" w:lineRule="exact"/>
        <w:jc w:val="center"/>
        <w:rPr>
          <w:rFonts w:ascii="宋体" w:hAnsi="宋体"/>
          <w:b/>
          <w:color w:val="auto"/>
          <w:sz w:val="24"/>
          <w:highlight w:val="none"/>
        </w:rPr>
      </w:pPr>
      <w:r>
        <w:rPr>
          <w:rFonts w:hint="eastAsia" w:ascii="宋体" w:hAnsi="宋体"/>
          <w:color w:val="auto"/>
          <w:sz w:val="24"/>
          <w:highlight w:val="none"/>
          <w:u w:val="single"/>
        </w:rPr>
        <w:t>202</w:t>
      </w:r>
      <w:r>
        <w:rPr>
          <w:rFonts w:hint="eastAsia" w:ascii="宋体" w:hAnsi="宋体"/>
          <w:color w:val="auto"/>
          <w:sz w:val="24"/>
          <w:highlight w:val="none"/>
          <w:u w:val="single"/>
          <w:lang w:val="en-US" w:eastAsia="zh-CN"/>
        </w:rPr>
        <w:t>2</w:t>
      </w:r>
      <w:r>
        <w:rPr>
          <w:rFonts w:ascii="宋体" w:hAnsi="宋体"/>
          <w:b/>
          <w:color w:val="auto"/>
          <w:sz w:val="24"/>
          <w:highlight w:val="none"/>
        </w:rPr>
        <w:t>年</w:t>
      </w:r>
      <w:r>
        <w:rPr>
          <w:rFonts w:hint="eastAsia" w:ascii="宋体" w:hAnsi="宋体"/>
          <w:color w:val="auto"/>
          <w:sz w:val="24"/>
          <w:highlight w:val="none"/>
          <w:u w:val="single"/>
          <w:lang w:val="en-US" w:eastAsia="zh-CN"/>
        </w:rPr>
        <w:t>10</w:t>
      </w:r>
      <w:r>
        <w:rPr>
          <w:rFonts w:ascii="宋体" w:hAnsi="宋体"/>
          <w:b/>
          <w:color w:val="auto"/>
          <w:sz w:val="24"/>
          <w:highlight w:val="none"/>
        </w:rPr>
        <w:t>月</w:t>
      </w:r>
      <w:r>
        <w:rPr>
          <w:rFonts w:hint="eastAsia" w:ascii="宋体" w:hAnsi="宋体"/>
          <w:color w:val="auto"/>
          <w:sz w:val="24"/>
          <w:highlight w:val="none"/>
          <w:u w:val="single"/>
          <w:lang w:val="en-US" w:eastAsia="zh-CN"/>
        </w:rPr>
        <w:t>10</w:t>
      </w:r>
      <w:r>
        <w:rPr>
          <w:rFonts w:ascii="宋体" w:hAnsi="宋体"/>
          <w:b/>
          <w:color w:val="auto"/>
          <w:sz w:val="24"/>
          <w:highlight w:val="none"/>
        </w:rPr>
        <w:t>日</w:t>
      </w:r>
    </w:p>
    <w:p>
      <w:pPr>
        <w:widowControl/>
        <w:jc w:val="left"/>
        <w:rPr>
          <w:rFonts w:ascii="宋体" w:hAnsi="宋体" w:cs="宋体"/>
          <w:color w:val="auto"/>
          <w:sz w:val="24"/>
          <w:highlight w:val="none"/>
        </w:rPr>
      </w:pPr>
      <w:r>
        <w:rPr>
          <w:rFonts w:ascii="宋体" w:hAnsi="宋体" w:cs="宋体"/>
          <w:color w:val="auto"/>
          <w:sz w:val="24"/>
          <w:highlight w:val="none"/>
        </w:rPr>
        <w:br w:type="page"/>
      </w:r>
    </w:p>
    <w:p>
      <w:pPr>
        <w:widowControl/>
        <w:tabs>
          <w:tab w:val="left" w:pos="1260"/>
        </w:tabs>
        <w:jc w:val="center"/>
        <w:rPr>
          <w:rFonts w:eastAsia="华文隶书"/>
          <w:color w:val="auto"/>
          <w:sz w:val="44"/>
          <w:szCs w:val="44"/>
          <w:highlight w:val="none"/>
        </w:rPr>
      </w:pPr>
      <w:r>
        <w:rPr>
          <w:rFonts w:eastAsia="华文隶书"/>
          <w:color w:val="auto"/>
          <w:sz w:val="44"/>
          <w:szCs w:val="44"/>
          <w:highlight w:val="none"/>
        </w:rPr>
        <w:t>注意事项</w:t>
      </w:r>
    </w:p>
    <w:p>
      <w:pPr>
        <w:numPr>
          <w:ilvl w:val="0"/>
          <w:numId w:val="2"/>
        </w:numPr>
        <w:spacing w:line="360" w:lineRule="auto"/>
        <w:rPr>
          <w:rFonts w:ascii="黑体" w:hAnsi="黑体" w:eastAsia="黑体"/>
          <w:color w:val="auto"/>
          <w:sz w:val="24"/>
          <w:highlight w:val="none"/>
        </w:rPr>
      </w:pPr>
      <w:r>
        <w:rPr>
          <w:rFonts w:eastAsia="黑体"/>
          <w:color w:val="auto"/>
          <w:sz w:val="24"/>
          <w:highlight w:val="none"/>
        </w:rPr>
        <w:t>请</w:t>
      </w:r>
      <w:r>
        <w:rPr>
          <w:rFonts w:hint="eastAsia" w:eastAsia="黑体"/>
          <w:color w:val="auto"/>
          <w:sz w:val="24"/>
          <w:highlight w:val="none"/>
        </w:rPr>
        <w:t>针对</w:t>
      </w:r>
      <w:r>
        <w:rPr>
          <w:rFonts w:eastAsia="黑体"/>
          <w:color w:val="auto"/>
          <w:sz w:val="24"/>
          <w:highlight w:val="none"/>
        </w:rPr>
        <w:t>“第四章</w:t>
      </w:r>
      <w:r>
        <w:rPr>
          <w:rFonts w:hint="eastAsia" w:eastAsia="黑体"/>
          <w:color w:val="auto"/>
          <w:sz w:val="24"/>
          <w:highlight w:val="none"/>
        </w:rPr>
        <w:t xml:space="preserve"> 商务规范书</w:t>
      </w:r>
      <w:r>
        <w:rPr>
          <w:rFonts w:eastAsia="黑体"/>
          <w:color w:val="auto"/>
          <w:sz w:val="24"/>
          <w:highlight w:val="none"/>
        </w:rPr>
        <w:t xml:space="preserve">”和“第五章 </w:t>
      </w:r>
      <w:r>
        <w:rPr>
          <w:rFonts w:hint="eastAsia" w:eastAsia="黑体"/>
          <w:color w:val="auto"/>
          <w:sz w:val="24"/>
          <w:highlight w:val="none"/>
        </w:rPr>
        <w:t>项目技术和服务要求</w:t>
      </w:r>
      <w:r>
        <w:rPr>
          <w:rFonts w:eastAsia="黑体"/>
          <w:color w:val="auto"/>
          <w:sz w:val="24"/>
          <w:highlight w:val="none"/>
        </w:rPr>
        <w:t>”的</w:t>
      </w:r>
      <w:r>
        <w:rPr>
          <w:rFonts w:hint="eastAsia" w:eastAsia="黑体"/>
          <w:color w:val="auto"/>
          <w:sz w:val="24"/>
          <w:highlight w:val="none"/>
          <w:u w:val="single"/>
        </w:rPr>
        <w:t>内容进行</w:t>
      </w:r>
      <w:r>
        <w:rPr>
          <w:rFonts w:eastAsia="黑体"/>
          <w:color w:val="auto"/>
          <w:sz w:val="24"/>
          <w:highlight w:val="none"/>
          <w:u w:val="single"/>
        </w:rPr>
        <w:t>点对点应答</w:t>
      </w:r>
      <w:r>
        <w:rPr>
          <w:rFonts w:hint="eastAsia" w:eastAsia="黑体"/>
          <w:color w:val="auto"/>
          <w:sz w:val="24"/>
          <w:highlight w:val="none"/>
          <w:u w:val="single"/>
        </w:rPr>
        <w:t>或</w:t>
      </w:r>
      <w:r>
        <w:rPr>
          <w:rFonts w:eastAsia="黑体"/>
          <w:color w:val="auto"/>
          <w:sz w:val="24"/>
          <w:highlight w:val="none"/>
          <w:u w:val="single"/>
        </w:rPr>
        <w:t>填写</w:t>
      </w:r>
      <w:r>
        <w:rPr>
          <w:rFonts w:hint="eastAsia" w:eastAsia="黑体"/>
          <w:color w:val="auto"/>
          <w:sz w:val="24"/>
          <w:highlight w:val="none"/>
          <w:u w:val="single"/>
        </w:rPr>
        <w:t>偏离</w:t>
      </w:r>
      <w:r>
        <w:rPr>
          <w:rFonts w:eastAsia="黑体"/>
          <w:color w:val="auto"/>
          <w:sz w:val="24"/>
          <w:highlight w:val="none"/>
          <w:u w:val="single"/>
        </w:rPr>
        <w:t>表</w:t>
      </w:r>
      <w:r>
        <w:rPr>
          <w:rFonts w:eastAsia="黑体"/>
          <w:color w:val="auto"/>
          <w:sz w:val="24"/>
          <w:highlight w:val="none"/>
        </w:rPr>
        <w:t>。</w:t>
      </w:r>
    </w:p>
    <w:p>
      <w:pPr>
        <w:numPr>
          <w:ilvl w:val="0"/>
          <w:numId w:val="2"/>
        </w:numPr>
        <w:spacing w:line="360" w:lineRule="auto"/>
        <w:ind w:left="357" w:hanging="357"/>
        <w:rPr>
          <w:rFonts w:ascii="黑体" w:hAnsi="黑体" w:eastAsia="黑体"/>
          <w:color w:val="auto"/>
          <w:sz w:val="24"/>
          <w:highlight w:val="none"/>
        </w:rPr>
      </w:pPr>
      <w:r>
        <w:rPr>
          <w:rFonts w:hint="eastAsia" w:ascii="黑体" w:hAnsi="黑体" w:eastAsia="黑体"/>
          <w:color w:val="auto"/>
          <w:sz w:val="24"/>
          <w:highlight w:val="none"/>
        </w:rPr>
        <w:t>参选人应答标书时应对评分标准的评分项做相应的</w:t>
      </w:r>
      <w:r>
        <w:rPr>
          <w:rFonts w:hint="eastAsia" w:ascii="黑体" w:hAnsi="黑体" w:eastAsia="黑体"/>
          <w:color w:val="auto"/>
          <w:sz w:val="24"/>
          <w:highlight w:val="none"/>
          <w:u w:val="single"/>
        </w:rPr>
        <w:t>索引（速查表）</w:t>
      </w:r>
      <w:r>
        <w:rPr>
          <w:rFonts w:hint="eastAsia" w:ascii="黑体" w:hAnsi="黑体" w:eastAsia="黑体"/>
          <w:color w:val="auto"/>
          <w:sz w:val="24"/>
          <w:highlight w:val="none"/>
        </w:rPr>
        <w:t>，以便评委评阅参选文件。</w:t>
      </w:r>
    </w:p>
    <w:p>
      <w:pPr>
        <w:numPr>
          <w:ilvl w:val="0"/>
          <w:numId w:val="2"/>
        </w:numPr>
        <w:spacing w:line="360" w:lineRule="auto"/>
        <w:rPr>
          <w:rFonts w:ascii="黑体" w:hAnsi="黑体" w:eastAsia="黑体"/>
          <w:color w:val="auto"/>
          <w:sz w:val="24"/>
          <w:highlight w:val="none"/>
        </w:rPr>
      </w:pPr>
      <w:r>
        <w:rPr>
          <w:rFonts w:hint="eastAsia" w:ascii="黑体" w:hAnsi="黑体" w:eastAsia="黑体"/>
          <w:color w:val="auto"/>
          <w:sz w:val="24"/>
          <w:highlight w:val="none"/>
        </w:rPr>
        <w:t>参选文件须由参选人法定代表人或其授权的代理人进行页签（或加盖骑缝章，或逐页加盖参选人单位印章）；参选文件中参选一览表、报价表等重要表格，凡出现参选人单位落款的地方应盖单位章；同时提供法定代表人身份证明或附有法定代表人身份证明的授权委托书。</w:t>
      </w:r>
    </w:p>
    <w:p>
      <w:pPr>
        <w:numPr>
          <w:ilvl w:val="0"/>
          <w:numId w:val="2"/>
        </w:numPr>
        <w:spacing w:line="360" w:lineRule="auto"/>
        <w:rPr>
          <w:rFonts w:ascii="黑体" w:hAnsi="黑体" w:eastAsia="黑体"/>
          <w:color w:val="auto"/>
          <w:sz w:val="24"/>
          <w:highlight w:val="none"/>
        </w:rPr>
      </w:pPr>
      <w:r>
        <w:rPr>
          <w:rFonts w:hint="eastAsia" w:ascii="黑体" w:hAnsi="黑体" w:eastAsia="黑体"/>
          <w:color w:val="auto"/>
          <w:sz w:val="24"/>
          <w:highlight w:val="none"/>
        </w:rPr>
        <w:t>按照比选文件要求提供有效的资格证明文件，例如营业执照必须通过年检或已按相关规定向工商行政管理机关报送年度报告等。</w:t>
      </w:r>
    </w:p>
    <w:p>
      <w:pPr>
        <w:numPr>
          <w:ilvl w:val="0"/>
          <w:numId w:val="2"/>
        </w:numPr>
        <w:spacing w:line="360" w:lineRule="auto"/>
        <w:rPr>
          <w:rFonts w:ascii="黑体" w:hAnsi="黑体" w:eastAsia="黑体"/>
          <w:color w:val="auto"/>
          <w:sz w:val="24"/>
          <w:highlight w:val="none"/>
        </w:rPr>
      </w:pPr>
      <w:r>
        <w:rPr>
          <w:rFonts w:hint="eastAsia" w:ascii="黑体" w:hAnsi="黑体" w:eastAsia="黑体"/>
          <w:color w:val="auto"/>
          <w:sz w:val="24"/>
          <w:highlight w:val="none"/>
        </w:rPr>
        <w:t>参选保证金采用银行电汇或银行保函等方式递交（纸质银行保函需提供原件），电汇凭证的备注栏须注明：参选保证金（比选代理机构编号）。</w:t>
      </w:r>
    </w:p>
    <w:p>
      <w:pPr>
        <w:numPr>
          <w:ilvl w:val="0"/>
          <w:numId w:val="2"/>
        </w:numPr>
        <w:spacing w:line="360" w:lineRule="auto"/>
        <w:ind w:left="357" w:hanging="357"/>
        <w:rPr>
          <w:rFonts w:ascii="黑体" w:hAnsi="黑体" w:eastAsia="黑体"/>
          <w:color w:val="auto"/>
          <w:sz w:val="24"/>
          <w:highlight w:val="none"/>
        </w:rPr>
      </w:pPr>
      <w:r>
        <w:rPr>
          <w:rFonts w:hint="eastAsia" w:ascii="黑体" w:hAnsi="黑体" w:eastAsia="黑体"/>
          <w:color w:val="auto"/>
          <w:sz w:val="24"/>
          <w:highlight w:val="none"/>
        </w:rPr>
        <w:t>参选文件份数：1式</w:t>
      </w:r>
      <w:r>
        <w:rPr>
          <w:rFonts w:ascii="黑体" w:hAnsi="黑体" w:eastAsia="黑体"/>
          <w:color w:val="auto"/>
          <w:sz w:val="24"/>
          <w:highlight w:val="none"/>
        </w:rPr>
        <w:t>2</w:t>
      </w:r>
      <w:r>
        <w:rPr>
          <w:rFonts w:hint="eastAsia" w:ascii="黑体" w:hAnsi="黑体" w:eastAsia="黑体"/>
          <w:color w:val="auto"/>
          <w:sz w:val="24"/>
          <w:highlight w:val="none"/>
        </w:rPr>
        <w:t>份，1份正本和</w:t>
      </w:r>
      <w:r>
        <w:rPr>
          <w:rFonts w:ascii="黑体" w:hAnsi="黑体" w:eastAsia="黑体"/>
          <w:color w:val="auto"/>
          <w:sz w:val="24"/>
          <w:highlight w:val="none"/>
        </w:rPr>
        <w:t>1</w:t>
      </w:r>
      <w:r>
        <w:rPr>
          <w:rFonts w:hint="eastAsia" w:ascii="黑体" w:hAnsi="黑体" w:eastAsia="黑体"/>
          <w:color w:val="auto"/>
          <w:sz w:val="24"/>
          <w:highlight w:val="none"/>
        </w:rPr>
        <w:t>份副本，并提供1套电子版。</w:t>
      </w:r>
    </w:p>
    <w:p>
      <w:pPr>
        <w:numPr>
          <w:ilvl w:val="0"/>
          <w:numId w:val="2"/>
        </w:numPr>
        <w:spacing w:line="360" w:lineRule="auto"/>
        <w:jc w:val="left"/>
        <w:rPr>
          <w:rFonts w:ascii="黑体" w:hAnsi="黑体" w:eastAsia="黑体"/>
          <w:color w:val="auto"/>
          <w:sz w:val="24"/>
          <w:highlight w:val="none"/>
        </w:rPr>
      </w:pPr>
      <w:r>
        <w:rPr>
          <w:rFonts w:hint="eastAsia" w:ascii="黑体" w:hAnsi="黑体" w:eastAsia="黑体"/>
          <w:color w:val="auto"/>
          <w:sz w:val="24"/>
          <w:highlight w:val="none"/>
        </w:rPr>
        <w:t>参选截止时间：202</w:t>
      </w:r>
      <w:r>
        <w:rPr>
          <w:rFonts w:hint="eastAsia" w:ascii="黑体" w:hAnsi="黑体" w:eastAsia="黑体"/>
          <w:color w:val="auto"/>
          <w:sz w:val="24"/>
          <w:highlight w:val="none"/>
          <w:lang w:val="en-US" w:eastAsia="zh-CN"/>
        </w:rPr>
        <w:t>2</w:t>
      </w:r>
      <w:r>
        <w:rPr>
          <w:rFonts w:hint="eastAsia" w:ascii="黑体" w:hAnsi="黑体" w:eastAsia="黑体"/>
          <w:color w:val="auto"/>
          <w:sz w:val="24"/>
          <w:highlight w:val="none"/>
        </w:rPr>
        <w:t>年</w:t>
      </w:r>
      <w:r>
        <w:rPr>
          <w:rFonts w:hint="eastAsia" w:ascii="黑体" w:hAnsi="黑体" w:eastAsia="黑体"/>
          <w:color w:val="auto"/>
          <w:sz w:val="24"/>
          <w:highlight w:val="none"/>
          <w:lang w:val="en-US" w:eastAsia="zh-CN"/>
        </w:rPr>
        <w:t>10</w:t>
      </w:r>
      <w:r>
        <w:rPr>
          <w:rFonts w:hint="eastAsia" w:ascii="黑体" w:hAnsi="黑体" w:eastAsia="黑体"/>
          <w:color w:val="auto"/>
          <w:sz w:val="24"/>
          <w:highlight w:val="none"/>
        </w:rPr>
        <w:t>月</w:t>
      </w:r>
      <w:r>
        <w:rPr>
          <w:rFonts w:hint="eastAsia" w:ascii="黑体" w:hAnsi="黑体" w:eastAsia="黑体"/>
          <w:color w:val="auto"/>
          <w:sz w:val="24"/>
          <w:highlight w:val="none"/>
          <w:lang w:val="en-US" w:eastAsia="zh-CN"/>
        </w:rPr>
        <w:t>20</w:t>
      </w:r>
      <w:r>
        <w:rPr>
          <w:rFonts w:hint="eastAsia" w:ascii="黑体" w:hAnsi="黑体" w:eastAsia="黑体"/>
          <w:color w:val="auto"/>
          <w:sz w:val="24"/>
          <w:highlight w:val="none"/>
        </w:rPr>
        <w:t>日</w:t>
      </w:r>
      <w:r>
        <w:rPr>
          <w:rFonts w:hint="eastAsia" w:ascii="黑体" w:hAnsi="黑体" w:eastAsia="黑体"/>
          <w:color w:val="auto"/>
          <w:sz w:val="24"/>
          <w:highlight w:val="none"/>
          <w:lang w:val="en-US" w:eastAsia="zh-CN"/>
        </w:rPr>
        <w:t>09</w:t>
      </w:r>
      <w:r>
        <w:rPr>
          <w:rFonts w:hint="eastAsia" w:ascii="黑体" w:hAnsi="黑体" w:eastAsia="黑体"/>
          <w:color w:val="auto"/>
          <w:sz w:val="24"/>
          <w:highlight w:val="none"/>
        </w:rPr>
        <w:t>时</w:t>
      </w:r>
      <w:r>
        <w:rPr>
          <w:rFonts w:ascii="黑体" w:hAnsi="黑体" w:eastAsia="黑体"/>
          <w:color w:val="auto"/>
          <w:sz w:val="24"/>
          <w:highlight w:val="none"/>
        </w:rPr>
        <w:t>0</w:t>
      </w:r>
      <w:r>
        <w:rPr>
          <w:rFonts w:hint="eastAsia" w:ascii="黑体" w:hAnsi="黑体" w:eastAsia="黑体"/>
          <w:color w:val="auto"/>
          <w:sz w:val="24"/>
          <w:highlight w:val="none"/>
        </w:rPr>
        <w:t>0分</w:t>
      </w:r>
      <w:r>
        <w:rPr>
          <w:rFonts w:ascii="黑体" w:hAnsi="黑体" w:eastAsia="黑体"/>
          <w:color w:val="auto"/>
          <w:sz w:val="24"/>
          <w:highlight w:val="none"/>
        </w:rPr>
        <w:t>(</w:t>
      </w:r>
      <w:r>
        <w:rPr>
          <w:rFonts w:hint="eastAsia" w:ascii="黑体" w:hAnsi="黑体" w:eastAsia="黑体"/>
          <w:color w:val="auto"/>
          <w:sz w:val="24"/>
          <w:highlight w:val="none"/>
        </w:rPr>
        <w:t>北京时间</w:t>
      </w:r>
      <w:r>
        <w:rPr>
          <w:rFonts w:ascii="黑体" w:hAnsi="黑体" w:eastAsia="黑体"/>
          <w:color w:val="auto"/>
          <w:sz w:val="24"/>
          <w:highlight w:val="none"/>
        </w:rPr>
        <w:t>)</w:t>
      </w:r>
      <w:r>
        <w:rPr>
          <w:rFonts w:hint="eastAsia" w:ascii="黑体" w:hAnsi="黑体" w:eastAsia="黑体"/>
          <w:color w:val="auto"/>
          <w:sz w:val="24"/>
          <w:highlight w:val="none"/>
        </w:rPr>
        <w:t>，请各参选人务必及时将参选文件送达指定地点，逾期将不予受理。参选截止时间和唱价时间为同一个时间。</w:t>
      </w:r>
    </w:p>
    <w:p>
      <w:pPr>
        <w:numPr>
          <w:ilvl w:val="0"/>
          <w:numId w:val="2"/>
        </w:numPr>
        <w:spacing w:line="360" w:lineRule="auto"/>
        <w:jc w:val="left"/>
        <w:rPr>
          <w:rFonts w:ascii="黑体" w:hAnsi="黑体" w:eastAsia="黑体"/>
          <w:color w:val="auto"/>
          <w:sz w:val="24"/>
          <w:highlight w:val="none"/>
        </w:rPr>
        <w:sectPr>
          <w:headerReference r:id="rId4" w:type="first"/>
          <w:headerReference r:id="rId3" w:type="default"/>
          <w:footerReference r:id="rId5" w:type="default"/>
          <w:pgSz w:w="11906" w:h="16838"/>
          <w:pgMar w:top="1440" w:right="1701" w:bottom="1440" w:left="1701" w:header="851" w:footer="992" w:gutter="0"/>
          <w:cols w:space="720" w:num="1"/>
          <w:docGrid w:type="linesAndChars" w:linePitch="380" w:charSpace="0"/>
        </w:sectPr>
      </w:pPr>
      <w:r>
        <w:rPr>
          <w:rFonts w:hint="eastAsia" w:ascii="黑体" w:hAnsi="黑体" w:eastAsia="黑体"/>
          <w:color w:val="auto"/>
          <w:sz w:val="24"/>
          <w:highlight w:val="none"/>
        </w:rPr>
        <w:t>参选文件如采用邮递方式送达的，请务必提前寄出并在寄出前通知比选代理项目联系人，保证参选文件在提交截止时间前送达指定地点。</w:t>
      </w:r>
    </w:p>
    <w:p>
      <w:pPr>
        <w:spacing w:after="120" w:line="360" w:lineRule="atLeast"/>
        <w:jc w:val="center"/>
        <w:rPr>
          <w:rFonts w:ascii="宋体" w:hAnsi="宋体" w:cs="宋体"/>
          <w:b/>
          <w:color w:val="auto"/>
          <w:sz w:val="24"/>
          <w:highlight w:val="none"/>
        </w:rPr>
      </w:pPr>
      <w:r>
        <w:rPr>
          <w:rFonts w:hint="eastAsia" w:ascii="宋体" w:hAnsi="宋体" w:cs="宋体"/>
          <w:b/>
          <w:color w:val="auto"/>
          <w:sz w:val="24"/>
          <w:highlight w:val="none"/>
        </w:rPr>
        <w:t>目  录</w:t>
      </w:r>
    </w:p>
    <w:p>
      <w:pPr>
        <w:pStyle w:val="28"/>
        <w:tabs>
          <w:tab w:val="right" w:leader="dot" w:pos="8504"/>
          <w:tab w:val="clear" w:pos="0"/>
          <w:tab w:val="clear" w:pos="8505"/>
        </w:tabs>
        <w:rPr>
          <w:highlight w:val="none"/>
        </w:rPr>
      </w:pPr>
      <w:r>
        <w:rPr>
          <w:color w:val="auto"/>
          <w:highlight w:val="none"/>
        </w:rPr>
        <w:fldChar w:fldCharType="begin"/>
      </w:r>
      <w:r>
        <w:rPr>
          <w:color w:val="auto"/>
          <w:highlight w:val="none"/>
        </w:rPr>
        <w:instrText xml:space="preserve"> TOC \o "1-2" \h \z \u </w:instrText>
      </w:r>
      <w:r>
        <w:rPr>
          <w:color w:val="auto"/>
          <w:highlight w:val="none"/>
        </w:rPr>
        <w:fldChar w:fldCharType="separate"/>
      </w:r>
      <w:r>
        <w:rPr>
          <w:color w:val="auto"/>
          <w:highlight w:val="none"/>
        </w:rPr>
        <w:fldChar w:fldCharType="begin"/>
      </w:r>
      <w:r>
        <w:rPr>
          <w:highlight w:val="none"/>
        </w:rPr>
        <w:instrText xml:space="preserve"> HYPERLINK \l _Toc23426 </w:instrText>
      </w:r>
      <w:r>
        <w:rPr>
          <w:highlight w:val="none"/>
        </w:rPr>
        <w:fldChar w:fldCharType="separate"/>
      </w:r>
      <w:r>
        <w:rPr>
          <w:rFonts w:hint="eastAsia" w:ascii="宋体" w:hAnsi="宋体" w:eastAsia="宋体" w:cs="宋体"/>
          <w:bCs w:val="0"/>
          <w:kern w:val="0"/>
          <w:szCs w:val="28"/>
          <w:highlight w:val="none"/>
        </w:rPr>
        <w:t>第一章  比选公告</w:t>
      </w:r>
      <w:r>
        <w:rPr>
          <w:highlight w:val="none"/>
        </w:rPr>
        <w:tab/>
      </w:r>
      <w:r>
        <w:rPr>
          <w:highlight w:val="none"/>
        </w:rPr>
        <w:fldChar w:fldCharType="begin"/>
      </w:r>
      <w:r>
        <w:rPr>
          <w:highlight w:val="none"/>
        </w:rPr>
        <w:instrText xml:space="preserve"> PAGEREF _Toc23426 \h </w:instrText>
      </w:r>
      <w:r>
        <w:rPr>
          <w:highlight w:val="none"/>
        </w:rPr>
        <w:fldChar w:fldCharType="separate"/>
      </w:r>
      <w:r>
        <w:rPr>
          <w:highlight w:val="none"/>
        </w:rPr>
        <w:t>1</w:t>
      </w:r>
      <w:r>
        <w:rPr>
          <w:highlight w:val="none"/>
        </w:rPr>
        <w:fldChar w:fldCharType="end"/>
      </w:r>
      <w:r>
        <w:rPr>
          <w:color w:val="auto"/>
          <w:highlight w:val="none"/>
        </w:rPr>
        <w:fldChar w:fldCharType="end"/>
      </w:r>
    </w:p>
    <w:p>
      <w:pPr>
        <w:pStyle w:val="33"/>
        <w:tabs>
          <w:tab w:val="right" w:leader="dot" w:pos="8504"/>
          <w:tab w:val="clear" w:pos="567"/>
          <w:tab w:val="clear" w:pos="8505"/>
          <w:tab w:val="clear" w:pos="9628"/>
        </w:tabs>
        <w:rPr>
          <w:highlight w:val="none"/>
        </w:rPr>
      </w:pPr>
      <w:r>
        <w:rPr>
          <w:color w:val="auto"/>
          <w:highlight w:val="none"/>
        </w:rPr>
        <w:fldChar w:fldCharType="begin"/>
      </w:r>
      <w:r>
        <w:rPr>
          <w:highlight w:val="none"/>
        </w:rPr>
        <w:instrText xml:space="preserve"> HYPERLINK \l _Toc22552 </w:instrText>
      </w:r>
      <w:r>
        <w:rPr>
          <w:highlight w:val="none"/>
        </w:rPr>
        <w:fldChar w:fldCharType="separate"/>
      </w:r>
      <w:r>
        <w:rPr>
          <w:rFonts w:hint="eastAsia" w:ascii="宋体" w:hAnsi="宋体"/>
          <w:szCs w:val="21"/>
          <w:highlight w:val="none"/>
        </w:rPr>
        <w:t>5. 参选文件的递交</w:t>
      </w:r>
      <w:r>
        <w:rPr>
          <w:highlight w:val="none"/>
        </w:rPr>
        <w:tab/>
      </w:r>
      <w:r>
        <w:rPr>
          <w:highlight w:val="none"/>
        </w:rPr>
        <w:fldChar w:fldCharType="begin"/>
      </w:r>
      <w:r>
        <w:rPr>
          <w:highlight w:val="none"/>
        </w:rPr>
        <w:instrText xml:space="preserve"> PAGEREF _Toc22552 \h </w:instrText>
      </w:r>
      <w:r>
        <w:rPr>
          <w:highlight w:val="none"/>
        </w:rPr>
        <w:fldChar w:fldCharType="separate"/>
      </w:r>
      <w:r>
        <w:rPr>
          <w:highlight w:val="none"/>
        </w:rPr>
        <w:t>4</w:t>
      </w:r>
      <w:r>
        <w:rPr>
          <w:highlight w:val="none"/>
        </w:rPr>
        <w:fldChar w:fldCharType="end"/>
      </w:r>
      <w:r>
        <w:rPr>
          <w:color w:val="auto"/>
          <w:highlight w:val="none"/>
        </w:rPr>
        <w:fldChar w:fldCharType="end"/>
      </w:r>
    </w:p>
    <w:p>
      <w:pPr>
        <w:pStyle w:val="33"/>
        <w:tabs>
          <w:tab w:val="right" w:leader="dot" w:pos="8504"/>
          <w:tab w:val="clear" w:pos="567"/>
          <w:tab w:val="clear" w:pos="8505"/>
          <w:tab w:val="clear" w:pos="9628"/>
        </w:tabs>
        <w:rPr>
          <w:highlight w:val="none"/>
        </w:rPr>
      </w:pPr>
      <w:r>
        <w:rPr>
          <w:color w:val="auto"/>
          <w:highlight w:val="none"/>
        </w:rPr>
        <w:fldChar w:fldCharType="begin"/>
      </w:r>
      <w:r>
        <w:rPr>
          <w:highlight w:val="none"/>
        </w:rPr>
        <w:instrText xml:space="preserve"> HYPERLINK \l _Toc6054 </w:instrText>
      </w:r>
      <w:r>
        <w:rPr>
          <w:highlight w:val="none"/>
        </w:rPr>
        <w:fldChar w:fldCharType="separate"/>
      </w:r>
      <w:r>
        <w:rPr>
          <w:rFonts w:hint="eastAsia" w:ascii="宋体" w:hAnsi="宋体"/>
          <w:szCs w:val="21"/>
          <w:highlight w:val="none"/>
        </w:rPr>
        <w:t>6. 发布公告的媒介</w:t>
      </w:r>
      <w:r>
        <w:rPr>
          <w:highlight w:val="none"/>
        </w:rPr>
        <w:tab/>
      </w:r>
      <w:r>
        <w:rPr>
          <w:highlight w:val="none"/>
        </w:rPr>
        <w:fldChar w:fldCharType="begin"/>
      </w:r>
      <w:r>
        <w:rPr>
          <w:highlight w:val="none"/>
        </w:rPr>
        <w:instrText xml:space="preserve"> PAGEREF _Toc6054 \h </w:instrText>
      </w:r>
      <w:r>
        <w:rPr>
          <w:highlight w:val="none"/>
        </w:rPr>
        <w:fldChar w:fldCharType="separate"/>
      </w:r>
      <w:r>
        <w:rPr>
          <w:highlight w:val="none"/>
        </w:rPr>
        <w:t>5</w:t>
      </w:r>
      <w:r>
        <w:rPr>
          <w:highlight w:val="none"/>
        </w:rPr>
        <w:fldChar w:fldCharType="end"/>
      </w:r>
      <w:r>
        <w:rPr>
          <w:color w:val="auto"/>
          <w:highlight w:val="none"/>
        </w:rPr>
        <w:fldChar w:fldCharType="end"/>
      </w:r>
    </w:p>
    <w:p>
      <w:pPr>
        <w:pStyle w:val="33"/>
        <w:tabs>
          <w:tab w:val="right" w:leader="dot" w:pos="8504"/>
          <w:tab w:val="clear" w:pos="567"/>
          <w:tab w:val="clear" w:pos="8505"/>
          <w:tab w:val="clear" w:pos="9628"/>
        </w:tabs>
        <w:rPr>
          <w:highlight w:val="none"/>
        </w:rPr>
      </w:pPr>
      <w:r>
        <w:rPr>
          <w:color w:val="auto"/>
          <w:highlight w:val="none"/>
        </w:rPr>
        <w:fldChar w:fldCharType="begin"/>
      </w:r>
      <w:r>
        <w:rPr>
          <w:highlight w:val="none"/>
        </w:rPr>
        <w:instrText xml:space="preserve"> HYPERLINK \l _Toc8252 </w:instrText>
      </w:r>
      <w:r>
        <w:rPr>
          <w:highlight w:val="none"/>
        </w:rPr>
        <w:fldChar w:fldCharType="separate"/>
      </w:r>
      <w:r>
        <w:rPr>
          <w:rFonts w:hint="eastAsia" w:ascii="宋体" w:hAnsi="宋体"/>
          <w:szCs w:val="21"/>
          <w:highlight w:val="none"/>
        </w:rPr>
        <w:t>7. 参选人注册</w:t>
      </w:r>
      <w:r>
        <w:rPr>
          <w:highlight w:val="none"/>
        </w:rPr>
        <w:tab/>
      </w:r>
      <w:r>
        <w:rPr>
          <w:highlight w:val="none"/>
        </w:rPr>
        <w:fldChar w:fldCharType="begin"/>
      </w:r>
      <w:r>
        <w:rPr>
          <w:highlight w:val="none"/>
        </w:rPr>
        <w:instrText xml:space="preserve"> PAGEREF _Toc8252 \h </w:instrText>
      </w:r>
      <w:r>
        <w:rPr>
          <w:highlight w:val="none"/>
        </w:rPr>
        <w:fldChar w:fldCharType="separate"/>
      </w:r>
      <w:r>
        <w:rPr>
          <w:highlight w:val="none"/>
        </w:rPr>
        <w:t>6</w:t>
      </w:r>
      <w:r>
        <w:rPr>
          <w:highlight w:val="none"/>
        </w:rPr>
        <w:fldChar w:fldCharType="end"/>
      </w:r>
      <w:r>
        <w:rPr>
          <w:color w:val="auto"/>
          <w:highlight w:val="none"/>
        </w:rPr>
        <w:fldChar w:fldCharType="end"/>
      </w:r>
    </w:p>
    <w:p>
      <w:pPr>
        <w:pStyle w:val="33"/>
        <w:tabs>
          <w:tab w:val="right" w:leader="dot" w:pos="8504"/>
          <w:tab w:val="clear" w:pos="567"/>
          <w:tab w:val="clear" w:pos="8505"/>
          <w:tab w:val="clear" w:pos="9628"/>
        </w:tabs>
        <w:rPr>
          <w:highlight w:val="none"/>
        </w:rPr>
      </w:pPr>
      <w:r>
        <w:rPr>
          <w:color w:val="auto"/>
          <w:highlight w:val="none"/>
        </w:rPr>
        <w:fldChar w:fldCharType="begin"/>
      </w:r>
      <w:r>
        <w:rPr>
          <w:highlight w:val="none"/>
        </w:rPr>
        <w:instrText xml:space="preserve"> HYPERLINK \l _Toc15145 </w:instrText>
      </w:r>
      <w:r>
        <w:rPr>
          <w:highlight w:val="none"/>
        </w:rPr>
        <w:fldChar w:fldCharType="separate"/>
      </w:r>
      <w:r>
        <w:rPr>
          <w:rFonts w:hint="eastAsia" w:ascii="宋体" w:hAnsi="宋体"/>
          <w:szCs w:val="21"/>
          <w:highlight w:val="none"/>
        </w:rPr>
        <w:t>8. 异议接收及联系方式</w:t>
      </w:r>
      <w:r>
        <w:rPr>
          <w:highlight w:val="none"/>
        </w:rPr>
        <w:tab/>
      </w:r>
      <w:r>
        <w:rPr>
          <w:highlight w:val="none"/>
        </w:rPr>
        <w:fldChar w:fldCharType="begin"/>
      </w:r>
      <w:r>
        <w:rPr>
          <w:highlight w:val="none"/>
        </w:rPr>
        <w:instrText xml:space="preserve"> PAGEREF _Toc15145 \h </w:instrText>
      </w:r>
      <w:r>
        <w:rPr>
          <w:highlight w:val="none"/>
        </w:rPr>
        <w:fldChar w:fldCharType="separate"/>
      </w:r>
      <w:r>
        <w:rPr>
          <w:highlight w:val="none"/>
        </w:rPr>
        <w:t>6</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_Toc27907 </w:instrText>
      </w:r>
      <w:r>
        <w:rPr>
          <w:highlight w:val="none"/>
        </w:rPr>
        <w:fldChar w:fldCharType="separate"/>
      </w:r>
      <w:r>
        <w:rPr>
          <w:rFonts w:hint="eastAsia" w:ascii="宋体" w:hAnsi="宋体" w:eastAsia="宋体" w:cs="宋体"/>
          <w:bCs w:val="0"/>
          <w:kern w:val="0"/>
          <w:szCs w:val="28"/>
          <w:highlight w:val="none"/>
        </w:rPr>
        <w:t>第二章</w:t>
      </w:r>
      <w:r>
        <w:rPr>
          <w:rFonts w:ascii="宋体" w:hAnsi="宋体" w:eastAsia="宋体" w:cs="宋体"/>
          <w:bCs w:val="0"/>
          <w:kern w:val="0"/>
          <w:szCs w:val="28"/>
          <w:highlight w:val="none"/>
        </w:rPr>
        <w:t xml:space="preserve">  </w:t>
      </w:r>
      <w:r>
        <w:rPr>
          <w:rFonts w:hint="eastAsia" w:ascii="宋体" w:hAnsi="宋体" w:eastAsia="宋体" w:cs="宋体"/>
          <w:bCs w:val="0"/>
          <w:kern w:val="0"/>
          <w:szCs w:val="28"/>
          <w:highlight w:val="none"/>
        </w:rPr>
        <w:t>参选人须知</w:t>
      </w:r>
      <w:r>
        <w:rPr>
          <w:highlight w:val="none"/>
        </w:rPr>
        <w:tab/>
      </w:r>
      <w:r>
        <w:rPr>
          <w:highlight w:val="none"/>
        </w:rPr>
        <w:fldChar w:fldCharType="begin"/>
      </w:r>
      <w:r>
        <w:rPr>
          <w:highlight w:val="none"/>
        </w:rPr>
        <w:instrText xml:space="preserve"> PAGEREF _Toc27907 \h </w:instrText>
      </w:r>
      <w:r>
        <w:rPr>
          <w:highlight w:val="none"/>
        </w:rPr>
        <w:fldChar w:fldCharType="separate"/>
      </w:r>
      <w:r>
        <w:rPr>
          <w:highlight w:val="none"/>
        </w:rPr>
        <w:t>8</w:t>
      </w:r>
      <w:r>
        <w:rPr>
          <w:highlight w:val="none"/>
        </w:rPr>
        <w:fldChar w:fldCharType="end"/>
      </w:r>
      <w:r>
        <w:rPr>
          <w:color w:val="auto"/>
          <w:highlight w:val="none"/>
        </w:rPr>
        <w:fldChar w:fldCharType="end"/>
      </w:r>
    </w:p>
    <w:p>
      <w:pPr>
        <w:pStyle w:val="33"/>
        <w:tabs>
          <w:tab w:val="right" w:leader="dot" w:pos="8504"/>
          <w:tab w:val="clear" w:pos="567"/>
          <w:tab w:val="clear" w:pos="8505"/>
          <w:tab w:val="clear" w:pos="9628"/>
        </w:tabs>
        <w:rPr>
          <w:highlight w:val="none"/>
        </w:rPr>
      </w:pPr>
      <w:r>
        <w:rPr>
          <w:color w:val="auto"/>
          <w:highlight w:val="none"/>
        </w:rPr>
        <w:fldChar w:fldCharType="begin"/>
      </w:r>
      <w:r>
        <w:rPr>
          <w:highlight w:val="none"/>
        </w:rPr>
        <w:instrText xml:space="preserve"> HYPERLINK \l _Toc11657 </w:instrText>
      </w:r>
      <w:r>
        <w:rPr>
          <w:highlight w:val="none"/>
        </w:rPr>
        <w:fldChar w:fldCharType="separate"/>
      </w:r>
      <w:r>
        <w:rPr>
          <w:rFonts w:hint="eastAsia" w:ascii="宋体" w:hAnsi="宋体" w:eastAsia="宋体" w:cs="宋体"/>
          <w:bCs/>
          <w:szCs w:val="24"/>
          <w:highlight w:val="none"/>
        </w:rPr>
        <w:t>参选人须知前附表</w:t>
      </w:r>
      <w:r>
        <w:rPr>
          <w:highlight w:val="none"/>
        </w:rPr>
        <w:tab/>
      </w:r>
      <w:r>
        <w:rPr>
          <w:highlight w:val="none"/>
        </w:rPr>
        <w:fldChar w:fldCharType="begin"/>
      </w:r>
      <w:r>
        <w:rPr>
          <w:highlight w:val="none"/>
        </w:rPr>
        <w:instrText xml:space="preserve"> PAGEREF _Toc11657 \h </w:instrText>
      </w:r>
      <w:r>
        <w:rPr>
          <w:highlight w:val="none"/>
        </w:rPr>
        <w:fldChar w:fldCharType="separate"/>
      </w:r>
      <w:r>
        <w:rPr>
          <w:highlight w:val="none"/>
        </w:rPr>
        <w:t>8</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_Toc4076 </w:instrText>
      </w:r>
      <w:r>
        <w:rPr>
          <w:highlight w:val="none"/>
        </w:rPr>
        <w:fldChar w:fldCharType="separate"/>
      </w:r>
      <w:r>
        <w:rPr>
          <w:rFonts w:hint="eastAsia" w:ascii="宋体" w:hAnsi="宋体"/>
          <w:szCs w:val="28"/>
          <w:highlight w:val="none"/>
        </w:rPr>
        <w:t>1.总则</w:t>
      </w:r>
      <w:r>
        <w:rPr>
          <w:highlight w:val="none"/>
        </w:rPr>
        <w:tab/>
      </w:r>
      <w:r>
        <w:rPr>
          <w:highlight w:val="none"/>
        </w:rPr>
        <w:fldChar w:fldCharType="begin"/>
      </w:r>
      <w:r>
        <w:rPr>
          <w:highlight w:val="none"/>
        </w:rPr>
        <w:instrText xml:space="preserve"> PAGEREF _Toc4076 \h </w:instrText>
      </w:r>
      <w:r>
        <w:rPr>
          <w:highlight w:val="none"/>
        </w:rPr>
        <w:fldChar w:fldCharType="separate"/>
      </w:r>
      <w:r>
        <w:rPr>
          <w:highlight w:val="none"/>
        </w:rPr>
        <w:t>16</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_Toc19029 </w:instrText>
      </w:r>
      <w:r>
        <w:rPr>
          <w:highlight w:val="none"/>
        </w:rPr>
        <w:fldChar w:fldCharType="separate"/>
      </w:r>
      <w:r>
        <w:rPr>
          <w:rFonts w:hint="eastAsia" w:ascii="宋体" w:hAnsi="宋体"/>
          <w:szCs w:val="28"/>
          <w:highlight w:val="none"/>
        </w:rPr>
        <w:t>2.比选文件</w:t>
      </w:r>
      <w:r>
        <w:rPr>
          <w:highlight w:val="none"/>
        </w:rPr>
        <w:tab/>
      </w:r>
      <w:r>
        <w:rPr>
          <w:highlight w:val="none"/>
        </w:rPr>
        <w:fldChar w:fldCharType="begin"/>
      </w:r>
      <w:r>
        <w:rPr>
          <w:highlight w:val="none"/>
        </w:rPr>
        <w:instrText xml:space="preserve"> PAGEREF _Toc19029 \h </w:instrText>
      </w:r>
      <w:r>
        <w:rPr>
          <w:highlight w:val="none"/>
        </w:rPr>
        <w:fldChar w:fldCharType="separate"/>
      </w:r>
      <w:r>
        <w:rPr>
          <w:highlight w:val="none"/>
        </w:rPr>
        <w:t>17</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_Toc19987 </w:instrText>
      </w:r>
      <w:r>
        <w:rPr>
          <w:highlight w:val="none"/>
        </w:rPr>
        <w:fldChar w:fldCharType="separate"/>
      </w:r>
      <w:r>
        <w:rPr>
          <w:rFonts w:hint="eastAsia" w:ascii="宋体" w:hAnsi="宋体"/>
          <w:szCs w:val="28"/>
          <w:highlight w:val="none"/>
        </w:rPr>
        <w:t>3.参选文件</w:t>
      </w:r>
      <w:r>
        <w:rPr>
          <w:highlight w:val="none"/>
        </w:rPr>
        <w:tab/>
      </w:r>
      <w:r>
        <w:rPr>
          <w:highlight w:val="none"/>
        </w:rPr>
        <w:fldChar w:fldCharType="begin"/>
      </w:r>
      <w:r>
        <w:rPr>
          <w:highlight w:val="none"/>
        </w:rPr>
        <w:instrText xml:space="preserve"> PAGEREF _Toc19987 \h </w:instrText>
      </w:r>
      <w:r>
        <w:rPr>
          <w:highlight w:val="none"/>
        </w:rPr>
        <w:fldChar w:fldCharType="separate"/>
      </w:r>
      <w:r>
        <w:rPr>
          <w:highlight w:val="none"/>
        </w:rPr>
        <w:t>19</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_Toc25308 </w:instrText>
      </w:r>
      <w:r>
        <w:rPr>
          <w:highlight w:val="none"/>
        </w:rPr>
        <w:fldChar w:fldCharType="separate"/>
      </w:r>
      <w:r>
        <w:rPr>
          <w:rFonts w:hint="eastAsia" w:ascii="宋体" w:hAnsi="宋体"/>
          <w:szCs w:val="28"/>
          <w:highlight w:val="none"/>
        </w:rPr>
        <w:t>4.参选</w:t>
      </w:r>
      <w:r>
        <w:rPr>
          <w:highlight w:val="none"/>
        </w:rPr>
        <w:tab/>
      </w:r>
      <w:r>
        <w:rPr>
          <w:highlight w:val="none"/>
        </w:rPr>
        <w:fldChar w:fldCharType="begin"/>
      </w:r>
      <w:r>
        <w:rPr>
          <w:highlight w:val="none"/>
        </w:rPr>
        <w:instrText xml:space="preserve"> PAGEREF _Toc25308 \h </w:instrText>
      </w:r>
      <w:r>
        <w:rPr>
          <w:highlight w:val="none"/>
        </w:rPr>
        <w:fldChar w:fldCharType="separate"/>
      </w:r>
      <w:r>
        <w:rPr>
          <w:highlight w:val="none"/>
        </w:rPr>
        <w:t>21</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_Toc22950 </w:instrText>
      </w:r>
      <w:r>
        <w:rPr>
          <w:highlight w:val="none"/>
        </w:rPr>
        <w:fldChar w:fldCharType="separate"/>
      </w:r>
      <w:r>
        <w:rPr>
          <w:rFonts w:hint="eastAsia" w:ascii="宋体" w:hAnsi="宋体"/>
          <w:szCs w:val="28"/>
          <w:highlight w:val="none"/>
        </w:rPr>
        <w:t>5.唱价</w:t>
      </w:r>
      <w:r>
        <w:rPr>
          <w:highlight w:val="none"/>
        </w:rPr>
        <w:tab/>
      </w:r>
      <w:r>
        <w:rPr>
          <w:highlight w:val="none"/>
        </w:rPr>
        <w:fldChar w:fldCharType="begin"/>
      </w:r>
      <w:r>
        <w:rPr>
          <w:highlight w:val="none"/>
        </w:rPr>
        <w:instrText xml:space="preserve"> PAGEREF _Toc22950 \h </w:instrText>
      </w:r>
      <w:r>
        <w:rPr>
          <w:highlight w:val="none"/>
        </w:rPr>
        <w:fldChar w:fldCharType="separate"/>
      </w:r>
      <w:r>
        <w:rPr>
          <w:highlight w:val="none"/>
        </w:rPr>
        <w:t>22</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_Toc22087 </w:instrText>
      </w:r>
      <w:r>
        <w:rPr>
          <w:highlight w:val="none"/>
        </w:rPr>
        <w:fldChar w:fldCharType="separate"/>
      </w:r>
      <w:r>
        <w:rPr>
          <w:rFonts w:hint="eastAsia" w:ascii="宋体" w:hAnsi="宋体"/>
          <w:szCs w:val="28"/>
          <w:highlight w:val="none"/>
        </w:rPr>
        <w:t>6.评选</w:t>
      </w:r>
      <w:r>
        <w:rPr>
          <w:highlight w:val="none"/>
        </w:rPr>
        <w:tab/>
      </w:r>
      <w:r>
        <w:rPr>
          <w:highlight w:val="none"/>
        </w:rPr>
        <w:fldChar w:fldCharType="begin"/>
      </w:r>
      <w:r>
        <w:rPr>
          <w:highlight w:val="none"/>
        </w:rPr>
        <w:instrText xml:space="preserve"> PAGEREF _Toc22087 \h </w:instrText>
      </w:r>
      <w:r>
        <w:rPr>
          <w:highlight w:val="none"/>
        </w:rPr>
        <w:fldChar w:fldCharType="separate"/>
      </w:r>
      <w:r>
        <w:rPr>
          <w:highlight w:val="none"/>
        </w:rPr>
        <w:t>23</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_Toc31766 </w:instrText>
      </w:r>
      <w:r>
        <w:rPr>
          <w:highlight w:val="none"/>
        </w:rPr>
        <w:fldChar w:fldCharType="separate"/>
      </w:r>
      <w:r>
        <w:rPr>
          <w:rFonts w:hint="eastAsia" w:ascii="宋体" w:hAnsi="宋体"/>
          <w:szCs w:val="28"/>
          <w:highlight w:val="none"/>
        </w:rPr>
        <w:t>7.中选</w:t>
      </w:r>
      <w:r>
        <w:rPr>
          <w:highlight w:val="none"/>
        </w:rPr>
        <w:tab/>
      </w:r>
      <w:r>
        <w:rPr>
          <w:highlight w:val="none"/>
        </w:rPr>
        <w:fldChar w:fldCharType="begin"/>
      </w:r>
      <w:r>
        <w:rPr>
          <w:highlight w:val="none"/>
        </w:rPr>
        <w:instrText xml:space="preserve"> PAGEREF _Toc31766 \h </w:instrText>
      </w:r>
      <w:r>
        <w:rPr>
          <w:highlight w:val="none"/>
        </w:rPr>
        <w:fldChar w:fldCharType="separate"/>
      </w:r>
      <w:r>
        <w:rPr>
          <w:highlight w:val="none"/>
        </w:rPr>
        <w:t>24</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_Toc15240 </w:instrText>
      </w:r>
      <w:r>
        <w:rPr>
          <w:highlight w:val="none"/>
        </w:rPr>
        <w:fldChar w:fldCharType="separate"/>
      </w:r>
      <w:r>
        <w:rPr>
          <w:rFonts w:hint="eastAsia" w:ascii="宋体" w:hAnsi="宋体"/>
          <w:szCs w:val="28"/>
          <w:highlight w:val="none"/>
        </w:rPr>
        <w:t>8.合同签订</w:t>
      </w:r>
      <w:r>
        <w:rPr>
          <w:highlight w:val="none"/>
        </w:rPr>
        <w:tab/>
      </w:r>
      <w:r>
        <w:rPr>
          <w:highlight w:val="none"/>
        </w:rPr>
        <w:fldChar w:fldCharType="begin"/>
      </w:r>
      <w:r>
        <w:rPr>
          <w:highlight w:val="none"/>
        </w:rPr>
        <w:instrText xml:space="preserve"> PAGEREF _Toc15240 \h </w:instrText>
      </w:r>
      <w:r>
        <w:rPr>
          <w:highlight w:val="none"/>
        </w:rPr>
        <w:fldChar w:fldCharType="separate"/>
      </w:r>
      <w:r>
        <w:rPr>
          <w:highlight w:val="none"/>
        </w:rPr>
        <w:t>25</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_Toc7877 </w:instrText>
      </w:r>
      <w:r>
        <w:rPr>
          <w:highlight w:val="none"/>
        </w:rPr>
        <w:fldChar w:fldCharType="separate"/>
      </w:r>
      <w:r>
        <w:rPr>
          <w:rFonts w:hint="eastAsia" w:ascii="宋体" w:hAnsi="宋体"/>
          <w:szCs w:val="28"/>
          <w:highlight w:val="none"/>
        </w:rPr>
        <w:t>9.比选代理服务费</w:t>
      </w:r>
      <w:r>
        <w:rPr>
          <w:highlight w:val="none"/>
        </w:rPr>
        <w:tab/>
      </w:r>
      <w:r>
        <w:rPr>
          <w:highlight w:val="none"/>
        </w:rPr>
        <w:fldChar w:fldCharType="begin"/>
      </w:r>
      <w:r>
        <w:rPr>
          <w:highlight w:val="none"/>
        </w:rPr>
        <w:instrText xml:space="preserve"> PAGEREF _Toc7877 \h </w:instrText>
      </w:r>
      <w:r>
        <w:rPr>
          <w:highlight w:val="none"/>
        </w:rPr>
        <w:fldChar w:fldCharType="separate"/>
      </w:r>
      <w:r>
        <w:rPr>
          <w:highlight w:val="none"/>
        </w:rPr>
        <w:t>25</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_Toc13255 </w:instrText>
      </w:r>
      <w:r>
        <w:rPr>
          <w:highlight w:val="none"/>
        </w:rPr>
        <w:fldChar w:fldCharType="separate"/>
      </w:r>
      <w:r>
        <w:rPr>
          <w:rFonts w:hint="eastAsia" w:ascii="宋体" w:hAnsi="宋体"/>
          <w:szCs w:val="28"/>
          <w:highlight w:val="none"/>
        </w:rPr>
        <w:t>10.纪律和监督</w:t>
      </w:r>
      <w:r>
        <w:rPr>
          <w:highlight w:val="none"/>
        </w:rPr>
        <w:tab/>
      </w:r>
      <w:r>
        <w:rPr>
          <w:highlight w:val="none"/>
        </w:rPr>
        <w:fldChar w:fldCharType="begin"/>
      </w:r>
      <w:r>
        <w:rPr>
          <w:highlight w:val="none"/>
        </w:rPr>
        <w:instrText xml:space="preserve"> PAGEREF _Toc13255 \h </w:instrText>
      </w:r>
      <w:r>
        <w:rPr>
          <w:highlight w:val="none"/>
        </w:rPr>
        <w:fldChar w:fldCharType="separate"/>
      </w:r>
      <w:r>
        <w:rPr>
          <w:highlight w:val="none"/>
        </w:rPr>
        <w:t>25</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_Toc3651 </w:instrText>
      </w:r>
      <w:r>
        <w:rPr>
          <w:highlight w:val="none"/>
        </w:rPr>
        <w:fldChar w:fldCharType="separate"/>
      </w:r>
      <w:r>
        <w:rPr>
          <w:rFonts w:hint="eastAsia" w:ascii="宋体" w:hAnsi="宋体"/>
          <w:szCs w:val="28"/>
          <w:highlight w:val="none"/>
        </w:rPr>
        <w:t>11.</w:t>
      </w:r>
      <w:r>
        <w:rPr>
          <w:rFonts w:ascii="宋体" w:hAnsi="宋体"/>
          <w:highlight w:val="none"/>
        </w:rPr>
        <w:t xml:space="preserve"> 是否采用</w:t>
      </w:r>
      <w:r>
        <w:rPr>
          <w:rFonts w:hint="eastAsia" w:ascii="宋体" w:hAnsi="宋体"/>
          <w:highlight w:val="none"/>
        </w:rPr>
        <w:t>电子比选参选</w:t>
      </w:r>
      <w:r>
        <w:rPr>
          <w:highlight w:val="none"/>
        </w:rPr>
        <w:tab/>
      </w:r>
      <w:r>
        <w:rPr>
          <w:highlight w:val="none"/>
        </w:rPr>
        <w:fldChar w:fldCharType="begin"/>
      </w:r>
      <w:r>
        <w:rPr>
          <w:highlight w:val="none"/>
        </w:rPr>
        <w:instrText xml:space="preserve"> PAGEREF _Toc3651 \h </w:instrText>
      </w:r>
      <w:r>
        <w:rPr>
          <w:highlight w:val="none"/>
        </w:rPr>
        <w:fldChar w:fldCharType="separate"/>
      </w:r>
      <w:r>
        <w:rPr>
          <w:highlight w:val="none"/>
        </w:rPr>
        <w:t>26</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_Toc28981 </w:instrText>
      </w:r>
      <w:r>
        <w:rPr>
          <w:highlight w:val="none"/>
        </w:rPr>
        <w:fldChar w:fldCharType="separate"/>
      </w:r>
      <w:r>
        <w:rPr>
          <w:rFonts w:hint="eastAsia" w:ascii="宋体" w:hAnsi="宋体"/>
          <w:bCs w:val="0"/>
          <w:szCs w:val="20"/>
          <w:highlight w:val="none"/>
        </w:rPr>
        <w:t>本比选项目是否采用电子比选参选方式，见比选人须知前附表</w:t>
      </w:r>
      <w:r>
        <w:rPr>
          <w:highlight w:val="none"/>
        </w:rPr>
        <w:tab/>
      </w:r>
      <w:r>
        <w:rPr>
          <w:highlight w:val="none"/>
        </w:rPr>
        <w:fldChar w:fldCharType="begin"/>
      </w:r>
      <w:r>
        <w:rPr>
          <w:highlight w:val="none"/>
        </w:rPr>
        <w:instrText xml:space="preserve"> PAGEREF _Toc28981 \h </w:instrText>
      </w:r>
      <w:r>
        <w:rPr>
          <w:highlight w:val="none"/>
        </w:rPr>
        <w:fldChar w:fldCharType="separate"/>
      </w:r>
      <w:r>
        <w:rPr>
          <w:highlight w:val="none"/>
        </w:rPr>
        <w:t>26</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_Toc29787 </w:instrText>
      </w:r>
      <w:r>
        <w:rPr>
          <w:highlight w:val="none"/>
        </w:rPr>
        <w:fldChar w:fldCharType="separate"/>
      </w:r>
      <w:r>
        <w:rPr>
          <w:rFonts w:hint="eastAsia" w:ascii="宋体" w:hAnsi="宋体"/>
          <w:szCs w:val="28"/>
          <w:highlight w:val="none"/>
        </w:rPr>
        <w:t>12.需要补充的其他内容</w:t>
      </w:r>
      <w:r>
        <w:rPr>
          <w:highlight w:val="none"/>
        </w:rPr>
        <w:tab/>
      </w:r>
      <w:r>
        <w:rPr>
          <w:highlight w:val="none"/>
        </w:rPr>
        <w:fldChar w:fldCharType="begin"/>
      </w:r>
      <w:r>
        <w:rPr>
          <w:highlight w:val="none"/>
        </w:rPr>
        <w:instrText xml:space="preserve"> PAGEREF _Toc29787 \h </w:instrText>
      </w:r>
      <w:r>
        <w:rPr>
          <w:highlight w:val="none"/>
        </w:rPr>
        <w:fldChar w:fldCharType="separate"/>
      </w:r>
      <w:r>
        <w:rPr>
          <w:highlight w:val="none"/>
        </w:rPr>
        <w:t>26</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_Toc7529 </w:instrText>
      </w:r>
      <w:r>
        <w:rPr>
          <w:highlight w:val="none"/>
        </w:rPr>
        <w:fldChar w:fldCharType="separate"/>
      </w:r>
      <w:r>
        <w:rPr>
          <w:rFonts w:hint="eastAsia" w:ascii="宋体" w:hAnsi="宋体" w:eastAsia="宋体" w:cs="宋体"/>
          <w:bCs w:val="0"/>
          <w:kern w:val="0"/>
          <w:szCs w:val="28"/>
          <w:highlight w:val="none"/>
        </w:rPr>
        <w:t>第三章</w:t>
      </w:r>
      <w:r>
        <w:rPr>
          <w:rFonts w:ascii="宋体" w:hAnsi="宋体" w:eastAsia="宋体" w:cs="宋体"/>
          <w:bCs w:val="0"/>
          <w:kern w:val="0"/>
          <w:szCs w:val="28"/>
          <w:highlight w:val="none"/>
        </w:rPr>
        <w:t xml:space="preserve"> </w:t>
      </w:r>
      <w:r>
        <w:rPr>
          <w:rFonts w:hint="eastAsia" w:ascii="宋体" w:hAnsi="宋体" w:eastAsia="宋体" w:cs="宋体"/>
          <w:bCs w:val="0"/>
          <w:kern w:val="0"/>
          <w:szCs w:val="28"/>
          <w:highlight w:val="none"/>
        </w:rPr>
        <w:t>评选办法</w:t>
      </w:r>
      <w:r>
        <w:rPr>
          <w:highlight w:val="none"/>
        </w:rPr>
        <w:tab/>
      </w:r>
      <w:r>
        <w:rPr>
          <w:highlight w:val="none"/>
        </w:rPr>
        <w:fldChar w:fldCharType="begin"/>
      </w:r>
      <w:r>
        <w:rPr>
          <w:highlight w:val="none"/>
        </w:rPr>
        <w:instrText xml:space="preserve"> PAGEREF _Toc7529 \h </w:instrText>
      </w:r>
      <w:r>
        <w:rPr>
          <w:highlight w:val="none"/>
        </w:rPr>
        <w:fldChar w:fldCharType="separate"/>
      </w:r>
      <w:r>
        <w:rPr>
          <w:highlight w:val="none"/>
        </w:rPr>
        <w:t>28</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_Toc10097 </w:instrText>
      </w:r>
      <w:r>
        <w:rPr>
          <w:highlight w:val="none"/>
        </w:rPr>
        <w:fldChar w:fldCharType="separate"/>
      </w:r>
      <w:r>
        <w:rPr>
          <w:rFonts w:hint="eastAsia" w:ascii="宋体" w:hAnsi="宋体"/>
          <w:szCs w:val="28"/>
          <w:highlight w:val="none"/>
        </w:rPr>
        <w:t>评选办法前附表</w:t>
      </w:r>
      <w:r>
        <w:rPr>
          <w:highlight w:val="none"/>
        </w:rPr>
        <w:tab/>
      </w:r>
      <w:r>
        <w:rPr>
          <w:highlight w:val="none"/>
        </w:rPr>
        <w:fldChar w:fldCharType="begin"/>
      </w:r>
      <w:r>
        <w:rPr>
          <w:highlight w:val="none"/>
        </w:rPr>
        <w:instrText xml:space="preserve"> PAGEREF _Toc10097 \h </w:instrText>
      </w:r>
      <w:r>
        <w:rPr>
          <w:highlight w:val="none"/>
        </w:rPr>
        <w:fldChar w:fldCharType="separate"/>
      </w:r>
      <w:r>
        <w:rPr>
          <w:highlight w:val="none"/>
        </w:rPr>
        <w:t>28</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_Toc25523 </w:instrText>
      </w:r>
      <w:r>
        <w:rPr>
          <w:highlight w:val="none"/>
        </w:rPr>
        <w:fldChar w:fldCharType="separate"/>
      </w:r>
      <w:r>
        <w:rPr>
          <w:rFonts w:hint="eastAsia" w:ascii="宋体" w:hAnsi="宋体"/>
          <w:szCs w:val="28"/>
          <w:highlight w:val="none"/>
        </w:rPr>
        <w:t>1.评选方法</w:t>
      </w:r>
      <w:r>
        <w:rPr>
          <w:highlight w:val="none"/>
        </w:rPr>
        <w:tab/>
      </w:r>
      <w:r>
        <w:rPr>
          <w:highlight w:val="none"/>
        </w:rPr>
        <w:fldChar w:fldCharType="begin"/>
      </w:r>
      <w:r>
        <w:rPr>
          <w:highlight w:val="none"/>
        </w:rPr>
        <w:instrText xml:space="preserve"> PAGEREF _Toc25523 \h </w:instrText>
      </w:r>
      <w:r>
        <w:rPr>
          <w:highlight w:val="none"/>
        </w:rPr>
        <w:fldChar w:fldCharType="separate"/>
      </w:r>
      <w:r>
        <w:rPr>
          <w:highlight w:val="none"/>
        </w:rPr>
        <w:t>33</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_Toc8717 </w:instrText>
      </w:r>
      <w:r>
        <w:rPr>
          <w:highlight w:val="none"/>
        </w:rPr>
        <w:fldChar w:fldCharType="separate"/>
      </w:r>
      <w:r>
        <w:rPr>
          <w:rFonts w:hint="eastAsia" w:ascii="宋体" w:hAnsi="宋体"/>
          <w:szCs w:val="28"/>
          <w:highlight w:val="none"/>
        </w:rPr>
        <w:t>2.评审标准</w:t>
      </w:r>
      <w:r>
        <w:rPr>
          <w:highlight w:val="none"/>
        </w:rPr>
        <w:tab/>
      </w:r>
      <w:r>
        <w:rPr>
          <w:highlight w:val="none"/>
        </w:rPr>
        <w:fldChar w:fldCharType="begin"/>
      </w:r>
      <w:r>
        <w:rPr>
          <w:highlight w:val="none"/>
        </w:rPr>
        <w:instrText xml:space="preserve"> PAGEREF _Toc8717 \h </w:instrText>
      </w:r>
      <w:r>
        <w:rPr>
          <w:highlight w:val="none"/>
        </w:rPr>
        <w:fldChar w:fldCharType="separate"/>
      </w:r>
      <w:r>
        <w:rPr>
          <w:highlight w:val="none"/>
        </w:rPr>
        <w:t>33</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_Toc18191 </w:instrText>
      </w:r>
      <w:r>
        <w:rPr>
          <w:highlight w:val="none"/>
        </w:rPr>
        <w:fldChar w:fldCharType="separate"/>
      </w:r>
      <w:r>
        <w:rPr>
          <w:rFonts w:hint="eastAsia" w:ascii="宋体" w:hAnsi="宋体"/>
          <w:szCs w:val="28"/>
          <w:highlight w:val="none"/>
        </w:rPr>
        <w:t>3.评选程序</w:t>
      </w:r>
      <w:r>
        <w:rPr>
          <w:highlight w:val="none"/>
        </w:rPr>
        <w:tab/>
      </w:r>
      <w:r>
        <w:rPr>
          <w:highlight w:val="none"/>
        </w:rPr>
        <w:fldChar w:fldCharType="begin"/>
      </w:r>
      <w:r>
        <w:rPr>
          <w:highlight w:val="none"/>
        </w:rPr>
        <w:instrText xml:space="preserve"> PAGEREF _Toc18191 \h </w:instrText>
      </w:r>
      <w:r>
        <w:rPr>
          <w:highlight w:val="none"/>
        </w:rPr>
        <w:fldChar w:fldCharType="separate"/>
      </w:r>
      <w:r>
        <w:rPr>
          <w:highlight w:val="none"/>
        </w:rPr>
        <w:t>33</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_Toc19335 </w:instrText>
      </w:r>
      <w:r>
        <w:rPr>
          <w:highlight w:val="none"/>
        </w:rPr>
        <w:fldChar w:fldCharType="separate"/>
      </w:r>
      <w:r>
        <w:rPr>
          <w:rFonts w:hint="eastAsia" w:ascii="宋体" w:hAnsi="宋体" w:eastAsia="宋体" w:cs="宋体"/>
          <w:bCs w:val="0"/>
          <w:kern w:val="0"/>
          <w:szCs w:val="28"/>
          <w:highlight w:val="none"/>
        </w:rPr>
        <w:t>第四章</w:t>
      </w:r>
      <w:r>
        <w:rPr>
          <w:rFonts w:ascii="宋体" w:hAnsi="宋体" w:eastAsia="宋体" w:cs="宋体"/>
          <w:bCs w:val="0"/>
          <w:kern w:val="0"/>
          <w:szCs w:val="28"/>
          <w:highlight w:val="none"/>
        </w:rPr>
        <w:t xml:space="preserve"> </w:t>
      </w:r>
      <w:r>
        <w:rPr>
          <w:rFonts w:hint="eastAsia" w:ascii="宋体" w:hAnsi="宋体" w:eastAsia="宋体" w:cs="宋体"/>
          <w:bCs w:val="0"/>
          <w:kern w:val="0"/>
          <w:szCs w:val="28"/>
          <w:highlight w:val="none"/>
        </w:rPr>
        <w:t>商务规范书</w:t>
      </w:r>
      <w:r>
        <w:rPr>
          <w:highlight w:val="none"/>
        </w:rPr>
        <w:tab/>
      </w:r>
      <w:r>
        <w:rPr>
          <w:highlight w:val="none"/>
        </w:rPr>
        <w:fldChar w:fldCharType="begin"/>
      </w:r>
      <w:r>
        <w:rPr>
          <w:highlight w:val="none"/>
        </w:rPr>
        <w:instrText xml:space="preserve"> PAGEREF _Toc19335 \h </w:instrText>
      </w:r>
      <w:r>
        <w:rPr>
          <w:highlight w:val="none"/>
        </w:rPr>
        <w:fldChar w:fldCharType="separate"/>
      </w:r>
      <w:r>
        <w:rPr>
          <w:highlight w:val="none"/>
        </w:rPr>
        <w:t>36</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_Toc26776 </w:instrText>
      </w:r>
      <w:r>
        <w:rPr>
          <w:highlight w:val="none"/>
        </w:rPr>
        <w:fldChar w:fldCharType="separate"/>
      </w:r>
      <w:r>
        <w:rPr>
          <w:rFonts w:hint="eastAsia" w:ascii="宋体" w:hAnsi="宋体" w:eastAsia="宋体" w:cs="宋体"/>
          <w:bCs w:val="0"/>
          <w:kern w:val="0"/>
          <w:szCs w:val="28"/>
          <w:highlight w:val="none"/>
        </w:rPr>
        <w:t>第五章 项目技术和服务要求</w:t>
      </w:r>
      <w:r>
        <w:rPr>
          <w:highlight w:val="none"/>
        </w:rPr>
        <w:tab/>
      </w:r>
      <w:r>
        <w:rPr>
          <w:highlight w:val="none"/>
        </w:rPr>
        <w:fldChar w:fldCharType="begin"/>
      </w:r>
      <w:r>
        <w:rPr>
          <w:highlight w:val="none"/>
        </w:rPr>
        <w:instrText xml:space="preserve"> PAGEREF _Toc26776 \h </w:instrText>
      </w:r>
      <w:r>
        <w:rPr>
          <w:highlight w:val="none"/>
        </w:rPr>
        <w:fldChar w:fldCharType="separate"/>
      </w:r>
      <w:r>
        <w:rPr>
          <w:highlight w:val="none"/>
        </w:rPr>
        <w:t>37</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_Toc17189 </w:instrText>
      </w:r>
      <w:r>
        <w:rPr>
          <w:highlight w:val="none"/>
        </w:rPr>
        <w:fldChar w:fldCharType="separate"/>
      </w:r>
      <w:r>
        <w:rPr>
          <w:rFonts w:hint="eastAsia" w:ascii="宋体" w:hAnsi="宋体" w:eastAsia="宋体" w:cs="宋体"/>
          <w:bCs w:val="0"/>
          <w:kern w:val="0"/>
          <w:szCs w:val="28"/>
          <w:highlight w:val="none"/>
        </w:rPr>
        <w:t>第六章  参选文件格式</w:t>
      </w:r>
      <w:r>
        <w:rPr>
          <w:highlight w:val="none"/>
        </w:rPr>
        <w:tab/>
      </w:r>
      <w:r>
        <w:rPr>
          <w:highlight w:val="none"/>
        </w:rPr>
        <w:fldChar w:fldCharType="begin"/>
      </w:r>
      <w:r>
        <w:rPr>
          <w:highlight w:val="none"/>
        </w:rPr>
        <w:instrText xml:space="preserve"> PAGEREF _Toc17189 \h </w:instrText>
      </w:r>
      <w:r>
        <w:rPr>
          <w:highlight w:val="none"/>
        </w:rPr>
        <w:fldChar w:fldCharType="separate"/>
      </w:r>
      <w:r>
        <w:rPr>
          <w:highlight w:val="none"/>
        </w:rPr>
        <w:t>38</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_Toc19119 </w:instrText>
      </w:r>
      <w:r>
        <w:rPr>
          <w:highlight w:val="none"/>
        </w:rPr>
        <w:fldChar w:fldCharType="separate"/>
      </w:r>
      <w:r>
        <w:rPr>
          <w:rFonts w:hint="eastAsia" w:ascii="宋体" w:hAnsi="宋体"/>
          <w:szCs w:val="28"/>
          <w:highlight w:val="none"/>
        </w:rPr>
        <w:t>一、商务技术参选文件封面</w:t>
      </w:r>
      <w:r>
        <w:rPr>
          <w:highlight w:val="none"/>
        </w:rPr>
        <w:tab/>
      </w:r>
      <w:r>
        <w:rPr>
          <w:highlight w:val="none"/>
        </w:rPr>
        <w:fldChar w:fldCharType="begin"/>
      </w:r>
      <w:r>
        <w:rPr>
          <w:highlight w:val="none"/>
        </w:rPr>
        <w:instrText xml:space="preserve"> PAGEREF _Toc19119 \h </w:instrText>
      </w:r>
      <w:r>
        <w:rPr>
          <w:highlight w:val="none"/>
        </w:rPr>
        <w:fldChar w:fldCharType="separate"/>
      </w:r>
      <w:r>
        <w:rPr>
          <w:highlight w:val="none"/>
        </w:rPr>
        <w:t>38</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_Toc10548 </w:instrText>
      </w:r>
      <w:r>
        <w:rPr>
          <w:highlight w:val="none"/>
        </w:rPr>
        <w:fldChar w:fldCharType="separate"/>
      </w:r>
      <w:r>
        <w:rPr>
          <w:rFonts w:hint="eastAsia" w:ascii="宋体" w:hAnsi="宋体"/>
          <w:szCs w:val="24"/>
          <w:highlight w:val="none"/>
        </w:rPr>
        <w:t>1. 商务技术评审索引表</w:t>
      </w:r>
      <w:r>
        <w:rPr>
          <w:highlight w:val="none"/>
        </w:rPr>
        <w:tab/>
      </w:r>
      <w:r>
        <w:rPr>
          <w:highlight w:val="none"/>
        </w:rPr>
        <w:fldChar w:fldCharType="begin"/>
      </w:r>
      <w:r>
        <w:rPr>
          <w:highlight w:val="none"/>
        </w:rPr>
        <w:instrText xml:space="preserve"> PAGEREF _Toc10548 \h </w:instrText>
      </w:r>
      <w:r>
        <w:rPr>
          <w:highlight w:val="none"/>
        </w:rPr>
        <w:fldChar w:fldCharType="separate"/>
      </w:r>
      <w:r>
        <w:rPr>
          <w:highlight w:val="none"/>
        </w:rPr>
        <w:t>40</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_Toc15915 </w:instrText>
      </w:r>
      <w:r>
        <w:rPr>
          <w:highlight w:val="none"/>
        </w:rPr>
        <w:fldChar w:fldCharType="separate"/>
      </w:r>
      <w:r>
        <w:rPr>
          <w:rFonts w:hint="eastAsia" w:ascii="宋体" w:hAnsi="宋体"/>
          <w:szCs w:val="24"/>
          <w:highlight w:val="none"/>
        </w:rPr>
        <w:t>2. 专用印章授权函（如有）</w:t>
      </w:r>
      <w:r>
        <w:rPr>
          <w:highlight w:val="none"/>
        </w:rPr>
        <w:tab/>
      </w:r>
      <w:r>
        <w:rPr>
          <w:highlight w:val="none"/>
        </w:rPr>
        <w:fldChar w:fldCharType="begin"/>
      </w:r>
      <w:r>
        <w:rPr>
          <w:highlight w:val="none"/>
        </w:rPr>
        <w:instrText xml:space="preserve"> PAGEREF _Toc15915 \h </w:instrText>
      </w:r>
      <w:r>
        <w:rPr>
          <w:highlight w:val="none"/>
        </w:rPr>
        <w:fldChar w:fldCharType="separate"/>
      </w:r>
      <w:r>
        <w:rPr>
          <w:highlight w:val="none"/>
        </w:rPr>
        <w:t>42</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_Toc32226 </w:instrText>
      </w:r>
      <w:r>
        <w:rPr>
          <w:highlight w:val="none"/>
        </w:rPr>
        <w:fldChar w:fldCharType="separate"/>
      </w:r>
      <w:r>
        <w:rPr>
          <w:rFonts w:hint="eastAsia" w:ascii="宋体" w:hAnsi="宋体"/>
          <w:szCs w:val="24"/>
          <w:highlight w:val="none"/>
        </w:rPr>
        <w:t>3. 参选函</w:t>
      </w:r>
      <w:r>
        <w:rPr>
          <w:highlight w:val="none"/>
        </w:rPr>
        <w:tab/>
      </w:r>
      <w:r>
        <w:rPr>
          <w:highlight w:val="none"/>
        </w:rPr>
        <w:fldChar w:fldCharType="begin"/>
      </w:r>
      <w:r>
        <w:rPr>
          <w:highlight w:val="none"/>
        </w:rPr>
        <w:instrText xml:space="preserve"> PAGEREF _Toc32226 \h </w:instrText>
      </w:r>
      <w:r>
        <w:rPr>
          <w:highlight w:val="none"/>
        </w:rPr>
        <w:fldChar w:fldCharType="separate"/>
      </w:r>
      <w:r>
        <w:rPr>
          <w:highlight w:val="none"/>
        </w:rPr>
        <w:t>43</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_Toc21078 </w:instrText>
      </w:r>
      <w:r>
        <w:rPr>
          <w:highlight w:val="none"/>
        </w:rPr>
        <w:fldChar w:fldCharType="separate"/>
      </w:r>
      <w:r>
        <w:rPr>
          <w:rFonts w:hint="eastAsia" w:ascii="宋体" w:hAnsi="宋体"/>
          <w:szCs w:val="24"/>
          <w:highlight w:val="none"/>
        </w:rPr>
        <w:t xml:space="preserve">4. </w:t>
      </w:r>
      <w:r>
        <w:rPr>
          <w:rFonts w:ascii="宋体" w:hAnsi="宋体"/>
          <w:szCs w:val="24"/>
          <w:highlight w:val="none"/>
        </w:rPr>
        <w:t>法定代表人</w:t>
      </w:r>
      <w:r>
        <w:rPr>
          <w:rFonts w:hint="eastAsia" w:ascii="宋体" w:hAnsi="宋体"/>
          <w:szCs w:val="24"/>
          <w:highlight w:val="none"/>
        </w:rPr>
        <w:t>（负责人）</w:t>
      </w:r>
      <w:r>
        <w:rPr>
          <w:rFonts w:ascii="宋体" w:hAnsi="宋体"/>
          <w:szCs w:val="24"/>
          <w:highlight w:val="none"/>
        </w:rPr>
        <w:t>身份证明</w:t>
      </w:r>
      <w:r>
        <w:rPr>
          <w:highlight w:val="none"/>
        </w:rPr>
        <w:tab/>
      </w:r>
      <w:r>
        <w:rPr>
          <w:highlight w:val="none"/>
        </w:rPr>
        <w:fldChar w:fldCharType="begin"/>
      </w:r>
      <w:r>
        <w:rPr>
          <w:highlight w:val="none"/>
        </w:rPr>
        <w:instrText xml:space="preserve"> PAGEREF _Toc21078 \h </w:instrText>
      </w:r>
      <w:r>
        <w:rPr>
          <w:highlight w:val="none"/>
        </w:rPr>
        <w:fldChar w:fldCharType="separate"/>
      </w:r>
      <w:r>
        <w:rPr>
          <w:highlight w:val="none"/>
        </w:rPr>
        <w:t>45</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_Toc11232 </w:instrText>
      </w:r>
      <w:r>
        <w:rPr>
          <w:highlight w:val="none"/>
        </w:rPr>
        <w:fldChar w:fldCharType="separate"/>
      </w:r>
      <w:r>
        <w:rPr>
          <w:rFonts w:hint="eastAsia" w:ascii="宋体" w:hAnsi="宋体"/>
          <w:szCs w:val="24"/>
          <w:highlight w:val="none"/>
        </w:rPr>
        <w:t xml:space="preserve">5. </w:t>
      </w:r>
      <w:r>
        <w:rPr>
          <w:rFonts w:ascii="宋体" w:hAnsi="宋体"/>
          <w:szCs w:val="24"/>
          <w:highlight w:val="none"/>
        </w:rPr>
        <w:t>法定代表人</w:t>
      </w:r>
      <w:r>
        <w:rPr>
          <w:rFonts w:hint="eastAsia" w:ascii="宋体" w:hAnsi="宋体"/>
          <w:szCs w:val="24"/>
          <w:highlight w:val="none"/>
        </w:rPr>
        <w:t>（负责人）</w:t>
      </w:r>
      <w:r>
        <w:rPr>
          <w:rFonts w:ascii="宋体" w:hAnsi="宋体"/>
          <w:szCs w:val="24"/>
          <w:highlight w:val="none"/>
        </w:rPr>
        <w:t>授权委托书</w:t>
      </w:r>
      <w:r>
        <w:rPr>
          <w:highlight w:val="none"/>
        </w:rPr>
        <w:tab/>
      </w:r>
      <w:r>
        <w:rPr>
          <w:highlight w:val="none"/>
        </w:rPr>
        <w:fldChar w:fldCharType="begin"/>
      </w:r>
      <w:r>
        <w:rPr>
          <w:highlight w:val="none"/>
        </w:rPr>
        <w:instrText xml:space="preserve"> PAGEREF _Toc11232 \h </w:instrText>
      </w:r>
      <w:r>
        <w:rPr>
          <w:highlight w:val="none"/>
        </w:rPr>
        <w:fldChar w:fldCharType="separate"/>
      </w:r>
      <w:r>
        <w:rPr>
          <w:highlight w:val="none"/>
        </w:rPr>
        <w:t>46</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_Toc9601 </w:instrText>
      </w:r>
      <w:r>
        <w:rPr>
          <w:highlight w:val="none"/>
        </w:rPr>
        <w:fldChar w:fldCharType="separate"/>
      </w:r>
      <w:r>
        <w:rPr>
          <w:rFonts w:hint="eastAsia" w:ascii="宋体" w:hAnsi="宋体"/>
          <w:szCs w:val="24"/>
          <w:highlight w:val="none"/>
        </w:rPr>
        <w:t>6. 廉洁参选承诺书</w:t>
      </w:r>
      <w:r>
        <w:rPr>
          <w:highlight w:val="none"/>
        </w:rPr>
        <w:tab/>
      </w:r>
      <w:r>
        <w:rPr>
          <w:highlight w:val="none"/>
        </w:rPr>
        <w:fldChar w:fldCharType="begin"/>
      </w:r>
      <w:r>
        <w:rPr>
          <w:highlight w:val="none"/>
        </w:rPr>
        <w:instrText xml:space="preserve"> PAGEREF _Toc9601 \h </w:instrText>
      </w:r>
      <w:r>
        <w:rPr>
          <w:highlight w:val="none"/>
        </w:rPr>
        <w:fldChar w:fldCharType="separate"/>
      </w:r>
      <w:r>
        <w:rPr>
          <w:highlight w:val="none"/>
        </w:rPr>
        <w:t>47</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_Toc17682 </w:instrText>
      </w:r>
      <w:r>
        <w:rPr>
          <w:highlight w:val="none"/>
        </w:rPr>
        <w:fldChar w:fldCharType="separate"/>
      </w:r>
      <w:r>
        <w:rPr>
          <w:rFonts w:hint="eastAsia" w:ascii="宋体" w:hAnsi="宋体"/>
          <w:szCs w:val="24"/>
          <w:highlight w:val="none"/>
        </w:rPr>
        <w:t>7. 联合体协议书（如有）</w:t>
      </w:r>
      <w:r>
        <w:rPr>
          <w:highlight w:val="none"/>
        </w:rPr>
        <w:tab/>
      </w:r>
      <w:r>
        <w:rPr>
          <w:highlight w:val="none"/>
        </w:rPr>
        <w:fldChar w:fldCharType="begin"/>
      </w:r>
      <w:r>
        <w:rPr>
          <w:highlight w:val="none"/>
        </w:rPr>
        <w:instrText xml:space="preserve"> PAGEREF _Toc17682 \h </w:instrText>
      </w:r>
      <w:r>
        <w:rPr>
          <w:highlight w:val="none"/>
        </w:rPr>
        <w:fldChar w:fldCharType="separate"/>
      </w:r>
      <w:r>
        <w:rPr>
          <w:highlight w:val="none"/>
        </w:rPr>
        <w:t>48</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_Toc9069 </w:instrText>
      </w:r>
      <w:r>
        <w:rPr>
          <w:highlight w:val="none"/>
        </w:rPr>
        <w:fldChar w:fldCharType="separate"/>
      </w:r>
      <w:r>
        <w:rPr>
          <w:rFonts w:hint="eastAsia" w:ascii="宋体" w:hAnsi="宋体"/>
          <w:szCs w:val="24"/>
          <w:highlight w:val="none"/>
        </w:rPr>
        <w:t>8. 参选人基本情况</w:t>
      </w:r>
      <w:r>
        <w:rPr>
          <w:highlight w:val="none"/>
        </w:rPr>
        <w:tab/>
      </w:r>
      <w:r>
        <w:rPr>
          <w:highlight w:val="none"/>
        </w:rPr>
        <w:fldChar w:fldCharType="begin"/>
      </w:r>
      <w:r>
        <w:rPr>
          <w:highlight w:val="none"/>
        </w:rPr>
        <w:instrText xml:space="preserve"> PAGEREF _Toc9069 \h </w:instrText>
      </w:r>
      <w:r>
        <w:rPr>
          <w:highlight w:val="none"/>
        </w:rPr>
        <w:fldChar w:fldCharType="separate"/>
      </w:r>
      <w:r>
        <w:rPr>
          <w:highlight w:val="none"/>
        </w:rPr>
        <w:t>49</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_Toc27106 </w:instrText>
      </w:r>
      <w:r>
        <w:rPr>
          <w:highlight w:val="none"/>
        </w:rPr>
        <w:fldChar w:fldCharType="separate"/>
      </w:r>
      <w:r>
        <w:rPr>
          <w:rFonts w:hint="eastAsia" w:ascii="宋体" w:hAnsi="宋体"/>
          <w:szCs w:val="24"/>
          <w:highlight w:val="none"/>
        </w:rPr>
        <w:t>9. 近年财务状况表</w:t>
      </w:r>
      <w:r>
        <w:rPr>
          <w:highlight w:val="none"/>
        </w:rPr>
        <w:tab/>
      </w:r>
      <w:r>
        <w:rPr>
          <w:highlight w:val="none"/>
        </w:rPr>
        <w:fldChar w:fldCharType="begin"/>
      </w:r>
      <w:r>
        <w:rPr>
          <w:highlight w:val="none"/>
        </w:rPr>
        <w:instrText xml:space="preserve"> PAGEREF _Toc27106 \h </w:instrText>
      </w:r>
      <w:r>
        <w:rPr>
          <w:highlight w:val="none"/>
        </w:rPr>
        <w:fldChar w:fldCharType="separate"/>
      </w:r>
      <w:r>
        <w:rPr>
          <w:highlight w:val="none"/>
        </w:rPr>
        <w:t>63</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_Toc22499 </w:instrText>
      </w:r>
      <w:r>
        <w:rPr>
          <w:highlight w:val="none"/>
        </w:rPr>
        <w:fldChar w:fldCharType="separate"/>
      </w:r>
      <w:r>
        <w:rPr>
          <w:rFonts w:hint="eastAsia" w:ascii="宋体" w:hAnsi="宋体"/>
          <w:szCs w:val="24"/>
          <w:highlight w:val="none"/>
        </w:rPr>
        <w:t>10. 近年完成的类似项目情况表</w:t>
      </w:r>
      <w:r>
        <w:rPr>
          <w:highlight w:val="none"/>
        </w:rPr>
        <w:tab/>
      </w:r>
      <w:r>
        <w:rPr>
          <w:highlight w:val="none"/>
        </w:rPr>
        <w:fldChar w:fldCharType="begin"/>
      </w:r>
      <w:r>
        <w:rPr>
          <w:highlight w:val="none"/>
        </w:rPr>
        <w:instrText xml:space="preserve"> PAGEREF _Toc22499 \h </w:instrText>
      </w:r>
      <w:r>
        <w:rPr>
          <w:highlight w:val="none"/>
        </w:rPr>
        <w:fldChar w:fldCharType="separate"/>
      </w:r>
      <w:r>
        <w:rPr>
          <w:highlight w:val="none"/>
        </w:rPr>
        <w:t>64</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_Toc28476 </w:instrText>
      </w:r>
      <w:r>
        <w:rPr>
          <w:highlight w:val="none"/>
        </w:rPr>
        <w:fldChar w:fldCharType="separate"/>
      </w:r>
      <w:r>
        <w:rPr>
          <w:rFonts w:hint="eastAsia" w:ascii="宋体" w:hAnsi="宋体"/>
          <w:szCs w:val="24"/>
          <w:highlight w:val="none"/>
        </w:rPr>
        <w:t>11. 商务规范书偏离表</w:t>
      </w:r>
      <w:r>
        <w:rPr>
          <w:highlight w:val="none"/>
        </w:rPr>
        <w:tab/>
      </w:r>
      <w:r>
        <w:rPr>
          <w:highlight w:val="none"/>
        </w:rPr>
        <w:fldChar w:fldCharType="begin"/>
      </w:r>
      <w:r>
        <w:rPr>
          <w:highlight w:val="none"/>
        </w:rPr>
        <w:instrText xml:space="preserve"> PAGEREF _Toc28476 \h </w:instrText>
      </w:r>
      <w:r>
        <w:rPr>
          <w:highlight w:val="none"/>
        </w:rPr>
        <w:fldChar w:fldCharType="separate"/>
      </w:r>
      <w:r>
        <w:rPr>
          <w:highlight w:val="none"/>
        </w:rPr>
        <w:t>65</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_Toc17139 </w:instrText>
      </w:r>
      <w:r>
        <w:rPr>
          <w:highlight w:val="none"/>
        </w:rPr>
        <w:fldChar w:fldCharType="separate"/>
      </w:r>
      <w:r>
        <w:rPr>
          <w:rFonts w:hint="eastAsia" w:ascii="宋体" w:hAnsi="宋体"/>
          <w:szCs w:val="24"/>
          <w:highlight w:val="none"/>
        </w:rPr>
        <w:t>12. 项目技术和服务要求点对点应答及偏离表</w:t>
      </w:r>
      <w:r>
        <w:rPr>
          <w:highlight w:val="none"/>
        </w:rPr>
        <w:tab/>
      </w:r>
      <w:r>
        <w:rPr>
          <w:highlight w:val="none"/>
        </w:rPr>
        <w:fldChar w:fldCharType="begin"/>
      </w:r>
      <w:r>
        <w:rPr>
          <w:highlight w:val="none"/>
        </w:rPr>
        <w:instrText xml:space="preserve"> PAGEREF _Toc17139 \h </w:instrText>
      </w:r>
      <w:r>
        <w:rPr>
          <w:highlight w:val="none"/>
        </w:rPr>
        <w:fldChar w:fldCharType="separate"/>
      </w:r>
      <w:r>
        <w:rPr>
          <w:highlight w:val="none"/>
        </w:rPr>
        <w:t>66</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_Toc29687 </w:instrText>
      </w:r>
      <w:r>
        <w:rPr>
          <w:highlight w:val="none"/>
        </w:rPr>
        <w:fldChar w:fldCharType="separate"/>
      </w:r>
      <w:r>
        <w:rPr>
          <w:rFonts w:hint="eastAsia" w:ascii="宋体" w:hAnsi="宋体"/>
          <w:szCs w:val="24"/>
          <w:highlight w:val="none"/>
        </w:rPr>
        <w:t>13. 项目管理团队承诺</w:t>
      </w:r>
      <w:r>
        <w:rPr>
          <w:highlight w:val="none"/>
        </w:rPr>
        <w:tab/>
      </w:r>
      <w:r>
        <w:rPr>
          <w:highlight w:val="none"/>
        </w:rPr>
        <w:fldChar w:fldCharType="begin"/>
      </w:r>
      <w:r>
        <w:rPr>
          <w:highlight w:val="none"/>
        </w:rPr>
        <w:instrText xml:space="preserve"> PAGEREF _Toc29687 \h </w:instrText>
      </w:r>
      <w:r>
        <w:rPr>
          <w:highlight w:val="none"/>
        </w:rPr>
        <w:fldChar w:fldCharType="separate"/>
      </w:r>
      <w:r>
        <w:rPr>
          <w:highlight w:val="none"/>
        </w:rPr>
        <w:t>67</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_Toc3244 </w:instrText>
      </w:r>
      <w:r>
        <w:rPr>
          <w:highlight w:val="none"/>
        </w:rPr>
        <w:fldChar w:fldCharType="separate"/>
      </w:r>
      <w:r>
        <w:rPr>
          <w:rFonts w:hint="eastAsia" w:ascii="宋体" w:hAnsi="宋体"/>
          <w:szCs w:val="24"/>
          <w:highlight w:val="none"/>
        </w:rPr>
        <w:t>14. 项目实施方案</w:t>
      </w:r>
      <w:r>
        <w:rPr>
          <w:highlight w:val="none"/>
        </w:rPr>
        <w:tab/>
      </w:r>
      <w:r>
        <w:rPr>
          <w:highlight w:val="none"/>
        </w:rPr>
        <w:fldChar w:fldCharType="begin"/>
      </w:r>
      <w:r>
        <w:rPr>
          <w:highlight w:val="none"/>
        </w:rPr>
        <w:instrText xml:space="preserve"> PAGEREF _Toc3244 \h </w:instrText>
      </w:r>
      <w:r>
        <w:rPr>
          <w:highlight w:val="none"/>
        </w:rPr>
        <w:fldChar w:fldCharType="separate"/>
      </w:r>
      <w:r>
        <w:rPr>
          <w:highlight w:val="none"/>
        </w:rPr>
        <w:t>69</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_Toc17122 </w:instrText>
      </w:r>
      <w:r>
        <w:rPr>
          <w:highlight w:val="none"/>
        </w:rPr>
        <w:fldChar w:fldCharType="separate"/>
      </w:r>
      <w:r>
        <w:rPr>
          <w:rFonts w:hint="eastAsia" w:ascii="宋体" w:hAnsi="宋体"/>
          <w:szCs w:val="24"/>
          <w:highlight w:val="none"/>
        </w:rPr>
        <w:t>15. 供应商承诺书</w:t>
      </w:r>
      <w:r>
        <w:rPr>
          <w:highlight w:val="none"/>
        </w:rPr>
        <w:tab/>
      </w:r>
      <w:r>
        <w:rPr>
          <w:highlight w:val="none"/>
        </w:rPr>
        <w:fldChar w:fldCharType="begin"/>
      </w:r>
      <w:r>
        <w:rPr>
          <w:highlight w:val="none"/>
        </w:rPr>
        <w:instrText xml:space="preserve"> PAGEREF _Toc17122 \h </w:instrText>
      </w:r>
      <w:r>
        <w:rPr>
          <w:highlight w:val="none"/>
        </w:rPr>
        <w:fldChar w:fldCharType="separate"/>
      </w:r>
      <w:r>
        <w:rPr>
          <w:highlight w:val="none"/>
        </w:rPr>
        <w:t>70</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_Toc15149 </w:instrText>
      </w:r>
      <w:r>
        <w:rPr>
          <w:highlight w:val="none"/>
        </w:rPr>
        <w:fldChar w:fldCharType="separate"/>
      </w:r>
      <w:r>
        <w:rPr>
          <w:rFonts w:hint="eastAsia" w:ascii="宋体" w:hAnsi="宋体"/>
          <w:szCs w:val="24"/>
          <w:highlight w:val="none"/>
        </w:rPr>
        <w:t>16. 要求参选人提供的其他文件</w:t>
      </w:r>
      <w:r>
        <w:rPr>
          <w:highlight w:val="none"/>
        </w:rPr>
        <w:tab/>
      </w:r>
      <w:r>
        <w:rPr>
          <w:highlight w:val="none"/>
        </w:rPr>
        <w:fldChar w:fldCharType="begin"/>
      </w:r>
      <w:r>
        <w:rPr>
          <w:highlight w:val="none"/>
        </w:rPr>
        <w:instrText xml:space="preserve"> PAGEREF _Toc15149 \h </w:instrText>
      </w:r>
      <w:r>
        <w:rPr>
          <w:highlight w:val="none"/>
        </w:rPr>
        <w:fldChar w:fldCharType="separate"/>
      </w:r>
      <w:r>
        <w:rPr>
          <w:highlight w:val="none"/>
        </w:rPr>
        <w:t>74</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_Toc28086 </w:instrText>
      </w:r>
      <w:r>
        <w:rPr>
          <w:highlight w:val="none"/>
        </w:rPr>
        <w:fldChar w:fldCharType="separate"/>
      </w:r>
      <w:r>
        <w:rPr>
          <w:rFonts w:hint="eastAsia" w:ascii="宋体" w:hAnsi="宋体"/>
          <w:szCs w:val="28"/>
          <w:highlight w:val="none"/>
        </w:rPr>
        <w:t>二、报价文件封面</w:t>
      </w:r>
      <w:r>
        <w:rPr>
          <w:highlight w:val="none"/>
        </w:rPr>
        <w:tab/>
      </w:r>
      <w:r>
        <w:rPr>
          <w:highlight w:val="none"/>
        </w:rPr>
        <w:fldChar w:fldCharType="begin"/>
      </w:r>
      <w:r>
        <w:rPr>
          <w:highlight w:val="none"/>
        </w:rPr>
        <w:instrText xml:space="preserve"> PAGEREF _Toc28086 \h </w:instrText>
      </w:r>
      <w:r>
        <w:rPr>
          <w:highlight w:val="none"/>
        </w:rPr>
        <w:fldChar w:fldCharType="separate"/>
      </w:r>
      <w:r>
        <w:rPr>
          <w:highlight w:val="none"/>
        </w:rPr>
        <w:t>75</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_Toc32593 </w:instrText>
      </w:r>
      <w:r>
        <w:rPr>
          <w:highlight w:val="none"/>
        </w:rPr>
        <w:fldChar w:fldCharType="separate"/>
      </w:r>
      <w:r>
        <w:rPr>
          <w:rFonts w:hint="eastAsia" w:ascii="宋体" w:hAnsi="宋体"/>
          <w:szCs w:val="24"/>
          <w:highlight w:val="none"/>
        </w:rPr>
        <w:t>1. 参选一览表</w:t>
      </w:r>
      <w:r>
        <w:rPr>
          <w:highlight w:val="none"/>
        </w:rPr>
        <w:tab/>
      </w:r>
      <w:r>
        <w:rPr>
          <w:highlight w:val="none"/>
        </w:rPr>
        <w:fldChar w:fldCharType="begin"/>
      </w:r>
      <w:r>
        <w:rPr>
          <w:highlight w:val="none"/>
        </w:rPr>
        <w:instrText xml:space="preserve"> PAGEREF _Toc32593 \h </w:instrText>
      </w:r>
      <w:r>
        <w:rPr>
          <w:highlight w:val="none"/>
        </w:rPr>
        <w:fldChar w:fldCharType="separate"/>
      </w:r>
      <w:r>
        <w:rPr>
          <w:highlight w:val="none"/>
        </w:rPr>
        <w:t>76</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_Toc7306 </w:instrText>
      </w:r>
      <w:r>
        <w:rPr>
          <w:highlight w:val="none"/>
        </w:rPr>
        <w:fldChar w:fldCharType="separate"/>
      </w:r>
      <w:r>
        <w:rPr>
          <w:rFonts w:hint="eastAsia" w:ascii="宋体" w:hAnsi="宋体"/>
          <w:szCs w:val="24"/>
          <w:highlight w:val="none"/>
        </w:rPr>
        <w:t>2. 报价文件（分项报价表）</w:t>
      </w:r>
      <w:r>
        <w:rPr>
          <w:highlight w:val="none"/>
        </w:rPr>
        <w:tab/>
      </w:r>
      <w:r>
        <w:rPr>
          <w:highlight w:val="none"/>
        </w:rPr>
        <w:fldChar w:fldCharType="begin"/>
      </w:r>
      <w:r>
        <w:rPr>
          <w:highlight w:val="none"/>
        </w:rPr>
        <w:instrText xml:space="preserve"> PAGEREF _Toc7306 \h </w:instrText>
      </w:r>
      <w:r>
        <w:rPr>
          <w:highlight w:val="none"/>
        </w:rPr>
        <w:fldChar w:fldCharType="separate"/>
      </w:r>
      <w:r>
        <w:rPr>
          <w:highlight w:val="none"/>
        </w:rPr>
        <w:t>76</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_Toc9651 </w:instrText>
      </w:r>
      <w:r>
        <w:rPr>
          <w:highlight w:val="none"/>
        </w:rPr>
        <w:fldChar w:fldCharType="separate"/>
      </w:r>
      <w:r>
        <w:rPr>
          <w:rFonts w:hint="eastAsia" w:ascii="宋体" w:hAnsi="宋体"/>
          <w:szCs w:val="24"/>
          <w:highlight w:val="none"/>
        </w:rPr>
        <w:t>3. 供应商税务资质信息表</w:t>
      </w:r>
      <w:r>
        <w:rPr>
          <w:highlight w:val="none"/>
        </w:rPr>
        <w:tab/>
      </w:r>
      <w:r>
        <w:rPr>
          <w:highlight w:val="none"/>
        </w:rPr>
        <w:fldChar w:fldCharType="begin"/>
      </w:r>
      <w:r>
        <w:rPr>
          <w:highlight w:val="none"/>
        </w:rPr>
        <w:instrText xml:space="preserve"> PAGEREF _Toc9651 \h </w:instrText>
      </w:r>
      <w:r>
        <w:rPr>
          <w:highlight w:val="none"/>
        </w:rPr>
        <w:fldChar w:fldCharType="separate"/>
      </w:r>
      <w:r>
        <w:rPr>
          <w:highlight w:val="none"/>
        </w:rPr>
        <w:t>76</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_Toc8936 </w:instrText>
      </w:r>
      <w:r>
        <w:rPr>
          <w:highlight w:val="none"/>
        </w:rPr>
        <w:fldChar w:fldCharType="separate"/>
      </w:r>
      <w:r>
        <w:rPr>
          <w:rFonts w:hint="eastAsia" w:ascii="宋体" w:hAnsi="宋体"/>
          <w:szCs w:val="24"/>
          <w:highlight w:val="none"/>
        </w:rPr>
        <w:t>4. 比选代理服务费支付同意函</w:t>
      </w:r>
      <w:r>
        <w:rPr>
          <w:highlight w:val="none"/>
        </w:rPr>
        <w:tab/>
      </w:r>
      <w:r>
        <w:rPr>
          <w:highlight w:val="none"/>
        </w:rPr>
        <w:fldChar w:fldCharType="begin"/>
      </w:r>
      <w:r>
        <w:rPr>
          <w:highlight w:val="none"/>
        </w:rPr>
        <w:instrText xml:space="preserve"> PAGEREF _Toc8936 \h </w:instrText>
      </w:r>
      <w:r>
        <w:rPr>
          <w:highlight w:val="none"/>
        </w:rPr>
        <w:fldChar w:fldCharType="separate"/>
      </w:r>
      <w:r>
        <w:rPr>
          <w:highlight w:val="none"/>
        </w:rPr>
        <w:t>78</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_Toc28583 </w:instrText>
      </w:r>
      <w:r>
        <w:rPr>
          <w:highlight w:val="none"/>
        </w:rPr>
        <w:fldChar w:fldCharType="separate"/>
      </w:r>
      <w:r>
        <w:rPr>
          <w:rFonts w:hint="eastAsia" w:ascii="宋体" w:hAnsi="宋体"/>
          <w:szCs w:val="24"/>
          <w:highlight w:val="none"/>
        </w:rPr>
        <w:t>5. 参选保证金凭证</w:t>
      </w:r>
      <w:r>
        <w:rPr>
          <w:highlight w:val="none"/>
        </w:rPr>
        <w:tab/>
      </w:r>
      <w:r>
        <w:rPr>
          <w:highlight w:val="none"/>
        </w:rPr>
        <w:fldChar w:fldCharType="begin"/>
      </w:r>
      <w:r>
        <w:rPr>
          <w:highlight w:val="none"/>
        </w:rPr>
        <w:instrText xml:space="preserve"> PAGEREF _Toc28583 \h </w:instrText>
      </w:r>
      <w:r>
        <w:rPr>
          <w:highlight w:val="none"/>
        </w:rPr>
        <w:fldChar w:fldCharType="separate"/>
      </w:r>
      <w:r>
        <w:rPr>
          <w:highlight w:val="none"/>
        </w:rPr>
        <w:t>80</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_Toc20738 </w:instrText>
      </w:r>
      <w:r>
        <w:rPr>
          <w:highlight w:val="none"/>
        </w:rPr>
        <w:fldChar w:fldCharType="separate"/>
      </w:r>
      <w:r>
        <w:rPr>
          <w:rFonts w:hint="eastAsia" w:ascii="宋体" w:hAnsi="宋体"/>
          <w:szCs w:val="24"/>
          <w:highlight w:val="none"/>
        </w:rPr>
        <w:t>6. 中国人民银行颁发的基本账户开户证明</w:t>
      </w:r>
      <w:r>
        <w:rPr>
          <w:highlight w:val="none"/>
        </w:rPr>
        <w:tab/>
      </w:r>
      <w:r>
        <w:rPr>
          <w:highlight w:val="none"/>
        </w:rPr>
        <w:fldChar w:fldCharType="begin"/>
      </w:r>
      <w:r>
        <w:rPr>
          <w:highlight w:val="none"/>
        </w:rPr>
        <w:instrText xml:space="preserve"> PAGEREF _Toc20738 \h </w:instrText>
      </w:r>
      <w:r>
        <w:rPr>
          <w:highlight w:val="none"/>
        </w:rPr>
        <w:fldChar w:fldCharType="separate"/>
      </w:r>
      <w:r>
        <w:rPr>
          <w:highlight w:val="none"/>
        </w:rPr>
        <w:t>80</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_Toc22556 </w:instrText>
      </w:r>
      <w:r>
        <w:rPr>
          <w:highlight w:val="none"/>
        </w:rPr>
        <w:fldChar w:fldCharType="separate"/>
      </w:r>
      <w:r>
        <w:rPr>
          <w:rFonts w:hint="eastAsia" w:ascii="宋体" w:hAnsi="宋体" w:eastAsia="宋体" w:cs="宋体"/>
          <w:bCs w:val="0"/>
          <w:kern w:val="0"/>
          <w:szCs w:val="28"/>
          <w:highlight w:val="none"/>
        </w:rPr>
        <w:t>第七章  其他</w:t>
      </w:r>
      <w:r>
        <w:rPr>
          <w:highlight w:val="none"/>
        </w:rPr>
        <w:tab/>
      </w:r>
      <w:r>
        <w:rPr>
          <w:highlight w:val="none"/>
        </w:rPr>
        <w:fldChar w:fldCharType="begin"/>
      </w:r>
      <w:r>
        <w:rPr>
          <w:highlight w:val="none"/>
        </w:rPr>
        <w:instrText xml:space="preserve"> PAGEREF _Toc22556 \h </w:instrText>
      </w:r>
      <w:r>
        <w:rPr>
          <w:highlight w:val="none"/>
        </w:rPr>
        <w:fldChar w:fldCharType="separate"/>
      </w:r>
      <w:r>
        <w:rPr>
          <w:highlight w:val="none"/>
        </w:rPr>
        <w:t>81</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_Toc31619 </w:instrText>
      </w:r>
      <w:r>
        <w:rPr>
          <w:highlight w:val="none"/>
        </w:rPr>
        <w:fldChar w:fldCharType="separate"/>
      </w:r>
      <w:r>
        <w:rPr>
          <w:rFonts w:hint="eastAsia" w:asciiTheme="minorEastAsia" w:hAnsiTheme="minorEastAsia" w:eastAsiaTheme="minorEastAsia"/>
          <w:szCs w:val="28"/>
          <w:highlight w:val="none"/>
        </w:rPr>
        <w:t>中国电信供应商不良行为管理规则</w:t>
      </w:r>
      <w:r>
        <w:rPr>
          <w:highlight w:val="none"/>
        </w:rPr>
        <w:tab/>
      </w:r>
      <w:r>
        <w:rPr>
          <w:highlight w:val="none"/>
        </w:rPr>
        <w:fldChar w:fldCharType="begin"/>
      </w:r>
      <w:r>
        <w:rPr>
          <w:highlight w:val="none"/>
        </w:rPr>
        <w:instrText xml:space="preserve"> PAGEREF _Toc31619 \h </w:instrText>
      </w:r>
      <w:r>
        <w:rPr>
          <w:highlight w:val="none"/>
        </w:rPr>
        <w:fldChar w:fldCharType="separate"/>
      </w:r>
      <w:r>
        <w:rPr>
          <w:highlight w:val="none"/>
        </w:rPr>
        <w:t>81</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_Toc30876 </w:instrText>
      </w:r>
      <w:r>
        <w:rPr>
          <w:highlight w:val="none"/>
        </w:rPr>
        <w:fldChar w:fldCharType="separate"/>
      </w:r>
      <w:r>
        <w:rPr>
          <w:rFonts w:asciiTheme="minorEastAsia" w:hAnsiTheme="minorEastAsia" w:eastAsiaTheme="minorEastAsia"/>
          <w:szCs w:val="28"/>
          <w:highlight w:val="none"/>
        </w:rPr>
        <w:t>中国电信供应商不良行为信息管理目录</w:t>
      </w:r>
      <w:r>
        <w:rPr>
          <w:highlight w:val="none"/>
        </w:rPr>
        <w:tab/>
      </w:r>
      <w:r>
        <w:rPr>
          <w:highlight w:val="none"/>
        </w:rPr>
        <w:fldChar w:fldCharType="begin"/>
      </w:r>
      <w:r>
        <w:rPr>
          <w:highlight w:val="none"/>
        </w:rPr>
        <w:instrText xml:space="preserve"> PAGEREF _Toc30876 \h </w:instrText>
      </w:r>
      <w:r>
        <w:rPr>
          <w:highlight w:val="none"/>
        </w:rPr>
        <w:fldChar w:fldCharType="separate"/>
      </w:r>
      <w:r>
        <w:rPr>
          <w:highlight w:val="none"/>
        </w:rPr>
        <w:t>89</w:t>
      </w:r>
      <w:r>
        <w:rPr>
          <w:highlight w:val="none"/>
        </w:rPr>
        <w:fldChar w:fldCharType="end"/>
      </w:r>
      <w:r>
        <w:rPr>
          <w:color w:val="auto"/>
          <w:highlight w:val="none"/>
        </w:rPr>
        <w:fldChar w:fldCharType="end"/>
      </w:r>
    </w:p>
    <w:p>
      <w:pPr>
        <w:pStyle w:val="28"/>
        <w:tabs>
          <w:tab w:val="right" w:leader="dot" w:pos="8504"/>
          <w:tab w:val="clear" w:pos="0"/>
          <w:tab w:val="clear" w:pos="8505"/>
        </w:tabs>
        <w:rPr>
          <w:highlight w:val="none"/>
        </w:rPr>
      </w:pPr>
      <w:r>
        <w:rPr>
          <w:color w:val="auto"/>
          <w:highlight w:val="none"/>
        </w:rPr>
        <w:fldChar w:fldCharType="begin"/>
      </w:r>
      <w:r>
        <w:rPr>
          <w:highlight w:val="none"/>
        </w:rPr>
        <w:instrText xml:space="preserve"> HYPERLINK \l _Toc22291 </w:instrText>
      </w:r>
      <w:r>
        <w:rPr>
          <w:highlight w:val="none"/>
        </w:rPr>
        <w:fldChar w:fldCharType="separate"/>
      </w:r>
      <w:r>
        <w:rPr>
          <w:rFonts w:hint="eastAsia" w:asciiTheme="minorEastAsia" w:hAnsiTheme="minorEastAsia" w:eastAsiaTheme="minorEastAsia"/>
          <w:szCs w:val="28"/>
          <w:highlight w:val="none"/>
        </w:rPr>
        <w:t>中国电信供应商不良行为处理规则明细</w:t>
      </w:r>
      <w:r>
        <w:rPr>
          <w:highlight w:val="none"/>
        </w:rPr>
        <w:tab/>
      </w:r>
      <w:r>
        <w:rPr>
          <w:highlight w:val="none"/>
        </w:rPr>
        <w:fldChar w:fldCharType="begin"/>
      </w:r>
      <w:r>
        <w:rPr>
          <w:highlight w:val="none"/>
        </w:rPr>
        <w:instrText xml:space="preserve"> PAGEREF _Toc22291 \h </w:instrText>
      </w:r>
      <w:r>
        <w:rPr>
          <w:highlight w:val="none"/>
        </w:rPr>
        <w:fldChar w:fldCharType="separate"/>
      </w:r>
      <w:r>
        <w:rPr>
          <w:highlight w:val="none"/>
        </w:rPr>
        <w:t>102</w:t>
      </w:r>
      <w:r>
        <w:rPr>
          <w:highlight w:val="none"/>
        </w:rPr>
        <w:fldChar w:fldCharType="end"/>
      </w:r>
      <w:r>
        <w:rPr>
          <w:color w:val="auto"/>
          <w:highlight w:val="none"/>
        </w:rPr>
        <w:fldChar w:fldCharType="end"/>
      </w:r>
    </w:p>
    <w:p>
      <w:pPr>
        <w:pStyle w:val="28"/>
        <w:rPr>
          <w:color w:val="auto"/>
          <w:highlight w:val="none"/>
        </w:rPr>
      </w:pPr>
      <w:r>
        <w:rPr>
          <w:color w:val="auto"/>
          <w:highlight w:val="none"/>
        </w:rPr>
        <w:fldChar w:fldCharType="end"/>
      </w:r>
    </w:p>
    <w:p>
      <w:pPr>
        <w:pStyle w:val="28"/>
        <w:rPr>
          <w:color w:val="auto"/>
          <w:highlight w:val="none"/>
        </w:rPr>
      </w:pPr>
      <w:r>
        <w:rPr>
          <w:color w:val="auto"/>
          <w:highlight w:val="none"/>
        </w:rPr>
        <w:fldChar w:fldCharType="begin"/>
      </w:r>
      <w:r>
        <w:rPr>
          <w:color w:val="auto"/>
          <w:highlight w:val="none"/>
        </w:rPr>
        <w:instrText xml:space="preserve"> </w:instrText>
      </w:r>
      <w:r>
        <w:rPr>
          <w:rFonts w:hint="eastAsia"/>
          <w:color w:val="auto"/>
          <w:highlight w:val="none"/>
        </w:rPr>
        <w:instrText xml:space="preserve">TOC \o "1-1" \t "标题 2,2,样式 标题 2 + Times New Roman 四号 非加粗 段前: 5 磅 段后: 0 磅 行距: 固定值 20...,2"</w:instrText>
      </w:r>
      <w:r>
        <w:rPr>
          <w:color w:val="auto"/>
          <w:highlight w:val="none"/>
        </w:rPr>
        <w:instrText xml:space="preserve"> </w:instrText>
      </w:r>
      <w:r>
        <w:rPr>
          <w:color w:val="auto"/>
          <w:highlight w:val="none"/>
        </w:rPr>
        <w:fldChar w:fldCharType="end"/>
      </w:r>
    </w:p>
    <w:p>
      <w:pPr>
        <w:spacing w:after="120" w:line="360" w:lineRule="atLeast"/>
        <w:rPr>
          <w:rFonts w:ascii="宋体" w:hAnsi="宋体" w:cs="宋体"/>
          <w:color w:val="auto"/>
          <w:sz w:val="24"/>
          <w:highlight w:val="none"/>
        </w:rPr>
        <w:sectPr>
          <w:footerReference r:id="rId6" w:type="default"/>
          <w:pgSz w:w="11906" w:h="16838"/>
          <w:pgMar w:top="1440" w:right="1701" w:bottom="1440" w:left="1701" w:header="851" w:footer="992" w:gutter="0"/>
          <w:pgNumType w:start="1"/>
          <w:cols w:space="720" w:num="1"/>
          <w:docGrid w:type="linesAndChars" w:linePitch="380" w:charSpace="0"/>
        </w:sectPr>
      </w:pPr>
    </w:p>
    <w:p>
      <w:pPr>
        <w:pStyle w:val="44"/>
        <w:spacing w:before="240" w:after="120"/>
        <w:rPr>
          <w:rFonts w:ascii="宋体" w:hAnsi="宋体" w:eastAsia="宋体" w:cs="宋体"/>
          <w:b/>
          <w:bCs w:val="0"/>
          <w:color w:val="auto"/>
          <w:kern w:val="0"/>
          <w:sz w:val="28"/>
          <w:szCs w:val="28"/>
          <w:highlight w:val="none"/>
        </w:rPr>
      </w:pPr>
      <w:bookmarkStart w:id="0" w:name="_Toc447188662"/>
      <w:bookmarkStart w:id="1" w:name="_Toc17203532"/>
      <w:bookmarkStart w:id="2" w:name="_Toc17202760"/>
      <w:bookmarkStart w:id="3" w:name="_Toc447265211"/>
      <w:bookmarkStart w:id="4" w:name="_Toc23426"/>
      <w:bookmarkStart w:id="5" w:name="_Toc447265797"/>
      <w:bookmarkStart w:id="6" w:name="_Toc17202969"/>
      <w:bookmarkStart w:id="7" w:name="_Toc447265497"/>
      <w:r>
        <w:rPr>
          <w:rFonts w:hint="eastAsia" w:ascii="宋体" w:hAnsi="宋体" w:eastAsia="宋体" w:cs="宋体"/>
          <w:b/>
          <w:bCs w:val="0"/>
          <w:color w:val="auto"/>
          <w:kern w:val="0"/>
          <w:sz w:val="28"/>
          <w:szCs w:val="28"/>
          <w:highlight w:val="none"/>
        </w:rPr>
        <w:t xml:space="preserve">第一章  </w:t>
      </w:r>
      <w:bookmarkStart w:id="8" w:name="_Hlk68271363"/>
      <w:r>
        <w:rPr>
          <w:rFonts w:hint="eastAsia" w:ascii="宋体" w:hAnsi="宋体" w:eastAsia="宋体" w:cs="宋体"/>
          <w:b/>
          <w:bCs w:val="0"/>
          <w:color w:val="auto"/>
          <w:kern w:val="0"/>
          <w:sz w:val="28"/>
          <w:szCs w:val="28"/>
          <w:highlight w:val="none"/>
        </w:rPr>
        <w:t>比选公告</w:t>
      </w:r>
      <w:bookmarkEnd w:id="0"/>
      <w:bookmarkEnd w:id="1"/>
      <w:bookmarkEnd w:id="2"/>
      <w:bookmarkEnd w:id="3"/>
      <w:bookmarkEnd w:id="4"/>
      <w:bookmarkEnd w:id="5"/>
      <w:bookmarkEnd w:id="6"/>
      <w:bookmarkEnd w:id="7"/>
    </w:p>
    <w:p>
      <w:pPr>
        <w:adjustRightInd w:val="0"/>
        <w:snapToGrid w:val="0"/>
        <w:spacing w:line="440" w:lineRule="exact"/>
        <w:ind w:firstLine="420" w:firstLineChars="200"/>
        <w:rPr>
          <w:rFonts w:ascii="宋体" w:hAnsi="宋体"/>
          <w:color w:val="auto"/>
          <w:szCs w:val="21"/>
          <w:highlight w:val="none"/>
        </w:rPr>
      </w:pPr>
      <w:bookmarkStart w:id="9" w:name="_Toc319394714"/>
      <w:bookmarkStart w:id="10" w:name="_Toc319769473"/>
      <w:bookmarkStart w:id="11" w:name="_Toc184704555"/>
      <w:r>
        <w:rPr>
          <w:rFonts w:hint="eastAsia" w:ascii="宋体" w:hAnsi="宋体"/>
          <w:color w:val="auto"/>
          <w:szCs w:val="21"/>
          <w:highlight w:val="none"/>
        </w:rPr>
        <w:t>本比选项目为</w:t>
      </w:r>
      <w:r>
        <w:rPr>
          <w:rFonts w:hint="eastAsia" w:ascii="宋体" w:hAnsi="宋体"/>
          <w:color w:val="auto"/>
          <w:szCs w:val="21"/>
          <w:highlight w:val="none"/>
          <w:u w:val="single"/>
          <w:lang w:eastAsia="zh-CN"/>
        </w:rPr>
        <w:t>2022年湛江分公司第一批普查服务项目比选</w:t>
      </w:r>
      <w:r>
        <w:rPr>
          <w:rFonts w:hint="eastAsia" w:ascii="宋体" w:hAnsi="宋体"/>
          <w:color w:val="auto"/>
          <w:szCs w:val="21"/>
          <w:highlight w:val="none"/>
        </w:rPr>
        <w:t>，比选人为中国电信股份有限公司</w:t>
      </w:r>
      <w:r>
        <w:rPr>
          <w:rFonts w:hint="eastAsia" w:ascii="宋体" w:hAnsi="宋体"/>
          <w:color w:val="auto"/>
          <w:szCs w:val="21"/>
          <w:highlight w:val="none"/>
          <w:u w:val="single"/>
        </w:rPr>
        <w:t>湛江分公司</w:t>
      </w:r>
      <w:r>
        <w:rPr>
          <w:rFonts w:hint="eastAsia" w:ascii="宋体" w:hAnsi="宋体"/>
          <w:color w:val="auto"/>
          <w:szCs w:val="21"/>
          <w:highlight w:val="none"/>
        </w:rPr>
        <w:t>，比选代理机构为</w:t>
      </w:r>
      <w:r>
        <w:rPr>
          <w:rFonts w:hint="eastAsia" w:ascii="宋体" w:hAnsi="宋体"/>
          <w:color w:val="auto"/>
          <w:szCs w:val="21"/>
          <w:highlight w:val="none"/>
          <w:u w:val="single"/>
        </w:rPr>
        <w:t>中捷通信有限</w:t>
      </w:r>
      <w:r>
        <w:rPr>
          <w:rFonts w:hint="eastAsia" w:ascii="宋体" w:hAnsi="宋体"/>
          <w:color w:val="auto"/>
          <w:highlight w:val="none"/>
          <w:u w:val="single"/>
        </w:rPr>
        <w:t>公司</w:t>
      </w:r>
      <w:r>
        <w:rPr>
          <w:rFonts w:hint="eastAsia" w:ascii="宋体" w:hAnsi="宋体"/>
          <w:color w:val="auto"/>
          <w:highlight w:val="none"/>
        </w:rPr>
        <w:t>，</w:t>
      </w:r>
      <w:r>
        <w:rPr>
          <w:rFonts w:hint="eastAsia" w:ascii="宋体" w:hAnsi="宋体"/>
          <w:color w:val="auto"/>
          <w:szCs w:val="21"/>
          <w:highlight w:val="none"/>
        </w:rPr>
        <w:t>比选代理机构编号：</w:t>
      </w:r>
      <w:r>
        <w:rPr>
          <w:rFonts w:hint="eastAsia" w:ascii="宋体" w:hAnsi="宋体"/>
          <w:color w:val="auto"/>
          <w:szCs w:val="21"/>
          <w:highlight w:val="none"/>
          <w:u w:val="single"/>
          <w:lang w:eastAsia="zh-CN"/>
        </w:rPr>
        <w:t>ZJZB-2022-18622</w:t>
      </w:r>
      <w:r>
        <w:rPr>
          <w:rFonts w:hint="eastAsia" w:ascii="宋体" w:hAnsi="宋体"/>
          <w:color w:val="auto"/>
          <w:szCs w:val="21"/>
          <w:highlight w:val="none"/>
        </w:rPr>
        <w:t>。项目资金已落实，具备比选条件，现进行公开比选，特邀请有意向的且具有提供标的物能力的潜在参选人（以下简称参选人）参选。</w:t>
      </w:r>
    </w:p>
    <w:p>
      <w:pPr>
        <w:pStyle w:val="45"/>
        <w:numPr>
          <w:ilvl w:val="0"/>
          <w:numId w:val="3"/>
        </w:numPr>
        <w:adjustRightInd w:val="0"/>
        <w:snapToGrid w:val="0"/>
        <w:spacing w:line="440" w:lineRule="exact"/>
        <w:ind w:firstLineChars="0"/>
        <w:outlineLvl w:val="1"/>
        <w:rPr>
          <w:rFonts w:ascii="宋体" w:hAnsi="宋体"/>
          <w:b/>
          <w:color w:val="auto"/>
          <w:szCs w:val="21"/>
          <w:highlight w:val="none"/>
        </w:rPr>
      </w:pPr>
      <w:r>
        <w:rPr>
          <w:rFonts w:hint="eastAsia" w:ascii="宋体" w:hAnsi="宋体"/>
          <w:b/>
          <w:color w:val="auto"/>
          <w:szCs w:val="21"/>
          <w:highlight w:val="none"/>
        </w:rPr>
        <w:t>项目概况与采购内容</w:t>
      </w:r>
    </w:p>
    <w:p>
      <w:pPr>
        <w:pStyle w:val="45"/>
        <w:numPr>
          <w:ilvl w:val="1"/>
          <w:numId w:val="3"/>
        </w:numPr>
        <w:adjustRightInd w:val="0"/>
        <w:snapToGrid w:val="0"/>
        <w:spacing w:line="400" w:lineRule="exact"/>
        <w:ind w:left="0" w:firstLine="424" w:firstLineChars="202"/>
        <w:rPr>
          <w:rFonts w:ascii="宋体" w:hAnsi="宋体"/>
          <w:color w:val="auto"/>
          <w:szCs w:val="21"/>
          <w:highlight w:val="none"/>
        </w:rPr>
      </w:pPr>
      <w:r>
        <w:rPr>
          <w:rFonts w:hint="eastAsia" w:ascii="宋体" w:hAnsi="宋体"/>
          <w:color w:val="auto"/>
          <w:szCs w:val="21"/>
          <w:highlight w:val="none"/>
        </w:rPr>
        <w:t>项目概况</w:t>
      </w:r>
      <w:r>
        <w:rPr>
          <w:rFonts w:asciiTheme="minorEastAsia" w:hAnsiTheme="minorEastAsia" w:eastAsiaTheme="minorEastAsia"/>
          <w:color w:val="auto"/>
          <w:szCs w:val="21"/>
          <w:highlight w:val="none"/>
        </w:rPr>
        <w:t>：</w:t>
      </w:r>
    </w:p>
    <w:p>
      <w:pPr>
        <w:pStyle w:val="45"/>
        <w:adjustRightInd w:val="0"/>
        <w:snapToGrid w:val="0"/>
        <w:spacing w:line="400" w:lineRule="exact"/>
        <w:ind w:firstLine="424" w:firstLineChars="202"/>
        <w:rPr>
          <w:rFonts w:asciiTheme="minorEastAsia" w:hAnsiTheme="minorEastAsia" w:eastAsiaTheme="minorEastAsia"/>
          <w:color w:val="auto"/>
          <w:szCs w:val="21"/>
          <w:highlight w:val="none"/>
        </w:rPr>
      </w:pPr>
      <w:r>
        <w:rPr>
          <w:rFonts w:hint="eastAsia" w:asciiTheme="minorEastAsia" w:hAnsiTheme="minorEastAsia" w:eastAsiaTheme="minorEastAsia"/>
          <w:color w:val="auto"/>
          <w:szCs w:val="21"/>
          <w:highlight w:val="none"/>
        </w:rPr>
        <w:t>（</w:t>
      </w:r>
      <w:r>
        <w:rPr>
          <w:rFonts w:asciiTheme="minorEastAsia" w:hAnsiTheme="minorEastAsia" w:eastAsiaTheme="minorEastAsia"/>
          <w:color w:val="auto"/>
          <w:szCs w:val="21"/>
          <w:highlight w:val="none"/>
        </w:rPr>
        <w:t>1）服务地点：</w:t>
      </w:r>
      <w:r>
        <w:rPr>
          <w:rFonts w:hint="eastAsia" w:ascii="宋体" w:hAnsi="宋体"/>
          <w:color w:val="auto"/>
          <w:szCs w:val="21"/>
          <w:highlight w:val="none"/>
          <w:u w:val="single"/>
        </w:rPr>
        <w:t>湛江</w:t>
      </w:r>
      <w:r>
        <w:rPr>
          <w:rFonts w:hint="eastAsia" w:asciiTheme="minorEastAsia" w:hAnsiTheme="minorEastAsia" w:eastAsiaTheme="minorEastAsia"/>
          <w:color w:val="auto"/>
          <w:szCs w:val="21"/>
          <w:highlight w:val="none"/>
        </w:rPr>
        <w:t>；</w:t>
      </w:r>
    </w:p>
    <w:p>
      <w:pPr>
        <w:pStyle w:val="45"/>
        <w:adjustRightInd w:val="0"/>
        <w:snapToGrid w:val="0"/>
        <w:spacing w:line="400" w:lineRule="exact"/>
        <w:ind w:firstLine="424" w:firstLineChars="202"/>
        <w:rPr>
          <w:rFonts w:hint="eastAsia" w:asciiTheme="minorEastAsia" w:hAnsiTheme="minorEastAsia" w:eastAsiaTheme="minorEastAsia"/>
          <w:color w:val="auto"/>
          <w:szCs w:val="21"/>
          <w:highlight w:val="none"/>
          <w:lang w:eastAsia="zh-CN"/>
        </w:rPr>
      </w:pPr>
      <w:r>
        <w:rPr>
          <w:rFonts w:hint="eastAsia" w:asciiTheme="minorEastAsia" w:hAnsiTheme="minorEastAsia" w:eastAsiaTheme="minorEastAsia"/>
          <w:color w:val="auto"/>
          <w:szCs w:val="21"/>
          <w:highlight w:val="none"/>
        </w:rPr>
        <w:t>（2）※服务时间：</w:t>
      </w:r>
      <w:r>
        <w:rPr>
          <w:rFonts w:hint="eastAsia" w:asciiTheme="minorEastAsia" w:hAnsiTheme="minorEastAsia" w:eastAsiaTheme="minorEastAsia"/>
          <w:szCs w:val="21"/>
          <w:highlight w:val="none"/>
          <w:lang w:eastAsia="zh-CN"/>
        </w:rPr>
        <w:t>自合同签订之日起15天内完成相关方案的编制工作和人员培训工作，1个月内完成项目交付。</w:t>
      </w:r>
    </w:p>
    <w:p>
      <w:pPr>
        <w:pStyle w:val="45"/>
        <w:adjustRightInd w:val="0"/>
        <w:snapToGrid w:val="0"/>
        <w:spacing w:line="400" w:lineRule="exact"/>
        <w:ind w:firstLine="424" w:firstLineChars="202"/>
        <w:rPr>
          <w:rFonts w:asciiTheme="minorEastAsia" w:hAnsiTheme="minorEastAsia" w:eastAsiaTheme="minorEastAsia"/>
          <w:color w:val="auto"/>
          <w:szCs w:val="21"/>
          <w:highlight w:val="none"/>
        </w:rPr>
      </w:pPr>
      <w:r>
        <w:rPr>
          <w:rFonts w:hint="eastAsia" w:asciiTheme="minorEastAsia" w:hAnsiTheme="minorEastAsia" w:eastAsiaTheme="minorEastAsia"/>
          <w:color w:val="auto"/>
          <w:szCs w:val="21"/>
          <w:highlight w:val="none"/>
        </w:rPr>
        <w:t>（3）预算金额：</w:t>
      </w:r>
      <w:r>
        <w:rPr>
          <w:rFonts w:hint="eastAsia" w:ascii="宋体" w:hAnsi="宋体" w:eastAsiaTheme="minorEastAsia"/>
          <w:color w:val="auto"/>
          <w:szCs w:val="21"/>
          <w:highlight w:val="none"/>
          <w:u w:val="single"/>
          <w:lang w:val="en-US" w:eastAsia="zh-CN"/>
        </w:rPr>
        <w:t>1828300.00.00元（含税）</w:t>
      </w:r>
      <w:r>
        <w:rPr>
          <w:rFonts w:hint="eastAsia" w:asciiTheme="minorEastAsia" w:hAnsiTheme="minorEastAsia" w:eastAsiaTheme="minorEastAsia"/>
          <w:color w:val="auto"/>
          <w:szCs w:val="21"/>
          <w:highlight w:val="none"/>
        </w:rPr>
        <w:t>；</w:t>
      </w:r>
    </w:p>
    <w:p>
      <w:pPr>
        <w:pStyle w:val="45"/>
        <w:adjustRightInd w:val="0"/>
        <w:snapToGrid w:val="0"/>
        <w:spacing w:line="400" w:lineRule="exact"/>
        <w:ind w:firstLine="424" w:firstLineChars="202"/>
        <w:rPr>
          <w:rFonts w:ascii="宋体" w:hAnsi="宋体"/>
          <w:color w:val="auto"/>
          <w:szCs w:val="21"/>
          <w:highlight w:val="none"/>
          <w:u w:val="single"/>
        </w:rPr>
      </w:pPr>
      <w:r>
        <w:rPr>
          <w:rFonts w:hint="eastAsia" w:asciiTheme="minorEastAsia" w:hAnsiTheme="minorEastAsia" w:eastAsiaTheme="minorEastAsia"/>
          <w:color w:val="auto"/>
          <w:szCs w:val="21"/>
          <w:highlight w:val="none"/>
        </w:rPr>
        <w:t>（4）</w:t>
      </w:r>
      <w:r>
        <w:rPr>
          <w:rFonts w:hint="eastAsia"/>
          <w:b/>
          <w:bCs/>
          <w:color w:val="auto"/>
          <w:szCs w:val="21"/>
          <w:highlight w:val="none"/>
        </w:rPr>
        <w:t>涉及的主要评估产品品类：</w:t>
      </w:r>
      <w:r>
        <w:rPr>
          <w:rFonts w:hint="eastAsia"/>
          <w:bCs/>
          <w:szCs w:val="21"/>
          <w:highlight w:val="none"/>
        </w:rPr>
        <w:t>CP01723勘察测量服务</w:t>
      </w:r>
      <w:r>
        <w:rPr>
          <w:rFonts w:hint="eastAsia" w:asciiTheme="minorEastAsia" w:hAnsiTheme="minorEastAsia" w:eastAsiaTheme="minorEastAsia"/>
          <w:color w:val="0000FF"/>
          <w:szCs w:val="21"/>
          <w:highlight w:val="none"/>
        </w:rPr>
        <w:t>；</w:t>
      </w:r>
    </w:p>
    <w:p>
      <w:pPr>
        <w:pStyle w:val="45"/>
        <w:tabs>
          <w:tab w:val="left" w:pos="993"/>
        </w:tabs>
        <w:adjustRightInd w:val="0"/>
        <w:snapToGrid w:val="0"/>
        <w:spacing w:line="400" w:lineRule="exact"/>
        <w:ind w:firstLine="424" w:firstLineChars="202"/>
        <w:rPr>
          <w:rFonts w:asciiTheme="minorEastAsia" w:hAnsiTheme="minorEastAsia" w:eastAsiaTheme="minorEastAsia"/>
          <w:color w:val="auto"/>
          <w:szCs w:val="21"/>
          <w:highlight w:val="none"/>
        </w:rPr>
      </w:pPr>
      <w:r>
        <w:rPr>
          <w:rFonts w:hint="eastAsia" w:asciiTheme="minorEastAsia" w:hAnsiTheme="minorEastAsia" w:eastAsiaTheme="minorEastAsia"/>
          <w:color w:val="auto"/>
          <w:szCs w:val="21"/>
          <w:highlight w:val="none"/>
        </w:rPr>
        <w:t xml:space="preserve">备注： </w:t>
      </w:r>
    </w:p>
    <w:p>
      <w:pPr>
        <w:pStyle w:val="45"/>
        <w:tabs>
          <w:tab w:val="left" w:pos="993"/>
        </w:tabs>
        <w:adjustRightInd w:val="0"/>
        <w:snapToGrid w:val="0"/>
        <w:spacing w:line="400" w:lineRule="exact"/>
        <w:ind w:firstLine="424" w:firstLineChars="202"/>
        <w:rPr>
          <w:rFonts w:hint="eastAsia" w:asciiTheme="minorEastAsia" w:hAnsiTheme="minorEastAsia" w:eastAsiaTheme="minorEastAsia"/>
          <w:color w:val="auto"/>
          <w:szCs w:val="21"/>
          <w:highlight w:val="none"/>
          <w:lang w:eastAsia="zh-CN"/>
        </w:rPr>
      </w:pPr>
      <w:r>
        <w:rPr>
          <w:rFonts w:hint="eastAsia" w:asciiTheme="minorEastAsia" w:hAnsiTheme="minorEastAsia" w:eastAsiaTheme="minorEastAsia"/>
          <w:color w:val="auto"/>
          <w:szCs w:val="21"/>
          <w:highlight w:val="none"/>
        </w:rPr>
        <w:t>本项目将按照《中国电信供应商不良行为管理规则》应用供应商不良行为处理结果，供应商不良行为处理结果的应用依据“涉及的主要评估产品品类”确定。无涉及的评估产品品类的，针对具体产品品类的处理结果均不适用，仅适用针对供应商的处理结果。请务必登录中国电信阳光采购网查阅《中国电信供应商不良行为管理规则》（具体网址链接：https://caigou.chinatelecom.com.cn/MSS-PORTAL/news/displayNews.do?id=97010&amp;enString=a0af62f1b5009c69b3bd1b2253e1538f）。</w:t>
      </w:r>
    </w:p>
    <w:p>
      <w:pPr>
        <w:pStyle w:val="45"/>
        <w:numPr>
          <w:ilvl w:val="1"/>
          <w:numId w:val="3"/>
        </w:numPr>
        <w:adjustRightInd w:val="0"/>
        <w:snapToGrid w:val="0"/>
        <w:spacing w:line="400" w:lineRule="exact"/>
        <w:ind w:left="0" w:firstLine="424" w:firstLineChars="202"/>
        <w:rPr>
          <w:rFonts w:ascii="宋体" w:hAnsi="宋体"/>
          <w:color w:val="auto"/>
          <w:szCs w:val="21"/>
          <w:highlight w:val="none"/>
        </w:rPr>
      </w:pPr>
      <w:r>
        <w:rPr>
          <w:rFonts w:hint="eastAsia" w:ascii="宋体" w:hAnsi="宋体"/>
          <w:color w:val="auto"/>
          <w:szCs w:val="21"/>
          <w:highlight w:val="none"/>
        </w:rPr>
        <w:t>采购内容</w:t>
      </w:r>
      <w:r>
        <w:rPr>
          <w:rFonts w:hint="eastAsia" w:asciiTheme="minorEastAsia" w:hAnsiTheme="minorEastAsia" w:eastAsiaTheme="minorEastAsia"/>
          <w:color w:val="auto"/>
          <w:szCs w:val="21"/>
          <w:highlight w:val="none"/>
        </w:rPr>
        <w:t>及标段划分情况：</w:t>
      </w:r>
    </w:p>
    <w:p>
      <w:pPr>
        <w:pStyle w:val="45"/>
        <w:adjustRightInd w:val="0"/>
        <w:snapToGrid w:val="0"/>
        <w:spacing w:line="400" w:lineRule="exact"/>
        <w:ind w:firstLine="424" w:firstLineChars="202"/>
        <w:rPr>
          <w:rFonts w:hint="eastAsia" w:asciiTheme="minorEastAsia" w:hAnsiTheme="minorEastAsia" w:eastAsiaTheme="minorEastAsia"/>
          <w:color w:val="auto"/>
          <w:szCs w:val="21"/>
          <w:highlight w:val="none"/>
          <w:lang w:eastAsia="zh-CN"/>
        </w:rPr>
      </w:pPr>
      <w:r>
        <w:rPr>
          <w:rFonts w:hint="eastAsia" w:asciiTheme="minorEastAsia" w:hAnsiTheme="minorEastAsia" w:eastAsiaTheme="minorEastAsia"/>
          <w:color w:val="auto"/>
          <w:szCs w:val="21"/>
          <w:highlight w:val="none"/>
        </w:rPr>
        <w:t>（1）</w:t>
      </w:r>
      <w:r>
        <w:rPr>
          <w:rFonts w:hint="eastAsia" w:ascii="宋体" w:hAnsi="宋体"/>
          <w:color w:val="auto"/>
          <w:szCs w:val="21"/>
          <w:highlight w:val="none"/>
        </w:rPr>
        <w:t>采购内容</w:t>
      </w:r>
      <w:r>
        <w:rPr>
          <w:rFonts w:hint="eastAsia" w:asciiTheme="minorEastAsia" w:hAnsiTheme="minorEastAsia" w:eastAsiaTheme="minorEastAsia"/>
          <w:color w:val="auto"/>
          <w:szCs w:val="21"/>
          <w:highlight w:val="none"/>
        </w:rPr>
        <w:t>：</w:t>
      </w:r>
      <w:r>
        <w:rPr>
          <w:rFonts w:hint="eastAsia" w:asciiTheme="minorEastAsia" w:hAnsiTheme="minorEastAsia" w:eastAsiaTheme="minorEastAsia"/>
          <w:color w:val="auto"/>
          <w:szCs w:val="21"/>
          <w:highlight w:val="none"/>
          <w:u w:val="single"/>
        </w:rPr>
        <w:t>本项目标段一应急</w:t>
      </w:r>
      <w:r>
        <w:rPr>
          <w:rFonts w:hint="eastAsia" w:asciiTheme="minorEastAsia" w:hAnsiTheme="minorEastAsia" w:eastAsiaTheme="minorEastAsia"/>
          <w:color w:val="auto"/>
          <w:szCs w:val="21"/>
          <w:highlight w:val="none"/>
          <w:u w:val="single"/>
          <w:lang w:val="en-US" w:eastAsia="zh-CN"/>
        </w:rPr>
        <w:t>普查等工作</w:t>
      </w:r>
      <w:r>
        <w:rPr>
          <w:rFonts w:hint="eastAsia" w:asciiTheme="minorEastAsia" w:hAnsiTheme="minorEastAsia" w:eastAsiaTheme="minorEastAsia"/>
          <w:color w:val="auto"/>
          <w:szCs w:val="21"/>
          <w:highlight w:val="none"/>
          <w:u w:val="single"/>
        </w:rPr>
        <w:t>；标段二为</w:t>
      </w:r>
      <w:r>
        <w:rPr>
          <w:rFonts w:hint="eastAsia" w:asciiTheme="minorEastAsia" w:hAnsiTheme="minorEastAsia" w:eastAsiaTheme="minorEastAsia"/>
          <w:color w:val="auto"/>
          <w:szCs w:val="21"/>
          <w:highlight w:val="none"/>
          <w:u w:val="single"/>
          <w:lang w:val="en-US" w:eastAsia="zh-CN"/>
        </w:rPr>
        <w:t>核查培训等工作</w:t>
      </w:r>
      <w:r>
        <w:rPr>
          <w:rFonts w:hint="eastAsia" w:asciiTheme="minorEastAsia" w:hAnsiTheme="minorEastAsia" w:eastAsiaTheme="minorEastAsia"/>
          <w:color w:val="auto"/>
          <w:szCs w:val="21"/>
          <w:highlight w:val="none"/>
          <w:u w:val="single"/>
        </w:rPr>
        <w:t>，详见比选文件。</w:t>
      </w:r>
    </w:p>
    <w:p>
      <w:pPr>
        <w:pStyle w:val="45"/>
        <w:adjustRightInd w:val="0"/>
        <w:snapToGrid w:val="0"/>
        <w:spacing w:line="400" w:lineRule="exact"/>
        <w:ind w:firstLine="424" w:firstLineChars="202"/>
        <w:rPr>
          <w:rFonts w:asciiTheme="minorEastAsia" w:hAnsiTheme="minorEastAsia" w:eastAsiaTheme="minorEastAsia"/>
          <w:color w:val="auto"/>
          <w:szCs w:val="21"/>
          <w:highlight w:val="none"/>
        </w:rPr>
      </w:pPr>
      <w:r>
        <w:rPr>
          <w:rFonts w:hint="eastAsia" w:asciiTheme="minorEastAsia" w:hAnsiTheme="minorEastAsia" w:eastAsiaTheme="minorEastAsia"/>
          <w:color w:val="auto"/>
          <w:szCs w:val="21"/>
          <w:highlight w:val="none"/>
        </w:rPr>
        <w:t>（2）标段划分情况：本项目划分2个标段，其中标段一：1</w:t>
      </w:r>
      <w:r>
        <w:rPr>
          <w:rFonts w:hint="eastAsia" w:asciiTheme="minorEastAsia" w:hAnsiTheme="minorEastAsia" w:eastAsiaTheme="minorEastAsia"/>
          <w:color w:val="auto"/>
          <w:szCs w:val="21"/>
          <w:highlight w:val="none"/>
          <w:lang w:val="en-US" w:eastAsia="zh-CN"/>
        </w:rPr>
        <w:t>29</w:t>
      </w:r>
      <w:r>
        <w:rPr>
          <w:rFonts w:hint="eastAsia" w:asciiTheme="minorEastAsia" w:hAnsiTheme="minorEastAsia" w:eastAsiaTheme="minorEastAsia"/>
          <w:color w:val="auto"/>
          <w:szCs w:val="21"/>
          <w:highlight w:val="none"/>
        </w:rPr>
        <w:t>3150.00元（含税），标段二：5</w:t>
      </w:r>
      <w:r>
        <w:rPr>
          <w:rFonts w:hint="eastAsia" w:asciiTheme="minorEastAsia" w:hAnsiTheme="minorEastAsia" w:eastAsiaTheme="minorEastAsia"/>
          <w:color w:val="auto"/>
          <w:szCs w:val="21"/>
          <w:highlight w:val="none"/>
          <w:lang w:val="en-US" w:eastAsia="zh-CN"/>
        </w:rPr>
        <w:t>3</w:t>
      </w:r>
      <w:r>
        <w:rPr>
          <w:rFonts w:hint="eastAsia" w:asciiTheme="minorEastAsia" w:hAnsiTheme="minorEastAsia" w:eastAsiaTheme="minorEastAsia"/>
          <w:color w:val="auto"/>
          <w:szCs w:val="21"/>
          <w:highlight w:val="none"/>
        </w:rPr>
        <w:t>5150.00元（含税）。本项目允许参选人同时中选的最多标段数为1个。参选人必须按比选文件格式提供《中选意向承诺书》（所填意向中选标段数不得大于本条款规定的数量），否则参选将予以否决。</w:t>
      </w:r>
    </w:p>
    <w:p>
      <w:pPr>
        <w:pStyle w:val="45"/>
        <w:numPr>
          <w:ilvl w:val="1"/>
          <w:numId w:val="3"/>
        </w:numPr>
        <w:adjustRightInd w:val="0"/>
        <w:snapToGrid w:val="0"/>
        <w:spacing w:line="400" w:lineRule="exact"/>
        <w:ind w:left="0" w:firstLine="424" w:firstLineChars="202"/>
        <w:rPr>
          <w:rFonts w:ascii="宋体" w:hAnsi="宋体"/>
          <w:szCs w:val="21"/>
          <w:highlight w:val="none"/>
        </w:rPr>
      </w:pPr>
      <w:r>
        <w:rPr>
          <w:rFonts w:hint="eastAsia" w:ascii="宋体" w:hAnsi="宋体"/>
          <w:color w:val="auto"/>
          <w:szCs w:val="21"/>
          <w:highlight w:val="none"/>
        </w:rPr>
        <w:t>※</w:t>
      </w:r>
      <w:r>
        <w:rPr>
          <w:rFonts w:hint="eastAsia" w:ascii="宋体" w:hAnsi="宋体"/>
          <w:szCs w:val="21"/>
          <w:highlight w:val="none"/>
          <w:lang w:eastAsia="zh-CN"/>
        </w:rPr>
        <w:t>本项目设置最高参选限价，</w:t>
      </w:r>
      <w:r>
        <w:rPr>
          <w:rFonts w:hint="eastAsia" w:ascii="宋体" w:hAnsi="宋体"/>
          <w:szCs w:val="21"/>
          <w:highlight w:val="none"/>
          <w:lang w:val="en-US" w:eastAsia="zh-CN"/>
        </w:rPr>
        <w:t>单价最高限价详见分项报价表</w:t>
      </w:r>
      <w:r>
        <w:rPr>
          <w:rFonts w:hint="eastAsia" w:ascii="宋体" w:hAnsi="宋体"/>
          <w:szCs w:val="21"/>
          <w:highlight w:val="none"/>
          <w:lang w:eastAsia="zh-CN"/>
        </w:rPr>
        <w:t>。</w:t>
      </w:r>
      <w:r>
        <w:rPr>
          <w:rFonts w:hint="eastAsia" w:ascii="宋体" w:hAnsi="宋体"/>
          <w:szCs w:val="21"/>
          <w:highlight w:val="none"/>
          <w:lang w:val="en-US" w:eastAsia="zh-CN"/>
        </w:rPr>
        <w:t>参选总价限价如下：</w:t>
      </w:r>
    </w:p>
    <w:p>
      <w:pPr>
        <w:pStyle w:val="45"/>
        <w:numPr>
          <w:ilvl w:val="0"/>
          <w:numId w:val="0"/>
        </w:numPr>
        <w:adjustRightInd w:val="0"/>
        <w:snapToGrid w:val="0"/>
        <w:spacing w:line="400" w:lineRule="exact"/>
        <w:rPr>
          <w:rFonts w:hint="eastAsia" w:ascii="宋体" w:hAnsi="宋体"/>
          <w:b/>
          <w:bCs/>
          <w:szCs w:val="21"/>
          <w:highlight w:val="none"/>
          <w:lang w:val="en-US" w:eastAsia="zh-CN"/>
        </w:rPr>
      </w:pPr>
      <w:r>
        <w:rPr>
          <w:rFonts w:hint="eastAsia" w:ascii="宋体" w:hAnsi="宋体"/>
          <w:b/>
          <w:bCs/>
          <w:szCs w:val="21"/>
          <w:highlight w:val="none"/>
          <w:lang w:val="en-US" w:eastAsia="zh-CN"/>
        </w:rPr>
        <w:t>标段一：参选总报价（含税）不得超过1293150.00元。</w:t>
      </w:r>
    </w:p>
    <w:p>
      <w:pPr>
        <w:pStyle w:val="45"/>
        <w:numPr>
          <w:ilvl w:val="0"/>
          <w:numId w:val="0"/>
        </w:numPr>
        <w:adjustRightInd w:val="0"/>
        <w:snapToGrid w:val="0"/>
        <w:spacing w:line="400" w:lineRule="exact"/>
        <w:rPr>
          <w:rFonts w:hint="eastAsia" w:ascii="宋体" w:hAnsi="宋体"/>
          <w:b/>
          <w:bCs/>
          <w:szCs w:val="21"/>
          <w:highlight w:val="none"/>
          <w:lang w:val="en-US" w:eastAsia="zh-CN"/>
        </w:rPr>
      </w:pPr>
      <w:r>
        <w:rPr>
          <w:rFonts w:hint="eastAsia" w:ascii="宋体" w:hAnsi="宋体"/>
          <w:b/>
          <w:bCs/>
          <w:szCs w:val="21"/>
          <w:highlight w:val="none"/>
          <w:lang w:val="en-US" w:eastAsia="zh-CN"/>
        </w:rPr>
        <w:t>标段二：参选总报价（含税）不得超过535150.00元。</w:t>
      </w:r>
    </w:p>
    <w:p>
      <w:pPr>
        <w:pStyle w:val="45"/>
        <w:numPr>
          <w:ilvl w:val="0"/>
          <w:numId w:val="0"/>
        </w:numPr>
        <w:adjustRightInd w:val="0"/>
        <w:snapToGrid w:val="0"/>
        <w:spacing w:line="400" w:lineRule="exact"/>
        <w:ind w:leftChars="0"/>
        <w:rPr>
          <w:rFonts w:ascii="宋体" w:hAnsi="宋体"/>
          <w:color w:val="auto"/>
          <w:szCs w:val="21"/>
          <w:highlight w:val="none"/>
        </w:rPr>
      </w:pPr>
      <w:r>
        <w:rPr>
          <w:rFonts w:hint="eastAsia" w:ascii="宋体" w:hAnsi="宋体"/>
          <w:szCs w:val="21"/>
          <w:highlight w:val="none"/>
          <w:lang w:eastAsia="zh-CN"/>
        </w:rPr>
        <w:t>参选人参选报价高于最高参选限价的其参选将被否决</w:t>
      </w:r>
      <w:r>
        <w:rPr>
          <w:rFonts w:hint="eastAsia" w:ascii="宋体" w:hAnsi="宋体"/>
          <w:color w:val="auto"/>
          <w:szCs w:val="21"/>
          <w:highlight w:val="none"/>
        </w:rPr>
        <w:t>。</w:t>
      </w:r>
    </w:p>
    <w:p>
      <w:pPr>
        <w:pStyle w:val="45"/>
        <w:numPr>
          <w:ilvl w:val="0"/>
          <w:numId w:val="3"/>
        </w:numPr>
        <w:adjustRightInd w:val="0"/>
        <w:snapToGrid w:val="0"/>
        <w:spacing w:line="440" w:lineRule="exact"/>
        <w:ind w:firstLineChars="0"/>
        <w:outlineLvl w:val="1"/>
        <w:rPr>
          <w:rFonts w:ascii="宋体" w:hAnsi="宋体"/>
          <w:b/>
          <w:color w:val="auto"/>
          <w:szCs w:val="21"/>
          <w:highlight w:val="none"/>
        </w:rPr>
      </w:pPr>
      <w:r>
        <w:rPr>
          <w:rFonts w:hint="eastAsia"/>
          <w:b/>
          <w:color w:val="auto"/>
          <w:szCs w:val="21"/>
          <w:highlight w:val="none"/>
        </w:rPr>
        <w:t>※</w:t>
      </w:r>
      <w:r>
        <w:rPr>
          <w:rFonts w:hint="eastAsia" w:ascii="宋体" w:hAnsi="宋体"/>
          <w:b/>
          <w:color w:val="auto"/>
          <w:szCs w:val="21"/>
          <w:highlight w:val="none"/>
        </w:rPr>
        <w:t>参选人资格要求</w:t>
      </w:r>
      <w:bookmarkEnd w:id="9"/>
      <w:bookmarkEnd w:id="10"/>
      <w:bookmarkEnd w:id="11"/>
      <w:r>
        <w:rPr>
          <w:rFonts w:hint="eastAsia" w:ascii="宋体" w:hAnsi="宋体"/>
          <w:b/>
          <w:color w:val="auto"/>
          <w:szCs w:val="21"/>
          <w:highlight w:val="none"/>
        </w:rPr>
        <w:t xml:space="preserve"> </w:t>
      </w:r>
      <w:r>
        <w:rPr>
          <w:rFonts w:hint="eastAsia" w:ascii="宋体" w:hAnsi="宋体"/>
          <w:b/>
          <w:szCs w:val="21"/>
          <w:highlight w:val="none"/>
          <w:lang w:eastAsia="zh-CN"/>
        </w:rPr>
        <w:t>（</w:t>
      </w:r>
      <w:r>
        <w:rPr>
          <w:rFonts w:hint="eastAsia" w:ascii="宋体" w:hAnsi="宋体"/>
          <w:b/>
          <w:szCs w:val="21"/>
          <w:highlight w:val="none"/>
          <w:lang w:val="en-US" w:eastAsia="zh-CN"/>
        </w:rPr>
        <w:t>标段一</w:t>
      </w:r>
      <w:r>
        <w:rPr>
          <w:rFonts w:hint="eastAsia" w:ascii="宋体" w:hAnsi="宋体"/>
          <w:b/>
          <w:szCs w:val="21"/>
          <w:highlight w:val="none"/>
          <w:lang w:eastAsia="zh-CN"/>
        </w:rPr>
        <w:t>）</w:t>
      </w:r>
      <w:r>
        <w:rPr>
          <w:rFonts w:hint="eastAsia" w:ascii="宋体" w:hAnsi="宋体"/>
          <w:b/>
          <w:szCs w:val="21"/>
          <w:highlight w:val="none"/>
        </w:rPr>
        <w:t xml:space="preserve"> </w:t>
      </w:r>
    </w:p>
    <w:p>
      <w:pPr>
        <w:numPr>
          <w:ilvl w:val="1"/>
          <w:numId w:val="3"/>
        </w:numPr>
        <w:spacing w:line="400" w:lineRule="exact"/>
        <w:ind w:left="0" w:firstLine="426"/>
        <w:rPr>
          <w:rFonts w:ascii="宋体" w:hAnsi="宋体"/>
          <w:color w:val="auto"/>
          <w:szCs w:val="21"/>
          <w:highlight w:val="none"/>
        </w:rPr>
      </w:pPr>
      <w:bookmarkStart w:id="12" w:name="_Toc184704556"/>
      <w:bookmarkStart w:id="13" w:name="_Toc319769474"/>
      <w:bookmarkStart w:id="14" w:name="_Toc319394715"/>
      <w:r>
        <w:rPr>
          <w:rFonts w:hint="eastAsia" w:ascii="宋体" w:hAnsi="宋体"/>
          <w:color w:val="auto"/>
          <w:szCs w:val="21"/>
          <w:highlight w:val="none"/>
        </w:rPr>
        <w:t>参选人基本资格要求：</w:t>
      </w:r>
    </w:p>
    <w:p>
      <w:pPr>
        <w:spacing w:line="400" w:lineRule="exact"/>
        <w:ind w:firstLine="424" w:firstLineChars="202"/>
        <w:rPr>
          <w:rFonts w:hAnsi="宋体"/>
          <w:color w:val="auto"/>
          <w:szCs w:val="21"/>
          <w:highlight w:val="none"/>
        </w:rPr>
      </w:pPr>
      <w:r>
        <w:rPr>
          <w:rFonts w:hint="eastAsia" w:hAnsi="宋体"/>
          <w:color w:val="auto"/>
          <w:szCs w:val="21"/>
          <w:highlight w:val="none"/>
        </w:rPr>
        <w:t>（1）参选人须为独立法人或其他组织，</w:t>
      </w:r>
      <w:r>
        <w:rPr>
          <w:rFonts w:hint="eastAsia"/>
          <w:color w:val="auto"/>
          <w:szCs w:val="21"/>
          <w:highlight w:val="none"/>
        </w:rPr>
        <w:t>注册资本或开办资金应不低于</w:t>
      </w:r>
      <w:r>
        <w:rPr>
          <w:rFonts w:hint="eastAsia" w:ascii="宋体" w:hAnsi="宋体"/>
          <w:color w:val="auto"/>
          <w:szCs w:val="21"/>
          <w:highlight w:val="none"/>
          <w:u w:val="single"/>
          <w:lang w:val="en-US" w:eastAsia="zh-CN"/>
        </w:rPr>
        <w:t>1</w:t>
      </w:r>
      <w:r>
        <w:rPr>
          <w:rFonts w:ascii="宋体" w:hAnsi="宋体"/>
          <w:color w:val="auto"/>
          <w:szCs w:val="21"/>
          <w:highlight w:val="none"/>
          <w:u w:val="single"/>
        </w:rPr>
        <w:t>00</w:t>
      </w:r>
      <w:r>
        <w:rPr>
          <w:rFonts w:hint="eastAsia"/>
          <w:color w:val="auto"/>
          <w:szCs w:val="21"/>
          <w:highlight w:val="none"/>
        </w:rPr>
        <w:t>万元（含）人民币或等值货币</w:t>
      </w:r>
      <w:r>
        <w:rPr>
          <w:rFonts w:hint="eastAsia" w:hAnsi="宋体"/>
          <w:color w:val="auto"/>
          <w:szCs w:val="21"/>
          <w:highlight w:val="none"/>
        </w:rPr>
        <w:t>（如注册资本或开办资金为其他外币的，按照参选文件递交截止之日中国银行公布的汇率中间价换算成人民币）。</w:t>
      </w:r>
      <w:r>
        <w:rPr>
          <w:rFonts w:hint="eastAsia"/>
          <w:color w:val="auto"/>
          <w:szCs w:val="21"/>
          <w:highlight w:val="none"/>
        </w:rPr>
        <w:t>法人下属不具备法人资格的分支机构参选的，应具备法人针对本项目或覆盖本项目的经营事项的有效授权。同一法人授权多个不具备法人资格的分支机构同时参加本项目，或该法人与其下属不具备法人资格的分支机构同时参加本项目，均视为同一参选人参选，在同一标段参选或者未划分标段的同一比选项目参选的，除比选文件允许递交备选参选方案且参选文件有明确区分所有备选参选方案的外，否则按否决参选处理。</w:t>
      </w:r>
    </w:p>
    <w:p>
      <w:pPr>
        <w:pStyle w:val="16"/>
        <w:tabs>
          <w:tab w:val="left" w:pos="0"/>
        </w:tabs>
        <w:topLinePunct/>
        <w:spacing w:after="0" w:line="400" w:lineRule="exact"/>
        <w:ind w:firstLine="424" w:firstLineChars="202"/>
        <w:rPr>
          <w:color w:val="auto"/>
          <w:sz w:val="21"/>
          <w:szCs w:val="21"/>
          <w:highlight w:val="none"/>
        </w:rPr>
      </w:pPr>
      <w:r>
        <w:rPr>
          <w:rFonts w:hint="eastAsia"/>
          <w:color w:val="auto"/>
          <w:sz w:val="21"/>
          <w:szCs w:val="21"/>
          <w:highlight w:val="none"/>
        </w:rPr>
        <w:t>1）如参选人为企业的，提供营业执照同时应提供</w:t>
      </w:r>
      <w:r>
        <w:rPr>
          <w:color w:val="auto"/>
          <w:sz w:val="21"/>
          <w:szCs w:val="21"/>
          <w:highlight w:val="none"/>
        </w:rPr>
        <w:t xml:space="preserve">“全国企业信用信息公示系统（http://www.gsxt.gov.cn）” </w:t>
      </w:r>
      <w:r>
        <w:rPr>
          <w:rFonts w:hint="eastAsia"/>
          <w:color w:val="auto"/>
          <w:sz w:val="21"/>
          <w:szCs w:val="21"/>
          <w:highlight w:val="none"/>
        </w:rPr>
        <w:t>查询结果（显示注册资本等信息）的截屏打印件；</w:t>
      </w:r>
    </w:p>
    <w:p>
      <w:pPr>
        <w:pStyle w:val="16"/>
        <w:tabs>
          <w:tab w:val="left" w:pos="0"/>
        </w:tabs>
        <w:topLinePunct/>
        <w:spacing w:after="0" w:line="400" w:lineRule="exact"/>
        <w:ind w:firstLine="424" w:firstLineChars="202"/>
        <w:rPr>
          <w:color w:val="auto"/>
          <w:sz w:val="21"/>
          <w:szCs w:val="21"/>
          <w:highlight w:val="none"/>
        </w:rPr>
      </w:pPr>
      <w:r>
        <w:rPr>
          <w:rFonts w:hint="eastAsia"/>
          <w:color w:val="auto"/>
          <w:sz w:val="21"/>
          <w:szCs w:val="21"/>
          <w:highlight w:val="none"/>
        </w:rPr>
        <w:t>2）如参选人为事业单位的，提供事业单位法人证书同时应提供“事业单位在线（</w:t>
      </w:r>
      <w:r>
        <w:rPr>
          <w:color w:val="auto"/>
          <w:sz w:val="21"/>
          <w:szCs w:val="21"/>
          <w:highlight w:val="none"/>
        </w:rPr>
        <w:t>http://www.gjsy.gov.cn/）”查询结果（显示开办资金、证书有效日期等信息）的截屏打印件</w:t>
      </w:r>
      <w:r>
        <w:rPr>
          <w:rFonts w:hint="eastAsia"/>
          <w:color w:val="auto"/>
          <w:sz w:val="21"/>
          <w:szCs w:val="21"/>
          <w:highlight w:val="none"/>
        </w:rPr>
        <w:t>。</w:t>
      </w:r>
    </w:p>
    <w:p>
      <w:pPr>
        <w:numPr>
          <w:ilvl w:val="1"/>
          <w:numId w:val="3"/>
        </w:numPr>
        <w:spacing w:line="400" w:lineRule="exact"/>
        <w:ind w:left="0" w:firstLine="426"/>
        <w:rPr>
          <w:rFonts w:ascii="宋体" w:hAnsi="宋体"/>
          <w:color w:val="auto"/>
          <w:szCs w:val="21"/>
          <w:highlight w:val="none"/>
        </w:rPr>
      </w:pPr>
      <w:r>
        <w:rPr>
          <w:rFonts w:hint="eastAsia" w:ascii="宋体" w:hAnsi="宋体"/>
          <w:color w:val="auto"/>
          <w:szCs w:val="21"/>
          <w:highlight w:val="none"/>
        </w:rPr>
        <w:t>团队要求：</w:t>
      </w:r>
      <w:r>
        <w:rPr>
          <w:rFonts w:hint="eastAsia"/>
          <w:color w:val="auto"/>
          <w:szCs w:val="21"/>
          <w:highlight w:val="none"/>
        </w:rPr>
        <w:t>参选人拟派项目负责人</w:t>
      </w:r>
      <w:r>
        <w:rPr>
          <w:rFonts w:hint="eastAsia"/>
          <w:color w:val="auto"/>
          <w:szCs w:val="21"/>
          <w:highlight w:val="none"/>
          <w:lang w:val="en-US" w:eastAsia="zh-CN"/>
        </w:rPr>
        <w:t>1人</w:t>
      </w:r>
      <w:r>
        <w:rPr>
          <w:rFonts w:hint="eastAsia"/>
          <w:color w:val="auto"/>
          <w:szCs w:val="21"/>
          <w:highlight w:val="none"/>
        </w:rPr>
        <w:t>。参选人拟派专职项目团队成员要求【3】人或以上，项目负责人和专职项目团队成员均需提供人员名单、二代身份证。</w:t>
      </w:r>
    </w:p>
    <w:p>
      <w:pPr>
        <w:numPr>
          <w:ilvl w:val="1"/>
          <w:numId w:val="3"/>
        </w:numPr>
        <w:spacing w:line="400" w:lineRule="exact"/>
        <w:ind w:left="0" w:firstLine="425"/>
        <w:rPr>
          <w:rFonts w:ascii="宋体" w:hAnsi="宋体"/>
          <w:color w:val="auto"/>
          <w:szCs w:val="21"/>
          <w:highlight w:val="none"/>
        </w:rPr>
      </w:pPr>
      <w:r>
        <w:rPr>
          <w:rFonts w:hint="eastAsia" w:ascii="宋体" w:hAnsi="宋体"/>
          <w:color w:val="auto"/>
          <w:szCs w:val="21"/>
          <w:highlight w:val="none"/>
        </w:rPr>
        <w:t>信誉要求：具有良好的信誉，参选人不得存在比选文件规定的“参选人不得存在的情形”，须提供《参选信誉承诺函》。</w:t>
      </w:r>
    </w:p>
    <w:p>
      <w:pPr>
        <w:numPr>
          <w:ilvl w:val="1"/>
          <w:numId w:val="3"/>
        </w:numPr>
        <w:spacing w:line="400" w:lineRule="exact"/>
        <w:ind w:left="0" w:firstLine="425"/>
        <w:rPr>
          <w:rFonts w:ascii="宋体" w:hAnsi="宋体"/>
          <w:color w:val="auto"/>
          <w:szCs w:val="21"/>
          <w:highlight w:val="none"/>
        </w:rPr>
      </w:pPr>
      <w:r>
        <w:rPr>
          <w:rFonts w:hint="eastAsia" w:ascii="宋体" w:hAnsi="宋体" w:cs="宋体"/>
          <w:color w:val="auto"/>
          <w:szCs w:val="21"/>
          <w:highlight w:val="none"/>
        </w:rPr>
        <w:t>参选人不得存在下列情形之一：</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）为比选人不具有独立法人资格的附属机构（单位）；</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）被依法暂停或取消投标</w:t>
      </w:r>
      <w:r>
        <w:rPr>
          <w:color w:val="auto"/>
          <w:szCs w:val="21"/>
          <w:highlight w:val="none"/>
        </w:rPr>
        <w:t>/</w:t>
      </w:r>
      <w:r>
        <w:rPr>
          <w:rFonts w:hint="eastAsia"/>
          <w:color w:val="auto"/>
          <w:szCs w:val="21"/>
          <w:highlight w:val="none"/>
        </w:rPr>
        <w:t>参选资格的；</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3</w:t>
      </w:r>
      <w:r>
        <w:rPr>
          <w:rFonts w:hint="eastAsia"/>
          <w:color w:val="auto"/>
          <w:szCs w:val="21"/>
          <w:highlight w:val="none"/>
        </w:rPr>
        <w:t>）被责令停产停业、暂扣或者吊销许可证、暂扣或者吊销执照；</w:t>
      </w:r>
      <w:r>
        <w:rPr>
          <w:color w:val="auto"/>
          <w:szCs w:val="21"/>
          <w:highlight w:val="none"/>
        </w:rPr>
        <w:t xml:space="preserve"> </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4</w:t>
      </w:r>
      <w:r>
        <w:rPr>
          <w:rFonts w:hint="eastAsia"/>
          <w:color w:val="auto"/>
          <w:szCs w:val="21"/>
          <w:highlight w:val="none"/>
        </w:rPr>
        <w:t>）进入清算程序，或被宣告破产，或其他丧失履约能力的情形；</w:t>
      </w:r>
      <w:r>
        <w:rPr>
          <w:color w:val="auto"/>
          <w:szCs w:val="21"/>
          <w:highlight w:val="none"/>
        </w:rPr>
        <w:t xml:space="preserve"> </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5</w:t>
      </w:r>
      <w:r>
        <w:rPr>
          <w:rFonts w:hint="eastAsia"/>
          <w:color w:val="auto"/>
          <w:szCs w:val="21"/>
          <w:highlight w:val="none"/>
        </w:rPr>
        <w:t>）</w:t>
      </w:r>
      <w:r>
        <w:rPr>
          <w:rFonts w:hint="eastAsia" w:asciiTheme="minorEastAsia" w:hAnsiTheme="minorEastAsia"/>
          <w:color w:val="auto"/>
          <w:szCs w:val="21"/>
          <w:highlight w:val="none"/>
        </w:rPr>
        <w:t>在最近三年内</w:t>
      </w:r>
      <w:r>
        <w:rPr>
          <w:rFonts w:hint="eastAsia"/>
          <w:color w:val="auto"/>
          <w:szCs w:val="21"/>
          <w:highlight w:val="none"/>
        </w:rPr>
        <w:t>（</w:t>
      </w:r>
      <w:r>
        <w:rPr>
          <w:rFonts w:hint="eastAsia"/>
          <w:color w:val="auto"/>
          <w:szCs w:val="21"/>
          <w:highlight w:val="none"/>
          <w:u w:val="single"/>
          <w:lang w:eastAsia="zh-CN"/>
        </w:rPr>
        <w:t>2019年1月1日</w:t>
      </w:r>
      <w:r>
        <w:rPr>
          <w:rFonts w:hint="eastAsia"/>
          <w:color w:val="auto"/>
          <w:szCs w:val="21"/>
          <w:highlight w:val="none"/>
        </w:rPr>
        <w:t>起至参选截止时间）</w:t>
      </w:r>
      <w:r>
        <w:rPr>
          <w:rFonts w:hint="eastAsia" w:asciiTheme="minorEastAsia" w:hAnsiTheme="minorEastAsia"/>
          <w:color w:val="auto"/>
          <w:szCs w:val="21"/>
          <w:highlight w:val="none"/>
        </w:rPr>
        <w:t>有骗取中标/中选、严重违约、重大工程质量或者安全问题的</w:t>
      </w:r>
      <w:r>
        <w:rPr>
          <w:rFonts w:hint="eastAsia"/>
          <w:color w:val="auto"/>
          <w:szCs w:val="21"/>
          <w:highlight w:val="none"/>
        </w:rPr>
        <w:t>；</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6</w:t>
      </w:r>
      <w:r>
        <w:rPr>
          <w:rFonts w:hint="eastAsia"/>
          <w:color w:val="auto"/>
          <w:szCs w:val="21"/>
          <w:highlight w:val="none"/>
        </w:rPr>
        <w:t>）</w:t>
      </w:r>
      <w:r>
        <w:rPr>
          <w:rFonts w:hint="eastAsia" w:asciiTheme="minorEastAsia" w:hAnsiTheme="minorEastAsia"/>
          <w:color w:val="auto"/>
          <w:szCs w:val="21"/>
          <w:highlight w:val="none"/>
        </w:rPr>
        <w:t>在最近五年内</w:t>
      </w:r>
      <w:r>
        <w:rPr>
          <w:rFonts w:hint="eastAsia"/>
          <w:color w:val="auto"/>
          <w:szCs w:val="21"/>
          <w:highlight w:val="none"/>
        </w:rPr>
        <w:t>（</w:t>
      </w:r>
      <w:r>
        <w:rPr>
          <w:rFonts w:hint="eastAsia"/>
          <w:color w:val="auto"/>
          <w:szCs w:val="21"/>
          <w:highlight w:val="none"/>
          <w:u w:val="single"/>
          <w:lang w:eastAsia="zh-CN"/>
        </w:rPr>
        <w:t>2017年1月1日</w:t>
      </w:r>
      <w:r>
        <w:rPr>
          <w:rFonts w:hint="eastAsia"/>
          <w:color w:val="auto"/>
          <w:szCs w:val="21"/>
          <w:highlight w:val="none"/>
        </w:rPr>
        <w:t>起至参选截止时间）</w:t>
      </w:r>
      <w:r>
        <w:rPr>
          <w:rFonts w:hint="eastAsia" w:asciiTheme="minorEastAsia" w:hAnsiTheme="minorEastAsia"/>
          <w:color w:val="auto"/>
          <w:szCs w:val="21"/>
          <w:highlight w:val="none"/>
        </w:rPr>
        <w:t>被判处单位行贿罪，且行贿行为与采购活动相关的（以“中国裁判文书网”的生效判决为准）</w:t>
      </w:r>
      <w:r>
        <w:rPr>
          <w:rFonts w:hint="eastAsia"/>
          <w:color w:val="auto"/>
          <w:szCs w:val="21"/>
          <w:highlight w:val="none"/>
        </w:rPr>
        <w:t>；</w:t>
      </w:r>
      <w:r>
        <w:rPr>
          <w:color w:val="auto"/>
          <w:szCs w:val="21"/>
          <w:highlight w:val="none"/>
        </w:rPr>
        <w:t xml:space="preserve"> </w:t>
      </w:r>
    </w:p>
    <w:p>
      <w:pPr>
        <w:spacing w:line="400" w:lineRule="exact"/>
        <w:ind w:firstLine="424" w:firstLineChars="202"/>
        <w:rPr>
          <w:rFonts w:asciiTheme="minorEastAsia" w:hAnsiTheme="minorEastAsia"/>
          <w:color w:val="auto"/>
          <w:szCs w:val="21"/>
          <w:highlight w:val="none"/>
        </w:rPr>
      </w:pPr>
      <w:r>
        <w:rPr>
          <w:rFonts w:hint="eastAsia"/>
          <w:color w:val="auto"/>
          <w:szCs w:val="21"/>
          <w:highlight w:val="none"/>
        </w:rPr>
        <w:t>（</w:t>
      </w:r>
      <w:r>
        <w:rPr>
          <w:color w:val="auto"/>
          <w:szCs w:val="21"/>
          <w:highlight w:val="none"/>
        </w:rPr>
        <w:t>7</w:t>
      </w:r>
      <w:r>
        <w:rPr>
          <w:rFonts w:hint="eastAsia"/>
          <w:color w:val="auto"/>
          <w:szCs w:val="21"/>
          <w:highlight w:val="none"/>
        </w:rPr>
        <w:t>）</w:t>
      </w:r>
      <w:r>
        <w:rPr>
          <w:rFonts w:hint="eastAsia" w:asciiTheme="minorEastAsia" w:hAnsiTheme="minorEastAsia"/>
          <w:color w:val="auto"/>
          <w:szCs w:val="21"/>
          <w:highlight w:val="none"/>
        </w:rPr>
        <w:t>在最近五年内</w:t>
      </w:r>
      <w:r>
        <w:rPr>
          <w:rFonts w:hint="eastAsia"/>
          <w:color w:val="auto"/>
          <w:szCs w:val="21"/>
          <w:highlight w:val="none"/>
        </w:rPr>
        <w:t>（</w:t>
      </w:r>
      <w:r>
        <w:rPr>
          <w:rFonts w:hint="eastAsia"/>
          <w:color w:val="auto"/>
          <w:szCs w:val="21"/>
          <w:highlight w:val="none"/>
          <w:u w:val="single"/>
          <w:lang w:eastAsia="zh-CN"/>
        </w:rPr>
        <w:t>2017年1月1日</w:t>
      </w:r>
      <w:r>
        <w:rPr>
          <w:rFonts w:hint="eastAsia"/>
          <w:color w:val="auto"/>
          <w:szCs w:val="21"/>
          <w:highlight w:val="none"/>
        </w:rPr>
        <w:t>起至参选截止时间）</w:t>
      </w:r>
      <w:r>
        <w:rPr>
          <w:rFonts w:hint="eastAsia" w:asciiTheme="minorEastAsia" w:hAnsiTheme="minorEastAsia"/>
          <w:color w:val="auto"/>
          <w:szCs w:val="21"/>
          <w:highlight w:val="none"/>
        </w:rPr>
        <w:t>被判处合同诈骗罪的（以“中国裁判文书网”的生效判决为准）；</w:t>
      </w:r>
    </w:p>
    <w:p>
      <w:pPr>
        <w:spacing w:line="400" w:lineRule="exact"/>
        <w:ind w:firstLine="424" w:firstLineChars="202"/>
        <w:rPr>
          <w:color w:val="auto"/>
          <w:szCs w:val="21"/>
          <w:highlight w:val="none"/>
        </w:rPr>
      </w:pPr>
      <w:r>
        <w:rPr>
          <w:rFonts w:hint="eastAsia" w:asciiTheme="minorEastAsia" w:hAnsiTheme="minorEastAsia"/>
          <w:color w:val="auto"/>
          <w:szCs w:val="21"/>
          <w:highlight w:val="none"/>
        </w:rPr>
        <w:t xml:space="preserve">（8） </w:t>
      </w:r>
      <w:r>
        <w:rPr>
          <w:rFonts w:hint="eastAsia"/>
          <w:color w:val="auto"/>
          <w:szCs w:val="21"/>
          <w:highlight w:val="none"/>
        </w:rPr>
        <w:t>被工商行政管理机关在全国企业信用信息公示系统中列入严重违法失信企业名单；</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9</w:t>
      </w:r>
      <w:r>
        <w:rPr>
          <w:rFonts w:hint="eastAsia"/>
          <w:color w:val="auto"/>
          <w:szCs w:val="21"/>
          <w:highlight w:val="none"/>
        </w:rPr>
        <w:t>）被最高人民法院认定为失信被执行人的</w:t>
      </w:r>
      <w:r>
        <w:rPr>
          <w:color w:val="auto"/>
          <w:szCs w:val="21"/>
          <w:highlight w:val="none"/>
        </w:rPr>
        <w:t>(</w:t>
      </w:r>
      <w:r>
        <w:rPr>
          <w:rFonts w:hint="eastAsia"/>
          <w:color w:val="auto"/>
          <w:szCs w:val="21"/>
          <w:highlight w:val="none"/>
        </w:rPr>
        <w:t>以“信用中国”网站（</w:t>
      </w:r>
      <w:r>
        <w:rPr>
          <w:color w:val="auto"/>
          <w:szCs w:val="21"/>
          <w:highlight w:val="none"/>
        </w:rPr>
        <w:t>www.creditchina.gov.cn</w:t>
      </w:r>
      <w:r>
        <w:rPr>
          <w:rFonts w:hint="eastAsia"/>
          <w:color w:val="auto"/>
          <w:szCs w:val="21"/>
          <w:highlight w:val="none"/>
        </w:rPr>
        <w:t>）或各级信用信息共享平台公布的失信被执行人名单为准</w:t>
      </w:r>
      <w:r>
        <w:rPr>
          <w:color w:val="auto"/>
          <w:szCs w:val="21"/>
          <w:highlight w:val="none"/>
        </w:rPr>
        <w:t>)</w:t>
      </w:r>
      <w:r>
        <w:rPr>
          <w:rFonts w:hint="eastAsia"/>
          <w:color w:val="auto"/>
          <w:szCs w:val="21"/>
          <w:highlight w:val="none"/>
        </w:rPr>
        <w:t>；</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10</w:t>
      </w:r>
      <w:r>
        <w:rPr>
          <w:rFonts w:hint="eastAsia"/>
          <w:color w:val="auto"/>
          <w:szCs w:val="21"/>
          <w:highlight w:val="none"/>
        </w:rPr>
        <w:t>）参选人或其法定代表人、拟委任的项目负责人在最近五年内（</w:t>
      </w:r>
      <w:r>
        <w:rPr>
          <w:rFonts w:hint="eastAsia"/>
          <w:color w:val="auto"/>
          <w:szCs w:val="21"/>
          <w:highlight w:val="none"/>
          <w:u w:val="single"/>
          <w:lang w:eastAsia="zh-CN"/>
        </w:rPr>
        <w:t>2017年1月1日</w:t>
      </w:r>
      <w:r>
        <w:rPr>
          <w:rFonts w:hint="eastAsia"/>
          <w:color w:val="auto"/>
          <w:szCs w:val="21"/>
          <w:highlight w:val="none"/>
        </w:rPr>
        <w:t>起至参选截止时间）参与的采购活动中有行贿犯罪记录（以“中国裁判文书网”为准）；</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11</w:t>
      </w:r>
      <w:r>
        <w:rPr>
          <w:rFonts w:hint="eastAsia"/>
          <w:color w:val="auto"/>
          <w:szCs w:val="21"/>
          <w:highlight w:val="none"/>
        </w:rPr>
        <w:t>）在企业的经营活动中存在重大违法行为、被依法列为失信被执行人、违反比选人公司规定纳入特殊供应商（</w:t>
      </w:r>
      <w:r>
        <w:rPr>
          <w:color w:val="auto"/>
          <w:szCs w:val="21"/>
          <w:highlight w:val="none"/>
        </w:rPr>
        <w:t>D</w:t>
      </w:r>
      <w:r>
        <w:rPr>
          <w:rFonts w:hint="eastAsia"/>
          <w:color w:val="auto"/>
          <w:szCs w:val="21"/>
          <w:highlight w:val="none"/>
        </w:rPr>
        <w:t>类）、与中国电信广东公司合作期间发生重大事件（严重违约、重大项目质量或安全问题等情形）的；</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12</w:t>
      </w:r>
      <w:r>
        <w:rPr>
          <w:rFonts w:hint="eastAsia"/>
          <w:color w:val="auto"/>
          <w:szCs w:val="21"/>
          <w:highlight w:val="none"/>
        </w:rPr>
        <w:t>）违反比选人公司规定纳入特殊供应商（</w:t>
      </w:r>
      <w:r>
        <w:rPr>
          <w:color w:val="auto"/>
          <w:szCs w:val="21"/>
          <w:highlight w:val="none"/>
        </w:rPr>
        <w:t>D</w:t>
      </w:r>
      <w:r>
        <w:rPr>
          <w:rFonts w:hint="eastAsia"/>
          <w:color w:val="auto"/>
          <w:szCs w:val="21"/>
          <w:highlight w:val="none"/>
        </w:rPr>
        <w:t>类）的公司与参选人存在控股关系（即上述公司或上述公司的控股股东</w:t>
      </w:r>
      <w:r>
        <w:rPr>
          <w:color w:val="auto"/>
          <w:szCs w:val="21"/>
          <w:highlight w:val="none"/>
        </w:rPr>
        <w:t>/</w:t>
      </w:r>
      <w:r>
        <w:rPr>
          <w:rFonts w:hint="eastAsia"/>
          <w:color w:val="auto"/>
          <w:szCs w:val="21"/>
          <w:highlight w:val="none"/>
        </w:rPr>
        <w:t>投资人在参选人的持股比例达到</w:t>
      </w:r>
      <w:r>
        <w:rPr>
          <w:color w:val="auto"/>
          <w:szCs w:val="21"/>
          <w:highlight w:val="none"/>
        </w:rPr>
        <w:t>50%</w:t>
      </w:r>
      <w:r>
        <w:rPr>
          <w:rFonts w:hint="eastAsia"/>
          <w:color w:val="auto"/>
          <w:szCs w:val="21"/>
          <w:highlight w:val="none"/>
        </w:rPr>
        <w:t>及以上）。</w:t>
      </w:r>
    </w:p>
    <w:p>
      <w:pPr>
        <w:spacing w:line="400" w:lineRule="exact"/>
        <w:ind w:firstLine="424" w:firstLineChars="202"/>
        <w:rPr>
          <w:rFonts w:hint="eastAsia" w:eastAsia="宋体"/>
          <w:color w:val="auto"/>
          <w:szCs w:val="21"/>
          <w:highlight w:val="none"/>
          <w:lang w:eastAsia="zh-CN"/>
        </w:rPr>
      </w:pPr>
      <w:r>
        <w:rPr>
          <w:rFonts w:hint="eastAsia"/>
          <w:color w:val="auto"/>
          <w:szCs w:val="21"/>
          <w:highlight w:val="none"/>
        </w:rPr>
        <w:t>（</w:t>
      </w:r>
      <w:r>
        <w:rPr>
          <w:color w:val="auto"/>
          <w:szCs w:val="21"/>
          <w:highlight w:val="none"/>
        </w:rPr>
        <w:t>13</w:t>
      </w:r>
      <w:r>
        <w:rPr>
          <w:rFonts w:hint="eastAsia"/>
          <w:color w:val="auto"/>
          <w:szCs w:val="21"/>
          <w:highlight w:val="none"/>
        </w:rPr>
        <w:t>）</w:t>
      </w:r>
      <w:r>
        <w:rPr>
          <w:rFonts w:hint="eastAsia" w:ascii="宋体" w:hAnsi="宋体"/>
          <w:color w:val="auto"/>
          <w:szCs w:val="21"/>
          <w:highlight w:val="none"/>
        </w:rPr>
        <w:t>其他按照《中国电信供应商不良行为管理规则》及处理结果，应对参选人及其参选产品品类在本项目中执行禁止采购处理措施的。同一标包或未划分标包的同一比选项目涉及多个产品评估品类的，参选人及其任一参选产品品类涉及相关禁止采购处理结果的，该标包或比选项目应适用相关的禁止采购处理措施。</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14</w:t>
      </w:r>
      <w:r>
        <w:rPr>
          <w:rFonts w:hint="eastAsia"/>
          <w:color w:val="auto"/>
          <w:szCs w:val="21"/>
          <w:highlight w:val="none"/>
        </w:rPr>
        <w:t>）法律法规或参选人须知前附表规定的其他情形。</w:t>
      </w:r>
    </w:p>
    <w:p>
      <w:pPr>
        <w:numPr>
          <w:ilvl w:val="1"/>
          <w:numId w:val="3"/>
        </w:numPr>
        <w:spacing w:line="400" w:lineRule="exact"/>
        <w:ind w:left="0" w:firstLine="425"/>
        <w:rPr>
          <w:rFonts w:ascii="宋体" w:hAnsi="宋体"/>
          <w:color w:val="auto"/>
          <w:szCs w:val="21"/>
          <w:highlight w:val="none"/>
        </w:rPr>
      </w:pPr>
      <w:r>
        <w:rPr>
          <w:rFonts w:hint="eastAsia" w:ascii="宋体" w:hAnsi="宋体"/>
          <w:color w:val="auto"/>
          <w:highlight w:val="none"/>
        </w:rPr>
        <w:t>其他要求：单位负责人为同一人、控股股东为同一自然人或者存在控股、管理关系的不同单位，不得同时参加本项目中同一标段比选或者未划分标段的同一项目比选；参选人提交参选文件时必须提供《参选人控股及管理关系情况申报表》，没有提供该表的，其参选文件一律无效。</w:t>
      </w:r>
    </w:p>
    <w:p>
      <w:pPr>
        <w:numPr>
          <w:ilvl w:val="1"/>
          <w:numId w:val="3"/>
        </w:numPr>
        <w:spacing w:line="400" w:lineRule="exact"/>
        <w:ind w:left="0" w:firstLine="426"/>
        <w:rPr>
          <w:rFonts w:ascii="宋体" w:hAnsi="宋体"/>
          <w:color w:val="auto"/>
          <w:szCs w:val="21"/>
          <w:highlight w:val="none"/>
        </w:rPr>
      </w:pPr>
      <w:r>
        <w:rPr>
          <w:rFonts w:hint="eastAsia" w:ascii="宋体" w:hAnsi="宋体"/>
          <w:color w:val="auto"/>
          <w:szCs w:val="21"/>
          <w:highlight w:val="none"/>
        </w:rPr>
        <w:t>本项目</w:t>
      </w:r>
      <w:r>
        <w:rPr>
          <w:rFonts w:hint="eastAsia" w:ascii="宋体" w:hAnsi="宋体"/>
          <w:color w:val="auto"/>
          <w:szCs w:val="21"/>
          <w:highlight w:val="none"/>
          <w:u w:val="single"/>
        </w:rPr>
        <w:t>不接受</w:t>
      </w:r>
      <w:r>
        <w:rPr>
          <w:rFonts w:hint="eastAsia" w:ascii="宋体" w:hAnsi="宋体"/>
          <w:color w:val="auto"/>
          <w:szCs w:val="21"/>
          <w:highlight w:val="none"/>
        </w:rPr>
        <w:t>联合体参选。</w:t>
      </w:r>
    </w:p>
    <w:p>
      <w:pPr>
        <w:pStyle w:val="45"/>
        <w:numPr>
          <w:ilvl w:val="0"/>
          <w:numId w:val="3"/>
        </w:numPr>
        <w:adjustRightInd w:val="0"/>
        <w:snapToGrid w:val="0"/>
        <w:spacing w:line="440" w:lineRule="exact"/>
        <w:ind w:firstLineChars="0"/>
        <w:outlineLvl w:val="1"/>
        <w:rPr>
          <w:rFonts w:ascii="宋体" w:hAnsi="宋体"/>
          <w:b/>
          <w:color w:val="auto"/>
          <w:szCs w:val="21"/>
          <w:highlight w:val="none"/>
        </w:rPr>
      </w:pPr>
      <w:r>
        <w:rPr>
          <w:rFonts w:hint="eastAsia"/>
          <w:b/>
          <w:color w:val="auto"/>
          <w:szCs w:val="21"/>
          <w:highlight w:val="none"/>
        </w:rPr>
        <w:t>※</w:t>
      </w:r>
      <w:r>
        <w:rPr>
          <w:rFonts w:hint="eastAsia" w:ascii="宋体" w:hAnsi="宋体"/>
          <w:b/>
          <w:color w:val="auto"/>
          <w:szCs w:val="21"/>
          <w:highlight w:val="none"/>
        </w:rPr>
        <w:t xml:space="preserve">参选人资格要求 </w:t>
      </w:r>
      <w:r>
        <w:rPr>
          <w:rFonts w:hint="eastAsia" w:ascii="宋体" w:hAnsi="宋体"/>
          <w:b/>
          <w:szCs w:val="21"/>
          <w:highlight w:val="none"/>
          <w:lang w:eastAsia="zh-CN"/>
        </w:rPr>
        <w:t>（</w:t>
      </w:r>
      <w:r>
        <w:rPr>
          <w:rFonts w:hint="eastAsia" w:ascii="宋体" w:hAnsi="宋体"/>
          <w:b/>
          <w:szCs w:val="21"/>
          <w:highlight w:val="none"/>
          <w:lang w:val="en-US" w:eastAsia="zh-CN"/>
        </w:rPr>
        <w:t>标段二</w:t>
      </w:r>
      <w:r>
        <w:rPr>
          <w:rFonts w:hint="eastAsia" w:ascii="宋体" w:hAnsi="宋体"/>
          <w:b/>
          <w:szCs w:val="21"/>
          <w:highlight w:val="none"/>
          <w:lang w:eastAsia="zh-CN"/>
        </w:rPr>
        <w:t>）</w:t>
      </w:r>
      <w:r>
        <w:rPr>
          <w:rFonts w:hint="eastAsia" w:ascii="宋体" w:hAnsi="宋体"/>
          <w:b/>
          <w:szCs w:val="21"/>
          <w:highlight w:val="none"/>
        </w:rPr>
        <w:t xml:space="preserve"> </w:t>
      </w:r>
    </w:p>
    <w:p>
      <w:pPr>
        <w:numPr>
          <w:ilvl w:val="1"/>
          <w:numId w:val="3"/>
        </w:numPr>
        <w:spacing w:line="400" w:lineRule="exact"/>
        <w:ind w:left="0" w:firstLine="426"/>
        <w:rPr>
          <w:rFonts w:ascii="宋体" w:hAnsi="宋体"/>
          <w:color w:val="auto"/>
          <w:szCs w:val="21"/>
          <w:highlight w:val="none"/>
        </w:rPr>
      </w:pPr>
      <w:r>
        <w:rPr>
          <w:rFonts w:hint="eastAsia" w:ascii="宋体" w:hAnsi="宋体"/>
          <w:color w:val="auto"/>
          <w:szCs w:val="21"/>
          <w:highlight w:val="none"/>
        </w:rPr>
        <w:t>参选人基本资格要求：</w:t>
      </w:r>
    </w:p>
    <w:p>
      <w:pPr>
        <w:spacing w:line="400" w:lineRule="exact"/>
        <w:ind w:firstLine="424" w:firstLineChars="202"/>
        <w:rPr>
          <w:rFonts w:hAnsi="宋体"/>
          <w:color w:val="auto"/>
          <w:szCs w:val="21"/>
          <w:highlight w:val="none"/>
        </w:rPr>
      </w:pPr>
      <w:r>
        <w:rPr>
          <w:rFonts w:hint="eastAsia" w:hAnsi="宋体"/>
          <w:color w:val="auto"/>
          <w:szCs w:val="21"/>
          <w:highlight w:val="none"/>
        </w:rPr>
        <w:t>（1）参选人须为独立法人或其他组织。</w:t>
      </w:r>
      <w:r>
        <w:rPr>
          <w:rFonts w:hint="eastAsia"/>
          <w:color w:val="auto"/>
          <w:szCs w:val="21"/>
          <w:highlight w:val="none"/>
        </w:rPr>
        <w:t>法人下属不具备法人资格的分支机构参选的，应具备法人针对本项目或覆盖本项目的经营事项的有效授权。同一法人授权多个不具备法人资格的分支机构同时参加本项目，或该法人与其下属不具备法人资格的分支机构同时参加本项目，均视为同一参选人参选，在同一标段参选或者未划分标段的同一比选项目参选的，除比选文件允许递交备选参选方案且参选文件有明确区分所有备选参选方案的外，否则按否决参选处理。</w:t>
      </w:r>
    </w:p>
    <w:p>
      <w:pPr>
        <w:pStyle w:val="16"/>
        <w:tabs>
          <w:tab w:val="left" w:pos="0"/>
        </w:tabs>
        <w:topLinePunct/>
        <w:spacing w:after="0" w:line="400" w:lineRule="exact"/>
        <w:ind w:firstLine="424" w:firstLineChars="202"/>
        <w:rPr>
          <w:color w:val="auto"/>
          <w:sz w:val="21"/>
          <w:szCs w:val="21"/>
          <w:highlight w:val="none"/>
        </w:rPr>
      </w:pPr>
      <w:r>
        <w:rPr>
          <w:rFonts w:hint="eastAsia"/>
          <w:color w:val="auto"/>
          <w:sz w:val="21"/>
          <w:szCs w:val="21"/>
          <w:highlight w:val="none"/>
        </w:rPr>
        <w:t>1）如参选人为企业的，提供营业执照同时应提供</w:t>
      </w:r>
      <w:r>
        <w:rPr>
          <w:color w:val="auto"/>
          <w:sz w:val="21"/>
          <w:szCs w:val="21"/>
          <w:highlight w:val="none"/>
        </w:rPr>
        <w:t xml:space="preserve">“全国企业信用信息公示系统（http://www.gsxt.gov.cn）” </w:t>
      </w:r>
      <w:r>
        <w:rPr>
          <w:rFonts w:hint="eastAsia"/>
          <w:color w:val="auto"/>
          <w:sz w:val="21"/>
          <w:szCs w:val="21"/>
          <w:highlight w:val="none"/>
        </w:rPr>
        <w:t>查询结果（显示注册资本等信息）的截屏打印件；</w:t>
      </w:r>
    </w:p>
    <w:p>
      <w:pPr>
        <w:pStyle w:val="16"/>
        <w:tabs>
          <w:tab w:val="left" w:pos="0"/>
        </w:tabs>
        <w:topLinePunct/>
        <w:spacing w:after="0" w:line="400" w:lineRule="exact"/>
        <w:ind w:firstLine="424" w:firstLineChars="202"/>
        <w:rPr>
          <w:color w:val="auto"/>
          <w:sz w:val="21"/>
          <w:szCs w:val="21"/>
          <w:highlight w:val="none"/>
        </w:rPr>
      </w:pPr>
      <w:r>
        <w:rPr>
          <w:rFonts w:hint="eastAsia"/>
          <w:color w:val="auto"/>
          <w:sz w:val="21"/>
          <w:szCs w:val="21"/>
          <w:highlight w:val="none"/>
        </w:rPr>
        <w:t>2）如参选人为事业单位的，提供事业单位法人证书同时应提供“事业单位在线（</w:t>
      </w:r>
      <w:r>
        <w:rPr>
          <w:color w:val="auto"/>
          <w:sz w:val="21"/>
          <w:szCs w:val="21"/>
          <w:highlight w:val="none"/>
        </w:rPr>
        <w:t>http://www.gjsy.gov.cn/）”查询结果（显示开办资金、证书有效日期等信息）的截屏打印件</w:t>
      </w:r>
      <w:r>
        <w:rPr>
          <w:rFonts w:hint="eastAsia"/>
          <w:color w:val="auto"/>
          <w:sz w:val="21"/>
          <w:szCs w:val="21"/>
          <w:highlight w:val="none"/>
        </w:rPr>
        <w:t>。</w:t>
      </w:r>
    </w:p>
    <w:p>
      <w:pPr>
        <w:numPr>
          <w:ilvl w:val="1"/>
          <w:numId w:val="3"/>
        </w:numPr>
        <w:spacing w:line="400" w:lineRule="exact"/>
        <w:ind w:left="0" w:firstLine="426"/>
        <w:rPr>
          <w:highlight w:val="none"/>
        </w:rPr>
      </w:pPr>
      <w:r>
        <w:rPr>
          <w:rFonts w:hint="eastAsia" w:ascii="宋体" w:hAnsi="宋体"/>
          <w:color w:val="auto"/>
          <w:szCs w:val="21"/>
          <w:highlight w:val="none"/>
        </w:rPr>
        <w:t>团队要求：</w:t>
      </w:r>
      <w:r>
        <w:rPr>
          <w:rFonts w:hint="eastAsia"/>
          <w:color w:val="auto"/>
          <w:szCs w:val="21"/>
          <w:highlight w:val="none"/>
        </w:rPr>
        <w:t>参选人拟派项目负责人</w:t>
      </w:r>
      <w:r>
        <w:rPr>
          <w:rFonts w:hint="eastAsia"/>
          <w:color w:val="auto"/>
          <w:szCs w:val="21"/>
          <w:highlight w:val="none"/>
          <w:lang w:val="en-US" w:eastAsia="zh-CN"/>
        </w:rPr>
        <w:t>1人</w:t>
      </w:r>
      <w:r>
        <w:rPr>
          <w:rFonts w:hint="eastAsia"/>
          <w:color w:val="auto"/>
          <w:szCs w:val="21"/>
          <w:highlight w:val="none"/>
        </w:rPr>
        <w:t>。参选人拟派专职项目团队成员要求【3】人或以上，项目负责人和专职项目团队成员均需提供人员名单、二代身份证。</w:t>
      </w:r>
    </w:p>
    <w:p>
      <w:pPr>
        <w:numPr>
          <w:ilvl w:val="1"/>
          <w:numId w:val="3"/>
        </w:numPr>
        <w:spacing w:line="400" w:lineRule="exact"/>
        <w:ind w:left="0" w:firstLine="425"/>
        <w:rPr>
          <w:rFonts w:ascii="宋体" w:hAnsi="宋体"/>
          <w:color w:val="auto"/>
          <w:szCs w:val="21"/>
          <w:highlight w:val="none"/>
        </w:rPr>
      </w:pPr>
      <w:r>
        <w:rPr>
          <w:rFonts w:hint="eastAsia" w:ascii="宋体" w:hAnsi="宋体"/>
          <w:color w:val="auto"/>
          <w:szCs w:val="21"/>
          <w:highlight w:val="none"/>
        </w:rPr>
        <w:t>信誉要求：具有良好的信誉，参选人不得存在比选文件规定的“参选人不得存在的情形”，须提供《参选信誉承诺函》。</w:t>
      </w:r>
    </w:p>
    <w:p>
      <w:pPr>
        <w:numPr>
          <w:ilvl w:val="1"/>
          <w:numId w:val="3"/>
        </w:numPr>
        <w:spacing w:line="400" w:lineRule="exact"/>
        <w:ind w:left="0" w:firstLine="425"/>
        <w:rPr>
          <w:rFonts w:ascii="宋体" w:hAnsi="宋体"/>
          <w:color w:val="auto"/>
          <w:szCs w:val="21"/>
          <w:highlight w:val="none"/>
        </w:rPr>
      </w:pPr>
      <w:r>
        <w:rPr>
          <w:rFonts w:hint="eastAsia" w:ascii="宋体" w:hAnsi="宋体" w:cs="宋体"/>
          <w:color w:val="auto"/>
          <w:szCs w:val="21"/>
          <w:highlight w:val="none"/>
        </w:rPr>
        <w:t>参选人不得存在下列情形之一：</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）为比选人不具有独立法人资格的附属机构（单位）；</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）被依法暂停或取消投标</w:t>
      </w:r>
      <w:r>
        <w:rPr>
          <w:color w:val="auto"/>
          <w:szCs w:val="21"/>
          <w:highlight w:val="none"/>
        </w:rPr>
        <w:t>/</w:t>
      </w:r>
      <w:r>
        <w:rPr>
          <w:rFonts w:hint="eastAsia"/>
          <w:color w:val="auto"/>
          <w:szCs w:val="21"/>
          <w:highlight w:val="none"/>
        </w:rPr>
        <w:t>参选资格的；</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3</w:t>
      </w:r>
      <w:r>
        <w:rPr>
          <w:rFonts w:hint="eastAsia"/>
          <w:color w:val="auto"/>
          <w:szCs w:val="21"/>
          <w:highlight w:val="none"/>
        </w:rPr>
        <w:t>）被责令停产停业、暂扣或者吊销许可证、暂扣或者吊销执照；</w:t>
      </w:r>
      <w:r>
        <w:rPr>
          <w:color w:val="auto"/>
          <w:szCs w:val="21"/>
          <w:highlight w:val="none"/>
        </w:rPr>
        <w:t xml:space="preserve"> </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4</w:t>
      </w:r>
      <w:r>
        <w:rPr>
          <w:rFonts w:hint="eastAsia"/>
          <w:color w:val="auto"/>
          <w:szCs w:val="21"/>
          <w:highlight w:val="none"/>
        </w:rPr>
        <w:t>）进入清算程序，或被宣告破产，或其他丧失履约能力的情形；</w:t>
      </w:r>
      <w:r>
        <w:rPr>
          <w:color w:val="auto"/>
          <w:szCs w:val="21"/>
          <w:highlight w:val="none"/>
        </w:rPr>
        <w:t xml:space="preserve"> </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5</w:t>
      </w:r>
      <w:r>
        <w:rPr>
          <w:rFonts w:hint="eastAsia"/>
          <w:color w:val="auto"/>
          <w:szCs w:val="21"/>
          <w:highlight w:val="none"/>
        </w:rPr>
        <w:t>）</w:t>
      </w:r>
      <w:r>
        <w:rPr>
          <w:rFonts w:hint="eastAsia" w:asciiTheme="minorEastAsia" w:hAnsiTheme="minorEastAsia"/>
          <w:color w:val="auto"/>
          <w:szCs w:val="21"/>
          <w:highlight w:val="none"/>
        </w:rPr>
        <w:t>在最近三年内</w:t>
      </w:r>
      <w:r>
        <w:rPr>
          <w:rFonts w:hint="eastAsia"/>
          <w:color w:val="auto"/>
          <w:szCs w:val="21"/>
          <w:highlight w:val="none"/>
        </w:rPr>
        <w:t>（</w:t>
      </w:r>
      <w:r>
        <w:rPr>
          <w:rFonts w:hint="eastAsia"/>
          <w:color w:val="auto"/>
          <w:szCs w:val="21"/>
          <w:highlight w:val="none"/>
          <w:u w:val="single"/>
          <w:lang w:eastAsia="zh-CN"/>
        </w:rPr>
        <w:t>2019年1月1日</w:t>
      </w:r>
      <w:r>
        <w:rPr>
          <w:rFonts w:hint="eastAsia"/>
          <w:color w:val="auto"/>
          <w:szCs w:val="21"/>
          <w:highlight w:val="none"/>
        </w:rPr>
        <w:t>起至参选截止时间）</w:t>
      </w:r>
      <w:r>
        <w:rPr>
          <w:rFonts w:hint="eastAsia" w:asciiTheme="minorEastAsia" w:hAnsiTheme="minorEastAsia"/>
          <w:color w:val="auto"/>
          <w:szCs w:val="21"/>
          <w:highlight w:val="none"/>
        </w:rPr>
        <w:t>有骗取中标/中选、严重违约、重大工程质量或者安全问题的</w:t>
      </w:r>
      <w:r>
        <w:rPr>
          <w:rFonts w:hint="eastAsia"/>
          <w:color w:val="auto"/>
          <w:szCs w:val="21"/>
          <w:highlight w:val="none"/>
        </w:rPr>
        <w:t>；</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6</w:t>
      </w:r>
      <w:r>
        <w:rPr>
          <w:rFonts w:hint="eastAsia"/>
          <w:color w:val="auto"/>
          <w:szCs w:val="21"/>
          <w:highlight w:val="none"/>
        </w:rPr>
        <w:t>）</w:t>
      </w:r>
      <w:r>
        <w:rPr>
          <w:rFonts w:hint="eastAsia" w:asciiTheme="minorEastAsia" w:hAnsiTheme="minorEastAsia"/>
          <w:color w:val="auto"/>
          <w:szCs w:val="21"/>
          <w:highlight w:val="none"/>
        </w:rPr>
        <w:t>在最近五年内</w:t>
      </w:r>
      <w:r>
        <w:rPr>
          <w:rFonts w:hint="eastAsia"/>
          <w:color w:val="auto"/>
          <w:szCs w:val="21"/>
          <w:highlight w:val="none"/>
        </w:rPr>
        <w:t>（</w:t>
      </w:r>
      <w:r>
        <w:rPr>
          <w:rFonts w:hint="eastAsia"/>
          <w:color w:val="auto"/>
          <w:szCs w:val="21"/>
          <w:highlight w:val="none"/>
          <w:u w:val="single"/>
          <w:lang w:eastAsia="zh-CN"/>
        </w:rPr>
        <w:t>2017年1月1日</w:t>
      </w:r>
      <w:r>
        <w:rPr>
          <w:rFonts w:hint="eastAsia"/>
          <w:color w:val="auto"/>
          <w:szCs w:val="21"/>
          <w:highlight w:val="none"/>
        </w:rPr>
        <w:t>起至参选截止时间）</w:t>
      </w:r>
      <w:r>
        <w:rPr>
          <w:rFonts w:hint="eastAsia" w:asciiTheme="minorEastAsia" w:hAnsiTheme="minorEastAsia"/>
          <w:color w:val="auto"/>
          <w:szCs w:val="21"/>
          <w:highlight w:val="none"/>
        </w:rPr>
        <w:t>被判处单位行贿罪，且行贿行为与采购活动相关的（以“中国裁判文书网”的生效判决为准）</w:t>
      </w:r>
      <w:r>
        <w:rPr>
          <w:rFonts w:hint="eastAsia"/>
          <w:color w:val="auto"/>
          <w:szCs w:val="21"/>
          <w:highlight w:val="none"/>
        </w:rPr>
        <w:t>；</w:t>
      </w:r>
      <w:r>
        <w:rPr>
          <w:color w:val="auto"/>
          <w:szCs w:val="21"/>
          <w:highlight w:val="none"/>
        </w:rPr>
        <w:t xml:space="preserve"> </w:t>
      </w:r>
    </w:p>
    <w:p>
      <w:pPr>
        <w:spacing w:line="400" w:lineRule="exact"/>
        <w:ind w:firstLine="424" w:firstLineChars="202"/>
        <w:rPr>
          <w:rFonts w:asciiTheme="minorEastAsia" w:hAnsiTheme="minorEastAsia"/>
          <w:color w:val="auto"/>
          <w:szCs w:val="21"/>
          <w:highlight w:val="none"/>
        </w:rPr>
      </w:pPr>
      <w:r>
        <w:rPr>
          <w:rFonts w:hint="eastAsia"/>
          <w:color w:val="auto"/>
          <w:szCs w:val="21"/>
          <w:highlight w:val="none"/>
        </w:rPr>
        <w:t>（</w:t>
      </w:r>
      <w:r>
        <w:rPr>
          <w:color w:val="auto"/>
          <w:szCs w:val="21"/>
          <w:highlight w:val="none"/>
        </w:rPr>
        <w:t>7</w:t>
      </w:r>
      <w:r>
        <w:rPr>
          <w:rFonts w:hint="eastAsia"/>
          <w:color w:val="auto"/>
          <w:szCs w:val="21"/>
          <w:highlight w:val="none"/>
        </w:rPr>
        <w:t>）</w:t>
      </w:r>
      <w:r>
        <w:rPr>
          <w:rFonts w:hint="eastAsia" w:asciiTheme="minorEastAsia" w:hAnsiTheme="minorEastAsia"/>
          <w:color w:val="auto"/>
          <w:szCs w:val="21"/>
          <w:highlight w:val="none"/>
        </w:rPr>
        <w:t>在最近五年内</w:t>
      </w:r>
      <w:r>
        <w:rPr>
          <w:rFonts w:hint="eastAsia"/>
          <w:color w:val="auto"/>
          <w:szCs w:val="21"/>
          <w:highlight w:val="none"/>
        </w:rPr>
        <w:t>（</w:t>
      </w:r>
      <w:r>
        <w:rPr>
          <w:rFonts w:hint="eastAsia"/>
          <w:color w:val="auto"/>
          <w:szCs w:val="21"/>
          <w:highlight w:val="none"/>
          <w:u w:val="single"/>
          <w:lang w:eastAsia="zh-CN"/>
        </w:rPr>
        <w:t>2017年1月1日</w:t>
      </w:r>
      <w:r>
        <w:rPr>
          <w:rFonts w:hint="eastAsia"/>
          <w:color w:val="auto"/>
          <w:szCs w:val="21"/>
          <w:highlight w:val="none"/>
        </w:rPr>
        <w:t>起至参选截止时间）</w:t>
      </w:r>
      <w:r>
        <w:rPr>
          <w:rFonts w:hint="eastAsia" w:asciiTheme="minorEastAsia" w:hAnsiTheme="minorEastAsia"/>
          <w:color w:val="auto"/>
          <w:szCs w:val="21"/>
          <w:highlight w:val="none"/>
        </w:rPr>
        <w:t>被判处合同诈骗罪的（以“中国裁判文书网”的生效判决为准）；</w:t>
      </w:r>
    </w:p>
    <w:p>
      <w:pPr>
        <w:spacing w:line="400" w:lineRule="exact"/>
        <w:ind w:firstLine="424" w:firstLineChars="202"/>
        <w:rPr>
          <w:color w:val="auto"/>
          <w:szCs w:val="21"/>
          <w:highlight w:val="none"/>
        </w:rPr>
      </w:pPr>
      <w:r>
        <w:rPr>
          <w:rFonts w:hint="eastAsia" w:asciiTheme="minorEastAsia" w:hAnsiTheme="minorEastAsia"/>
          <w:color w:val="auto"/>
          <w:szCs w:val="21"/>
          <w:highlight w:val="none"/>
        </w:rPr>
        <w:t xml:space="preserve">（8） </w:t>
      </w:r>
      <w:r>
        <w:rPr>
          <w:rFonts w:hint="eastAsia"/>
          <w:color w:val="auto"/>
          <w:szCs w:val="21"/>
          <w:highlight w:val="none"/>
        </w:rPr>
        <w:t>被工商行政管理机关在全国企业信用信息公示系统中列入严重违法失信企业名单；</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9</w:t>
      </w:r>
      <w:r>
        <w:rPr>
          <w:rFonts w:hint="eastAsia"/>
          <w:color w:val="auto"/>
          <w:szCs w:val="21"/>
          <w:highlight w:val="none"/>
        </w:rPr>
        <w:t>）被最高人民法院认定为失信被执行人的</w:t>
      </w:r>
      <w:r>
        <w:rPr>
          <w:color w:val="auto"/>
          <w:szCs w:val="21"/>
          <w:highlight w:val="none"/>
        </w:rPr>
        <w:t>(</w:t>
      </w:r>
      <w:r>
        <w:rPr>
          <w:rFonts w:hint="eastAsia"/>
          <w:color w:val="auto"/>
          <w:szCs w:val="21"/>
          <w:highlight w:val="none"/>
        </w:rPr>
        <w:t>以“信用中国”网站（</w:t>
      </w:r>
      <w:r>
        <w:rPr>
          <w:color w:val="auto"/>
          <w:szCs w:val="21"/>
          <w:highlight w:val="none"/>
        </w:rPr>
        <w:t>www.creditchina.gov.cn</w:t>
      </w:r>
      <w:r>
        <w:rPr>
          <w:rFonts w:hint="eastAsia"/>
          <w:color w:val="auto"/>
          <w:szCs w:val="21"/>
          <w:highlight w:val="none"/>
        </w:rPr>
        <w:t>）或各级信用信息共享平台公布的失信被执行人名单为准</w:t>
      </w:r>
      <w:r>
        <w:rPr>
          <w:color w:val="auto"/>
          <w:szCs w:val="21"/>
          <w:highlight w:val="none"/>
        </w:rPr>
        <w:t>)</w:t>
      </w:r>
      <w:r>
        <w:rPr>
          <w:rFonts w:hint="eastAsia"/>
          <w:color w:val="auto"/>
          <w:szCs w:val="21"/>
          <w:highlight w:val="none"/>
        </w:rPr>
        <w:t>；</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10</w:t>
      </w:r>
      <w:r>
        <w:rPr>
          <w:rFonts w:hint="eastAsia"/>
          <w:color w:val="auto"/>
          <w:szCs w:val="21"/>
          <w:highlight w:val="none"/>
        </w:rPr>
        <w:t>）参选人或其法定代表人、拟委任的项目负责人在最近五年内（</w:t>
      </w:r>
      <w:r>
        <w:rPr>
          <w:rFonts w:hint="eastAsia"/>
          <w:color w:val="auto"/>
          <w:szCs w:val="21"/>
          <w:highlight w:val="none"/>
          <w:u w:val="single"/>
          <w:lang w:eastAsia="zh-CN"/>
        </w:rPr>
        <w:t>2017年1月1日</w:t>
      </w:r>
      <w:r>
        <w:rPr>
          <w:rFonts w:hint="eastAsia"/>
          <w:color w:val="auto"/>
          <w:szCs w:val="21"/>
          <w:highlight w:val="none"/>
        </w:rPr>
        <w:t>起至参选截止时间）参与的采购活动中有行贿犯罪记录（以“中国裁判文书网”为准）；</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11</w:t>
      </w:r>
      <w:r>
        <w:rPr>
          <w:rFonts w:hint="eastAsia"/>
          <w:color w:val="auto"/>
          <w:szCs w:val="21"/>
          <w:highlight w:val="none"/>
        </w:rPr>
        <w:t>）在企业的经营活动中存在重大违法行为、被依法列为失信被执行人、违反比选人公司规定纳入特殊供应商（</w:t>
      </w:r>
      <w:r>
        <w:rPr>
          <w:color w:val="auto"/>
          <w:szCs w:val="21"/>
          <w:highlight w:val="none"/>
        </w:rPr>
        <w:t>D</w:t>
      </w:r>
      <w:r>
        <w:rPr>
          <w:rFonts w:hint="eastAsia"/>
          <w:color w:val="auto"/>
          <w:szCs w:val="21"/>
          <w:highlight w:val="none"/>
        </w:rPr>
        <w:t>类）、与中国电信广东公司合作期间发生重大事件（严重违约、重大项目质量或安全问题等情形）的；</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12</w:t>
      </w:r>
      <w:r>
        <w:rPr>
          <w:rFonts w:hint="eastAsia"/>
          <w:color w:val="auto"/>
          <w:szCs w:val="21"/>
          <w:highlight w:val="none"/>
        </w:rPr>
        <w:t>）违反比选人公司规定纳入特殊供应商（</w:t>
      </w:r>
      <w:r>
        <w:rPr>
          <w:color w:val="auto"/>
          <w:szCs w:val="21"/>
          <w:highlight w:val="none"/>
        </w:rPr>
        <w:t>D</w:t>
      </w:r>
      <w:r>
        <w:rPr>
          <w:rFonts w:hint="eastAsia"/>
          <w:color w:val="auto"/>
          <w:szCs w:val="21"/>
          <w:highlight w:val="none"/>
        </w:rPr>
        <w:t>类）的公司与参选人存在控股关系（即上述公司或上述公司的控股股东</w:t>
      </w:r>
      <w:r>
        <w:rPr>
          <w:color w:val="auto"/>
          <w:szCs w:val="21"/>
          <w:highlight w:val="none"/>
        </w:rPr>
        <w:t>/</w:t>
      </w:r>
      <w:r>
        <w:rPr>
          <w:rFonts w:hint="eastAsia"/>
          <w:color w:val="auto"/>
          <w:szCs w:val="21"/>
          <w:highlight w:val="none"/>
        </w:rPr>
        <w:t>投资人在参选人的持股比例达到</w:t>
      </w:r>
      <w:r>
        <w:rPr>
          <w:color w:val="auto"/>
          <w:szCs w:val="21"/>
          <w:highlight w:val="none"/>
        </w:rPr>
        <w:t>50%</w:t>
      </w:r>
      <w:r>
        <w:rPr>
          <w:rFonts w:hint="eastAsia"/>
          <w:color w:val="auto"/>
          <w:szCs w:val="21"/>
          <w:highlight w:val="none"/>
        </w:rPr>
        <w:t>及以上）。</w:t>
      </w:r>
    </w:p>
    <w:p>
      <w:pPr>
        <w:spacing w:line="400" w:lineRule="exact"/>
        <w:ind w:firstLine="424" w:firstLineChars="202"/>
        <w:rPr>
          <w:rFonts w:hint="eastAsia" w:eastAsia="宋体"/>
          <w:color w:val="auto"/>
          <w:szCs w:val="21"/>
          <w:highlight w:val="none"/>
          <w:lang w:eastAsia="zh-CN"/>
        </w:rPr>
      </w:pPr>
      <w:r>
        <w:rPr>
          <w:rFonts w:hint="eastAsia"/>
          <w:color w:val="auto"/>
          <w:szCs w:val="21"/>
          <w:highlight w:val="none"/>
        </w:rPr>
        <w:t>（</w:t>
      </w:r>
      <w:r>
        <w:rPr>
          <w:color w:val="auto"/>
          <w:szCs w:val="21"/>
          <w:highlight w:val="none"/>
        </w:rPr>
        <w:t>13</w:t>
      </w:r>
      <w:r>
        <w:rPr>
          <w:rFonts w:hint="eastAsia"/>
          <w:color w:val="auto"/>
          <w:szCs w:val="21"/>
          <w:highlight w:val="none"/>
        </w:rPr>
        <w:t>）</w:t>
      </w:r>
      <w:r>
        <w:rPr>
          <w:rFonts w:hint="eastAsia" w:ascii="宋体" w:hAnsi="宋体"/>
          <w:color w:val="auto"/>
          <w:szCs w:val="21"/>
          <w:highlight w:val="none"/>
        </w:rPr>
        <w:t>其他按照《中国电信供应商不良行为管理规则》及处理结果，应对参选人及其参选产品品类在本项目中执行禁止采购处理措施的。同一标包或未划分标包的同一比选项目涉及多个产品评估品类的，参选人及其任一参选产品品类涉及相关禁止采购处理结果的，该标包或比选项目应适用相关的禁止采购处理措施。</w:t>
      </w:r>
    </w:p>
    <w:p>
      <w:pPr>
        <w:spacing w:line="400" w:lineRule="exact"/>
        <w:ind w:firstLine="424" w:firstLineChars="202"/>
        <w:rPr>
          <w:color w:val="auto"/>
          <w:szCs w:val="21"/>
          <w:highlight w:val="none"/>
        </w:rPr>
      </w:pPr>
      <w:r>
        <w:rPr>
          <w:rFonts w:hint="eastAsia"/>
          <w:color w:val="auto"/>
          <w:szCs w:val="21"/>
          <w:highlight w:val="none"/>
        </w:rPr>
        <w:t>（</w:t>
      </w:r>
      <w:r>
        <w:rPr>
          <w:color w:val="auto"/>
          <w:szCs w:val="21"/>
          <w:highlight w:val="none"/>
        </w:rPr>
        <w:t>14</w:t>
      </w:r>
      <w:r>
        <w:rPr>
          <w:rFonts w:hint="eastAsia"/>
          <w:color w:val="auto"/>
          <w:szCs w:val="21"/>
          <w:highlight w:val="none"/>
        </w:rPr>
        <w:t>）法律法规或参选人须知前附表规定的其他情形。</w:t>
      </w:r>
    </w:p>
    <w:p>
      <w:pPr>
        <w:numPr>
          <w:ilvl w:val="1"/>
          <w:numId w:val="3"/>
        </w:numPr>
        <w:spacing w:line="400" w:lineRule="exact"/>
        <w:ind w:left="0" w:firstLine="425"/>
        <w:rPr>
          <w:rFonts w:ascii="宋体" w:hAnsi="宋体"/>
          <w:color w:val="auto"/>
          <w:szCs w:val="21"/>
          <w:highlight w:val="none"/>
        </w:rPr>
      </w:pPr>
      <w:r>
        <w:rPr>
          <w:rFonts w:hint="eastAsia" w:ascii="宋体" w:hAnsi="宋体"/>
          <w:color w:val="auto"/>
          <w:highlight w:val="none"/>
        </w:rPr>
        <w:t>其他要求：单位负责人为同一人、控股股东为同一自然人或者存在控股、管理关系的不同单位，不得同时参加本项目中同一标段比选或者未划分标段的同一项目比选；参选人提交参选文件时必须提供《参选人控股及管理关系情况申报表》，没有提供该表的，其参选文件一律无效。</w:t>
      </w:r>
    </w:p>
    <w:p>
      <w:pPr>
        <w:numPr>
          <w:ilvl w:val="1"/>
          <w:numId w:val="3"/>
        </w:numPr>
        <w:spacing w:line="400" w:lineRule="exact"/>
        <w:ind w:left="0" w:firstLine="426"/>
        <w:rPr>
          <w:highlight w:val="none"/>
        </w:rPr>
      </w:pPr>
      <w:r>
        <w:rPr>
          <w:rFonts w:hint="eastAsia" w:ascii="宋体" w:hAnsi="宋体"/>
          <w:color w:val="auto"/>
          <w:szCs w:val="21"/>
          <w:highlight w:val="none"/>
        </w:rPr>
        <w:t>本项目</w:t>
      </w:r>
      <w:r>
        <w:rPr>
          <w:rFonts w:hint="eastAsia" w:ascii="宋体" w:hAnsi="宋体"/>
          <w:color w:val="auto"/>
          <w:szCs w:val="21"/>
          <w:highlight w:val="none"/>
          <w:u w:val="single"/>
        </w:rPr>
        <w:t>不接受</w:t>
      </w:r>
      <w:r>
        <w:rPr>
          <w:rFonts w:hint="eastAsia" w:ascii="宋体" w:hAnsi="宋体"/>
          <w:color w:val="auto"/>
          <w:szCs w:val="21"/>
          <w:highlight w:val="none"/>
        </w:rPr>
        <w:t>联合体参选。</w:t>
      </w:r>
    </w:p>
    <w:p>
      <w:pPr>
        <w:pStyle w:val="45"/>
        <w:numPr>
          <w:ilvl w:val="0"/>
          <w:numId w:val="3"/>
        </w:numPr>
        <w:adjustRightInd w:val="0"/>
        <w:snapToGrid w:val="0"/>
        <w:spacing w:line="440" w:lineRule="exact"/>
        <w:ind w:firstLineChars="0"/>
        <w:outlineLvl w:val="1"/>
        <w:rPr>
          <w:rFonts w:ascii="宋体" w:hAnsi="宋体"/>
          <w:b/>
          <w:color w:val="auto"/>
          <w:szCs w:val="21"/>
          <w:highlight w:val="none"/>
        </w:rPr>
      </w:pPr>
      <w:r>
        <w:rPr>
          <w:rFonts w:hint="eastAsia" w:ascii="宋体" w:hAnsi="宋体"/>
          <w:b/>
          <w:color w:val="auto"/>
          <w:szCs w:val="21"/>
          <w:highlight w:val="none"/>
        </w:rPr>
        <w:t>资格审查方法</w:t>
      </w:r>
      <w:bookmarkEnd w:id="12"/>
      <w:bookmarkEnd w:id="13"/>
      <w:bookmarkEnd w:id="14"/>
    </w:p>
    <w:p>
      <w:pPr>
        <w:pStyle w:val="45"/>
        <w:adjustRightInd w:val="0"/>
        <w:snapToGrid w:val="0"/>
        <w:spacing w:line="400" w:lineRule="exact"/>
        <w:rPr>
          <w:rFonts w:ascii="宋体" w:hAnsi="宋体"/>
          <w:color w:val="auto"/>
          <w:szCs w:val="21"/>
          <w:highlight w:val="none"/>
        </w:rPr>
      </w:pPr>
      <w:r>
        <w:rPr>
          <w:rFonts w:hint="eastAsia" w:ascii="宋体" w:hAnsi="宋体"/>
          <w:color w:val="auto"/>
          <w:szCs w:val="21"/>
          <w:highlight w:val="none"/>
        </w:rPr>
        <w:t>本项目将进行资格后审，资格审查标准和内容见比选文件第三章“评选办法”，凡未通过资格后审的参选人，其参选将被否决。</w:t>
      </w:r>
    </w:p>
    <w:p>
      <w:pPr>
        <w:pStyle w:val="45"/>
        <w:numPr>
          <w:ilvl w:val="0"/>
          <w:numId w:val="3"/>
        </w:numPr>
        <w:adjustRightInd w:val="0"/>
        <w:snapToGrid w:val="0"/>
        <w:spacing w:line="440" w:lineRule="exact"/>
        <w:ind w:firstLineChars="0"/>
        <w:outlineLvl w:val="1"/>
        <w:rPr>
          <w:rFonts w:ascii="宋体" w:hAnsi="宋体"/>
          <w:b/>
          <w:color w:val="auto"/>
          <w:szCs w:val="21"/>
          <w:highlight w:val="none"/>
        </w:rPr>
      </w:pPr>
      <w:r>
        <w:rPr>
          <w:rFonts w:hint="eastAsia" w:ascii="宋体" w:hAnsi="宋体"/>
          <w:b/>
          <w:color w:val="auto"/>
          <w:szCs w:val="21"/>
          <w:highlight w:val="none"/>
        </w:rPr>
        <w:t>比选文件获取</w:t>
      </w:r>
    </w:p>
    <w:bookmarkEnd w:id="8"/>
    <w:p>
      <w:pPr>
        <w:spacing w:line="400" w:lineRule="exact"/>
        <w:ind w:firstLine="420" w:firstLineChars="199"/>
        <w:rPr>
          <w:rFonts w:ascii="宋体" w:hAnsi="宋体"/>
          <w:szCs w:val="21"/>
          <w:highlight w:val="none"/>
        </w:rPr>
      </w:pPr>
      <w:r>
        <w:rPr>
          <w:rFonts w:hint="eastAsia"/>
          <w:b/>
          <w:color w:val="3366FF"/>
          <w:highlight w:val="none"/>
        </w:rPr>
        <w:t>适用于电子比选</w:t>
      </w:r>
      <w:r>
        <w:rPr>
          <w:rFonts w:hint="eastAsia" w:ascii="宋体" w:hAnsi="宋体"/>
          <w:szCs w:val="21"/>
          <w:highlight w:val="none"/>
          <w:lang w:val="en-US" w:eastAsia="zh-CN"/>
        </w:rPr>
        <w:t>5</w:t>
      </w:r>
      <w:r>
        <w:rPr>
          <w:rFonts w:hint="eastAsia" w:ascii="宋体" w:hAnsi="宋体"/>
          <w:szCs w:val="21"/>
          <w:highlight w:val="none"/>
        </w:rPr>
        <w:t>.1</w:t>
      </w:r>
      <w:r>
        <w:rPr>
          <w:rFonts w:hint="eastAsia"/>
          <w:szCs w:val="21"/>
          <w:highlight w:val="none"/>
        </w:rPr>
        <w:t>（B）</w:t>
      </w:r>
      <w:r>
        <w:rPr>
          <w:rFonts w:hint="eastAsia" w:ascii="宋体" w:hAnsi="宋体"/>
          <w:szCs w:val="21"/>
          <w:highlight w:val="none"/>
        </w:rPr>
        <w:t>凡有意参加本项目参选者，请须在</w:t>
      </w:r>
      <w:r>
        <w:rPr>
          <w:rFonts w:hint="eastAsia" w:ascii="宋体" w:hAnsi="宋体"/>
          <w:szCs w:val="21"/>
          <w:highlight w:val="none"/>
          <w:u w:val="single"/>
          <w:lang w:val="en-US" w:eastAsia="zh-CN"/>
        </w:rPr>
        <w:t>2022</w:t>
      </w:r>
      <w:r>
        <w:rPr>
          <w:rFonts w:hint="eastAsia" w:ascii="宋体" w:hAnsi="宋体"/>
          <w:szCs w:val="21"/>
          <w:highlight w:val="none"/>
          <w:u w:val="single"/>
        </w:rPr>
        <w:t>年</w:t>
      </w:r>
      <w:r>
        <w:rPr>
          <w:rFonts w:hint="eastAsia" w:ascii="宋体" w:hAnsi="宋体"/>
          <w:szCs w:val="21"/>
          <w:highlight w:val="none"/>
          <w:u w:val="single"/>
          <w:lang w:val="en-US" w:eastAsia="zh-CN"/>
        </w:rPr>
        <w:t>10</w:t>
      </w:r>
      <w:r>
        <w:rPr>
          <w:rFonts w:hint="eastAsia" w:ascii="宋体" w:hAnsi="宋体"/>
          <w:szCs w:val="21"/>
          <w:highlight w:val="none"/>
          <w:u w:val="single"/>
        </w:rPr>
        <w:t>月</w:t>
      </w:r>
      <w:r>
        <w:rPr>
          <w:rFonts w:hint="eastAsia" w:ascii="宋体" w:hAnsi="宋体"/>
          <w:szCs w:val="21"/>
          <w:highlight w:val="none"/>
          <w:u w:val="single"/>
          <w:lang w:val="en-US" w:eastAsia="zh-CN"/>
        </w:rPr>
        <w:t>11</w:t>
      </w:r>
      <w:r>
        <w:rPr>
          <w:rFonts w:hint="eastAsia" w:ascii="宋体" w:hAnsi="宋体"/>
          <w:szCs w:val="21"/>
          <w:highlight w:val="none"/>
          <w:u w:val="single"/>
        </w:rPr>
        <w:t>日</w:t>
      </w:r>
      <w:r>
        <w:rPr>
          <w:rFonts w:hint="eastAsia" w:ascii="宋体" w:hAnsi="宋体"/>
          <w:szCs w:val="21"/>
          <w:highlight w:val="none"/>
          <w:u w:val="single"/>
          <w:lang w:val="en-US" w:eastAsia="zh-CN"/>
        </w:rPr>
        <w:t>08</w:t>
      </w:r>
      <w:r>
        <w:rPr>
          <w:rFonts w:hint="eastAsia" w:ascii="宋体" w:hAnsi="宋体"/>
          <w:szCs w:val="21"/>
          <w:highlight w:val="none"/>
          <w:u w:val="single"/>
        </w:rPr>
        <w:t>时</w:t>
      </w:r>
      <w:r>
        <w:rPr>
          <w:rFonts w:hint="eastAsia" w:ascii="宋体" w:hAnsi="宋体"/>
          <w:szCs w:val="21"/>
          <w:highlight w:val="none"/>
          <w:u w:val="single"/>
          <w:lang w:val="en-US" w:eastAsia="zh-CN"/>
        </w:rPr>
        <w:t>30</w:t>
      </w:r>
      <w:r>
        <w:rPr>
          <w:rFonts w:hint="eastAsia" w:ascii="宋体" w:hAnsi="宋体"/>
          <w:szCs w:val="21"/>
          <w:highlight w:val="none"/>
          <w:u w:val="single"/>
        </w:rPr>
        <w:t>分</w:t>
      </w:r>
      <w:r>
        <w:rPr>
          <w:rFonts w:hint="eastAsia" w:ascii="宋体" w:hAnsi="宋体"/>
          <w:szCs w:val="21"/>
          <w:highlight w:val="none"/>
        </w:rPr>
        <w:t>至</w:t>
      </w:r>
      <w:r>
        <w:rPr>
          <w:rFonts w:hint="eastAsia" w:ascii="宋体" w:hAnsi="宋体"/>
          <w:szCs w:val="21"/>
          <w:highlight w:val="none"/>
          <w:u w:val="single"/>
          <w:lang w:val="en-US" w:eastAsia="zh-CN"/>
        </w:rPr>
        <w:t>2022</w:t>
      </w:r>
      <w:r>
        <w:rPr>
          <w:rFonts w:hint="eastAsia" w:ascii="宋体" w:hAnsi="宋体"/>
          <w:szCs w:val="21"/>
          <w:highlight w:val="none"/>
          <w:u w:val="single"/>
        </w:rPr>
        <w:t>年</w:t>
      </w:r>
      <w:r>
        <w:rPr>
          <w:rFonts w:hint="eastAsia" w:ascii="宋体" w:hAnsi="宋体"/>
          <w:szCs w:val="21"/>
          <w:highlight w:val="none"/>
          <w:u w:val="single"/>
          <w:lang w:val="en-US" w:eastAsia="zh-CN"/>
        </w:rPr>
        <w:t>10</w:t>
      </w:r>
      <w:r>
        <w:rPr>
          <w:rFonts w:hint="eastAsia" w:ascii="宋体" w:hAnsi="宋体"/>
          <w:szCs w:val="21"/>
          <w:highlight w:val="none"/>
          <w:u w:val="single"/>
        </w:rPr>
        <w:t>月</w:t>
      </w:r>
      <w:r>
        <w:rPr>
          <w:rFonts w:hint="eastAsia" w:ascii="宋体" w:hAnsi="宋体"/>
          <w:szCs w:val="21"/>
          <w:highlight w:val="none"/>
          <w:u w:val="single"/>
          <w:lang w:val="en-US" w:eastAsia="zh-CN"/>
        </w:rPr>
        <w:t>12</w:t>
      </w:r>
      <w:r>
        <w:rPr>
          <w:rFonts w:hint="eastAsia" w:ascii="宋体" w:hAnsi="宋体"/>
          <w:szCs w:val="21"/>
          <w:highlight w:val="none"/>
          <w:u w:val="single"/>
        </w:rPr>
        <w:t>日</w:t>
      </w:r>
      <w:r>
        <w:rPr>
          <w:rFonts w:hint="eastAsia" w:ascii="宋体" w:hAnsi="宋体"/>
          <w:szCs w:val="21"/>
          <w:highlight w:val="none"/>
          <w:u w:val="single"/>
          <w:lang w:val="en-US" w:eastAsia="zh-CN"/>
        </w:rPr>
        <w:t>17</w:t>
      </w:r>
      <w:r>
        <w:rPr>
          <w:rFonts w:hint="eastAsia" w:ascii="宋体" w:hAnsi="宋体"/>
          <w:szCs w:val="21"/>
          <w:highlight w:val="none"/>
          <w:u w:val="single"/>
        </w:rPr>
        <w:t>时</w:t>
      </w:r>
      <w:r>
        <w:rPr>
          <w:rFonts w:hint="eastAsia" w:ascii="宋体" w:hAnsi="宋体"/>
          <w:szCs w:val="21"/>
          <w:highlight w:val="none"/>
          <w:u w:val="single"/>
          <w:lang w:val="en-US" w:eastAsia="zh-CN"/>
        </w:rPr>
        <w:t>30</w:t>
      </w:r>
      <w:r>
        <w:rPr>
          <w:rFonts w:hint="eastAsia" w:ascii="宋体" w:hAnsi="宋体"/>
          <w:szCs w:val="21"/>
          <w:highlight w:val="none"/>
          <w:u w:val="single"/>
        </w:rPr>
        <w:t>分</w:t>
      </w:r>
      <w:r>
        <w:rPr>
          <w:rFonts w:hint="eastAsia" w:ascii="宋体" w:hAnsi="宋体"/>
          <w:szCs w:val="21"/>
          <w:highlight w:val="none"/>
        </w:rPr>
        <w:t>（北京时间，下称“比选文件登记购买及申领期限”）内完成</w:t>
      </w:r>
      <w:r>
        <w:rPr>
          <w:rFonts w:hint="eastAsia" w:ascii="宋体" w:hAnsi="宋体"/>
          <w:szCs w:val="21"/>
          <w:highlight w:val="none"/>
          <w:lang w:val="en-US" w:eastAsia="zh-CN"/>
        </w:rPr>
        <w:t>5</w:t>
      </w:r>
      <w:r>
        <w:rPr>
          <w:rFonts w:hint="eastAsia" w:ascii="宋体" w:hAnsi="宋体"/>
          <w:szCs w:val="21"/>
          <w:highlight w:val="none"/>
        </w:rPr>
        <w:t>.1.1登记购买及</w:t>
      </w:r>
      <w:r>
        <w:rPr>
          <w:rFonts w:hint="eastAsia" w:ascii="宋体" w:hAnsi="宋体"/>
          <w:szCs w:val="21"/>
          <w:highlight w:val="none"/>
          <w:lang w:val="en-US" w:eastAsia="zh-CN"/>
        </w:rPr>
        <w:t>5</w:t>
      </w:r>
      <w:r>
        <w:rPr>
          <w:rFonts w:hint="eastAsia" w:ascii="宋体" w:hAnsi="宋体"/>
          <w:szCs w:val="21"/>
          <w:highlight w:val="none"/>
        </w:rPr>
        <w:t>.1.2登记申领工作，并按以下步骤顺序进行操作，获取比选文件：</w:t>
      </w:r>
    </w:p>
    <w:p>
      <w:pPr>
        <w:pStyle w:val="2"/>
        <w:tabs>
          <w:tab w:val="left" w:pos="0"/>
        </w:tabs>
        <w:spacing w:line="400" w:lineRule="exact"/>
        <w:ind w:firstLine="422" w:firstLineChars="200"/>
        <w:rPr>
          <w:rFonts w:ascii="宋体" w:hAnsi="宋体"/>
          <w:sz w:val="21"/>
          <w:szCs w:val="21"/>
          <w:highlight w:val="none"/>
        </w:rPr>
      </w:pPr>
      <w:r>
        <w:rPr>
          <w:rFonts w:hint="eastAsia" w:ascii="宋体" w:hAnsi="宋体"/>
          <w:b/>
          <w:sz w:val="21"/>
          <w:szCs w:val="21"/>
          <w:highlight w:val="none"/>
          <w:lang w:val="en-US" w:eastAsia="zh-CN"/>
        </w:rPr>
        <w:t>5</w:t>
      </w:r>
      <w:r>
        <w:rPr>
          <w:rFonts w:ascii="宋体" w:hAnsi="宋体"/>
          <w:b/>
          <w:sz w:val="21"/>
          <w:szCs w:val="21"/>
          <w:highlight w:val="none"/>
        </w:rPr>
        <w:t>.1.1</w:t>
      </w:r>
      <w:r>
        <w:rPr>
          <w:rFonts w:hint="eastAsia" w:ascii="宋体" w:hAnsi="宋体"/>
          <w:b/>
          <w:sz w:val="21"/>
          <w:szCs w:val="21"/>
          <w:highlight w:val="none"/>
        </w:rPr>
        <w:t>登记购买：</w:t>
      </w:r>
      <w:r>
        <w:rPr>
          <w:rFonts w:hint="eastAsia" w:ascii="宋体" w:hAnsi="宋体"/>
          <w:sz w:val="21"/>
          <w:szCs w:val="21"/>
          <w:highlight w:val="none"/>
        </w:rPr>
        <w:t>在比选文件登记购买及申领期限内，</w:t>
      </w:r>
      <w:r>
        <w:rPr>
          <w:rFonts w:ascii="宋体" w:hAnsi="宋体"/>
          <w:sz w:val="21"/>
          <w:szCs w:val="21"/>
          <w:highlight w:val="none"/>
        </w:rPr>
        <w:t>登录</w:t>
      </w:r>
      <w:r>
        <w:rPr>
          <w:rFonts w:hint="eastAsia" w:ascii="宋体" w:hAnsi="宋体"/>
          <w:b/>
          <w:bCs/>
          <w:sz w:val="21"/>
          <w:szCs w:val="21"/>
          <w:highlight w:val="none"/>
        </w:rPr>
        <w:t>中捷通信有限公司电子招标平台（https://zjzb.chinaccsscm.cn/）</w:t>
      </w:r>
      <w:r>
        <w:rPr>
          <w:rFonts w:ascii="宋体" w:hAnsi="宋体"/>
          <w:sz w:val="21"/>
          <w:szCs w:val="21"/>
          <w:highlight w:val="none"/>
        </w:rPr>
        <w:t>完成本项目的登记购买、</w:t>
      </w:r>
      <w:r>
        <w:rPr>
          <w:rFonts w:hint="eastAsia" w:ascii="宋体" w:hAnsi="宋体"/>
          <w:sz w:val="21"/>
          <w:szCs w:val="21"/>
          <w:highlight w:val="none"/>
        </w:rPr>
        <w:t>比选</w:t>
      </w:r>
      <w:r>
        <w:rPr>
          <w:rFonts w:ascii="宋体" w:hAnsi="宋体"/>
          <w:sz w:val="21"/>
          <w:szCs w:val="21"/>
          <w:highlight w:val="none"/>
        </w:rPr>
        <w:t>文件的费用支付。</w:t>
      </w:r>
    </w:p>
    <w:p>
      <w:pPr>
        <w:spacing w:line="400" w:lineRule="exact"/>
        <w:ind w:firstLine="422" w:firstLineChars="200"/>
        <w:rPr>
          <w:rFonts w:ascii="宋体" w:hAnsi="宋体"/>
          <w:szCs w:val="21"/>
          <w:highlight w:val="none"/>
        </w:rPr>
      </w:pPr>
      <w:r>
        <w:rPr>
          <w:rFonts w:hint="eastAsia" w:ascii="宋体" w:hAnsi="宋体"/>
          <w:b/>
          <w:szCs w:val="21"/>
          <w:highlight w:val="none"/>
          <w:lang w:val="en-US" w:eastAsia="zh-CN"/>
        </w:rPr>
        <w:t>5</w:t>
      </w:r>
      <w:r>
        <w:rPr>
          <w:rFonts w:ascii="宋体" w:hAnsi="宋体"/>
          <w:b/>
          <w:szCs w:val="21"/>
          <w:highlight w:val="none"/>
        </w:rPr>
        <w:t>.1.2</w:t>
      </w:r>
      <w:r>
        <w:rPr>
          <w:rFonts w:hint="eastAsia" w:ascii="宋体" w:hAnsi="宋体"/>
          <w:b/>
          <w:szCs w:val="21"/>
          <w:highlight w:val="none"/>
        </w:rPr>
        <w:t>登记申领：</w:t>
      </w:r>
      <w:r>
        <w:rPr>
          <w:rFonts w:hint="eastAsia" w:ascii="宋体" w:hAnsi="宋体"/>
          <w:kern w:val="0"/>
          <w:szCs w:val="21"/>
          <w:highlight w:val="none"/>
        </w:rPr>
        <w:t>在比选文件登记购买及申领期限内，登录</w:t>
      </w:r>
      <w:r>
        <w:rPr>
          <w:rFonts w:hint="eastAsia"/>
          <w:kern w:val="0"/>
          <w:highlight w:val="none"/>
        </w:rPr>
        <w:t>“中</w:t>
      </w:r>
      <w:r>
        <w:rPr>
          <w:kern w:val="0"/>
          <w:highlight w:val="none"/>
        </w:rPr>
        <w:fldChar w:fldCharType="begin"/>
      </w:r>
      <w:r>
        <w:rPr>
          <w:kern w:val="0"/>
          <w:highlight w:val="none"/>
        </w:rPr>
        <w:instrText xml:space="preserve"> HYPERLINK "" </w:instrText>
      </w:r>
      <w:r>
        <w:rPr>
          <w:kern w:val="0"/>
          <w:highlight w:val="none"/>
        </w:rPr>
        <w:fldChar w:fldCharType="separate"/>
      </w:r>
      <w:r>
        <w:rPr>
          <w:rFonts w:hint="eastAsia"/>
          <w:kern w:val="0"/>
          <w:highlight w:val="none"/>
        </w:rPr>
        <w:t>国电信供应链系统（</w:t>
      </w:r>
      <w:r>
        <w:rPr>
          <w:kern w:val="0"/>
          <w:highlight w:val="none"/>
        </w:rPr>
        <w:t>CTSC</w:t>
      </w:r>
      <w:r>
        <w:rPr>
          <w:rFonts w:hint="eastAsia"/>
          <w:kern w:val="0"/>
          <w:highlight w:val="none"/>
        </w:rPr>
        <w:t>）（</w:t>
      </w:r>
      <w:r>
        <w:rPr>
          <w:kern w:val="0"/>
          <w:highlight w:val="none"/>
        </w:rPr>
        <w:t>https://caigou.chinatelecom.com.cn/ctsc-portal/ctscPortal</w:t>
      </w:r>
      <w:r>
        <w:rPr>
          <w:rFonts w:hint="eastAsia"/>
          <w:kern w:val="0"/>
          <w:highlight w:val="none"/>
        </w:rPr>
        <w:t>）”</w:t>
      </w:r>
      <w:r>
        <w:rPr>
          <w:kern w:val="0"/>
          <w:highlight w:val="none"/>
        </w:rPr>
        <w:t xml:space="preserve"> </w:t>
      </w:r>
      <w:r>
        <w:rPr>
          <w:rFonts w:hint="eastAsia"/>
          <w:kern w:val="0"/>
          <w:highlight w:val="none"/>
        </w:rPr>
        <w:t>后在“工作台</w:t>
      </w:r>
      <w:r>
        <w:rPr>
          <w:kern w:val="0"/>
          <w:highlight w:val="none"/>
        </w:rPr>
        <w:t>-</w:t>
      </w:r>
      <w:r>
        <w:rPr>
          <w:rFonts w:hint="eastAsia"/>
          <w:kern w:val="0"/>
          <w:highlight w:val="none"/>
        </w:rPr>
        <w:t>在线投标”模块跳转至“中国电信电子采购系统”进行本项目比选文件的登记申领</w:t>
      </w:r>
      <w:r>
        <w:rPr>
          <w:rFonts w:hint="eastAsia"/>
          <w:b/>
          <w:bCs/>
          <w:kern w:val="0"/>
          <w:highlight w:val="none"/>
        </w:rPr>
        <w:t>。</w:t>
      </w:r>
      <w:r>
        <w:rPr>
          <w:kern w:val="0"/>
          <w:highlight w:val="none"/>
        </w:rPr>
        <w:fldChar w:fldCharType="end"/>
      </w:r>
      <w:r>
        <w:rPr>
          <w:rFonts w:hint="eastAsia" w:ascii="宋体" w:hAnsi="宋体"/>
          <w:szCs w:val="21"/>
          <w:highlight w:val="none"/>
        </w:rPr>
        <w:t>如有登记申领多标段的，请务必按标段分别申领，否则后续将无法继续参与未申领标段的参选。</w:t>
      </w:r>
    </w:p>
    <w:p>
      <w:pPr>
        <w:spacing w:line="400" w:lineRule="exact"/>
        <w:ind w:firstLine="420" w:firstLineChars="200"/>
        <w:rPr>
          <w:rFonts w:ascii="宋体" w:hAnsi="宋体"/>
          <w:szCs w:val="21"/>
          <w:highlight w:val="none"/>
        </w:rPr>
      </w:pPr>
      <w:r>
        <w:rPr>
          <w:rFonts w:ascii="宋体" w:hAnsi="宋体"/>
          <w:szCs w:val="21"/>
          <w:highlight w:val="none"/>
        </w:rPr>
        <w:t>未在</w:t>
      </w:r>
      <w:r>
        <w:rPr>
          <w:rFonts w:hint="eastAsia" w:ascii="宋体" w:hAnsi="宋体"/>
          <w:szCs w:val="21"/>
          <w:highlight w:val="none"/>
        </w:rPr>
        <w:t>电子采购系统</w:t>
      </w:r>
      <w:r>
        <w:rPr>
          <w:rFonts w:ascii="宋体" w:hAnsi="宋体"/>
          <w:szCs w:val="21"/>
          <w:highlight w:val="none"/>
        </w:rPr>
        <w:t>注册的潜在</w:t>
      </w:r>
      <w:r>
        <w:rPr>
          <w:rFonts w:hint="eastAsia" w:ascii="宋体" w:hAnsi="宋体"/>
          <w:szCs w:val="21"/>
          <w:highlight w:val="none"/>
        </w:rPr>
        <w:t>参选</w:t>
      </w:r>
      <w:r>
        <w:rPr>
          <w:rFonts w:ascii="宋体" w:hAnsi="宋体"/>
          <w:szCs w:val="21"/>
          <w:highlight w:val="none"/>
        </w:rPr>
        <w:t>人须先进行注册，注册方法详见本公告“7.</w:t>
      </w:r>
      <w:r>
        <w:rPr>
          <w:rFonts w:hint="eastAsia" w:ascii="宋体" w:hAnsi="宋体"/>
          <w:szCs w:val="21"/>
          <w:highlight w:val="none"/>
        </w:rPr>
        <w:t>参选</w:t>
      </w:r>
      <w:r>
        <w:rPr>
          <w:rFonts w:ascii="宋体" w:hAnsi="宋体"/>
          <w:szCs w:val="21"/>
          <w:highlight w:val="none"/>
        </w:rPr>
        <w:t>人注册”。</w:t>
      </w:r>
    </w:p>
    <w:p>
      <w:pPr>
        <w:spacing w:line="400" w:lineRule="exact"/>
        <w:ind w:firstLine="422" w:firstLineChars="200"/>
        <w:rPr>
          <w:rFonts w:ascii="宋体" w:hAnsi="宋体"/>
          <w:szCs w:val="21"/>
          <w:highlight w:val="none"/>
        </w:rPr>
      </w:pPr>
      <w:r>
        <w:rPr>
          <w:rFonts w:hint="eastAsia" w:ascii="宋体" w:hAnsi="宋体"/>
          <w:b/>
          <w:szCs w:val="21"/>
          <w:highlight w:val="none"/>
          <w:lang w:val="en-US" w:eastAsia="zh-CN"/>
        </w:rPr>
        <w:t>5</w:t>
      </w:r>
      <w:r>
        <w:rPr>
          <w:rFonts w:ascii="宋体" w:hAnsi="宋体"/>
          <w:b/>
          <w:szCs w:val="21"/>
          <w:highlight w:val="none"/>
        </w:rPr>
        <w:t>.1.3</w:t>
      </w:r>
      <w:r>
        <w:rPr>
          <w:rFonts w:hint="eastAsia" w:ascii="宋体" w:hAnsi="宋体"/>
          <w:b/>
          <w:szCs w:val="21"/>
          <w:highlight w:val="none"/>
        </w:rPr>
        <w:t>比选文件下载：</w:t>
      </w:r>
      <w:r>
        <w:rPr>
          <w:rFonts w:hint="eastAsia" w:ascii="宋体" w:hAnsi="宋体"/>
          <w:szCs w:val="21"/>
          <w:highlight w:val="none"/>
        </w:rPr>
        <w:t>比选代理机构对潜在参选人的申领信息确认后，潜在参选人即可通过“中国电信电子采购系统”下载比选文件。如已登记申领多标段的，请务必按标段分别下载比选文件，否则后续将无法继续参与未下载比选文件的标段参选。</w:t>
      </w:r>
    </w:p>
    <w:p>
      <w:pPr>
        <w:spacing w:line="400" w:lineRule="exact"/>
        <w:ind w:firstLine="420" w:firstLineChars="200"/>
        <w:rPr>
          <w:rFonts w:ascii="宋体" w:hAnsi="宋体"/>
          <w:szCs w:val="21"/>
          <w:highlight w:val="none"/>
        </w:rPr>
      </w:pPr>
      <w:r>
        <w:rPr>
          <w:rFonts w:hint="eastAsia" w:ascii="宋体" w:hAnsi="宋体"/>
          <w:szCs w:val="21"/>
          <w:highlight w:val="none"/>
        </w:rPr>
        <w:t>备注：</w:t>
      </w:r>
    </w:p>
    <w:p>
      <w:pPr>
        <w:spacing w:line="400" w:lineRule="exact"/>
        <w:ind w:firstLine="420" w:firstLineChars="200"/>
        <w:rPr>
          <w:rFonts w:ascii="宋体" w:hAnsi="宋体"/>
          <w:szCs w:val="21"/>
          <w:highlight w:val="none"/>
        </w:rPr>
      </w:pPr>
      <w:r>
        <w:rPr>
          <w:rFonts w:hint="eastAsia" w:ascii="宋体" w:hAnsi="宋体"/>
          <w:szCs w:val="21"/>
          <w:highlight w:val="none"/>
        </w:rPr>
        <w:t>（</w:t>
      </w:r>
      <w:r>
        <w:rPr>
          <w:rFonts w:ascii="宋体" w:hAnsi="宋体"/>
          <w:szCs w:val="21"/>
          <w:highlight w:val="none"/>
        </w:rPr>
        <w:t>1）</w:t>
      </w:r>
      <w:r>
        <w:rPr>
          <w:rFonts w:hint="eastAsia" w:ascii="宋体" w:hAnsi="宋体"/>
          <w:szCs w:val="21"/>
          <w:highlight w:val="none"/>
        </w:rPr>
        <w:t>潜在参选人</w:t>
      </w:r>
      <w:r>
        <w:rPr>
          <w:rFonts w:ascii="宋体" w:hAnsi="宋体"/>
          <w:szCs w:val="21"/>
          <w:highlight w:val="none"/>
        </w:rPr>
        <w:t xml:space="preserve">在“ </w:t>
      </w:r>
      <w:r>
        <w:rPr>
          <w:b/>
          <w:highlight w:val="none"/>
        </w:rPr>
        <w:t>“</w:t>
      </w:r>
      <w:r>
        <w:rPr>
          <w:rFonts w:hint="eastAsia"/>
          <w:b/>
          <w:highlight w:val="none"/>
          <w:u w:val="single"/>
        </w:rPr>
        <w:t>中捷通信有限公司电子招标平台（https://zjzb.chinaccsscm.cn/）</w:t>
      </w:r>
      <w:r>
        <w:rPr>
          <w:rFonts w:ascii="宋体" w:hAnsi="宋体"/>
          <w:szCs w:val="21"/>
          <w:highlight w:val="none"/>
        </w:rPr>
        <w:t>”</w:t>
      </w:r>
      <w:r>
        <w:rPr>
          <w:rFonts w:hint="eastAsia" w:ascii="宋体" w:hAnsi="宋体"/>
          <w:szCs w:val="21"/>
          <w:highlight w:val="none"/>
        </w:rPr>
        <w:t>完成项目比选文件登记购买及费用支付后，请务必在比选文件登记购买及申领期限内，通过“中国电信电子采购系统”登记申领比选文件，只有登记申领成功后，才可以下载比选文件，下载后视为比选文件购买及获取完成。如潜在参选人未按时按要求登记申领比选文件的，后续将无法继续参与参选。在比选文件登记购买及申领期限内，无法登记申领的，请及时与比选代理机构项目联系人联系；在比选文件登记购买及申领期限结束后，“中国电信电子采购系统”将不再提供比选文件申领服务，未成功申领比选文件且无法继续参与参选的，可联系比选代理机构申请退还已支付的标书费用。因逾期无法申领比选文件，进而影响后续参选文件制作等活动的，由潜在参选人自行承担相关损失。</w:t>
      </w:r>
    </w:p>
    <w:p>
      <w:pPr>
        <w:spacing w:line="400" w:lineRule="exact"/>
        <w:ind w:firstLine="420" w:firstLineChars="200"/>
        <w:rPr>
          <w:rFonts w:ascii="宋体" w:hAnsi="宋体"/>
          <w:szCs w:val="21"/>
          <w:highlight w:val="none"/>
        </w:rPr>
      </w:pPr>
      <w:r>
        <w:rPr>
          <w:rFonts w:hint="eastAsia" w:ascii="宋体" w:hAnsi="宋体"/>
          <w:szCs w:val="21"/>
          <w:highlight w:val="none"/>
        </w:rPr>
        <w:t>（</w:t>
      </w:r>
      <w:r>
        <w:rPr>
          <w:rFonts w:ascii="宋体" w:hAnsi="宋体"/>
          <w:szCs w:val="21"/>
          <w:highlight w:val="none"/>
        </w:rPr>
        <w:t>2）</w:t>
      </w:r>
      <w:r>
        <w:rPr>
          <w:rFonts w:hint="eastAsia" w:ascii="宋体" w:hAnsi="宋体"/>
          <w:szCs w:val="21"/>
          <w:highlight w:val="none"/>
        </w:rPr>
        <w:t>比选</w:t>
      </w:r>
      <w:r>
        <w:rPr>
          <w:rFonts w:ascii="宋体" w:hAnsi="宋体"/>
          <w:szCs w:val="21"/>
          <w:highlight w:val="none"/>
        </w:rPr>
        <w:t>文件以“</w:t>
      </w:r>
      <w:r>
        <w:rPr>
          <w:rFonts w:hint="eastAsia" w:ascii="宋体" w:hAnsi="宋体"/>
          <w:szCs w:val="21"/>
          <w:highlight w:val="none"/>
        </w:rPr>
        <w:t>中国电信电子采购系统</w:t>
      </w:r>
      <w:r>
        <w:rPr>
          <w:rFonts w:ascii="宋体" w:hAnsi="宋体"/>
          <w:szCs w:val="21"/>
          <w:highlight w:val="none"/>
        </w:rPr>
        <w:t>”登记申领下载的为准。</w:t>
      </w:r>
    </w:p>
    <w:p>
      <w:pPr>
        <w:spacing w:line="400" w:lineRule="exact"/>
        <w:ind w:firstLine="420" w:firstLineChars="200"/>
        <w:rPr>
          <w:rFonts w:ascii="宋体" w:hAnsi="宋体"/>
          <w:szCs w:val="21"/>
          <w:highlight w:val="none"/>
        </w:rPr>
      </w:pPr>
      <w:r>
        <w:rPr>
          <w:rFonts w:hint="eastAsia" w:ascii="宋体" w:hAnsi="宋体"/>
          <w:szCs w:val="21"/>
          <w:highlight w:val="none"/>
        </w:rPr>
        <w:t>（</w:t>
      </w:r>
      <w:r>
        <w:rPr>
          <w:rFonts w:ascii="宋体" w:hAnsi="宋体"/>
          <w:szCs w:val="21"/>
          <w:highlight w:val="none"/>
        </w:rPr>
        <w:t>3）</w:t>
      </w:r>
      <w:r>
        <w:rPr>
          <w:rFonts w:hint="eastAsia" w:ascii="宋体" w:hAnsi="宋体"/>
          <w:kern w:val="0"/>
          <w:szCs w:val="21"/>
          <w:highlight w:val="none"/>
        </w:rPr>
        <w:t>如潜在参选人无办理CA证书记录的，请在完成中国电信供应链系统（CTSC）（https://caigou.chinatelecom.com.cn/ctsc-portal/ctscPortal）注册后，直接登录申领比选文件，同时应尽快完成CA证书办理，用于参选文件制作及上传；如潜在参选人有办理CA证书记录的，则主账号或子账号均需使用对应的关联CA证书登录</w:t>
      </w:r>
      <w:r>
        <w:rPr>
          <w:rFonts w:hint="eastAsia"/>
          <w:kern w:val="0"/>
          <w:highlight w:val="none"/>
        </w:rPr>
        <w:t>电子采购系统</w:t>
      </w:r>
      <w:r>
        <w:rPr>
          <w:rFonts w:hint="eastAsia" w:ascii="宋体" w:hAnsi="宋体"/>
          <w:kern w:val="0"/>
          <w:szCs w:val="21"/>
          <w:highlight w:val="none"/>
        </w:rPr>
        <w:t>并申领比选文件</w:t>
      </w:r>
      <w:r>
        <w:rPr>
          <w:rFonts w:ascii="宋体" w:hAnsi="宋体"/>
          <w:szCs w:val="21"/>
          <w:highlight w:val="none"/>
        </w:rPr>
        <w:t>。</w:t>
      </w:r>
    </w:p>
    <w:p>
      <w:pPr>
        <w:spacing w:line="440" w:lineRule="exact"/>
        <w:ind w:firstLine="425" w:firstLineChars="199"/>
        <w:rPr>
          <w:rFonts w:ascii="宋体" w:hAnsi="宋体"/>
          <w:spacing w:val="2"/>
          <w:szCs w:val="21"/>
          <w:highlight w:val="none"/>
        </w:rPr>
      </w:pPr>
      <w:r>
        <w:rPr>
          <w:rFonts w:hint="eastAsia" w:ascii="宋体" w:hAnsi="宋体"/>
          <w:spacing w:val="2"/>
          <w:szCs w:val="21"/>
          <w:highlight w:val="none"/>
          <w:lang w:val="en-US" w:eastAsia="zh-CN"/>
        </w:rPr>
        <w:t>5</w:t>
      </w:r>
      <w:r>
        <w:rPr>
          <w:rFonts w:ascii="宋体" w:hAnsi="宋体"/>
          <w:spacing w:val="2"/>
          <w:szCs w:val="21"/>
          <w:highlight w:val="none"/>
        </w:rPr>
        <w:t>.2</w:t>
      </w:r>
      <w:r>
        <w:rPr>
          <w:rFonts w:hint="eastAsia" w:ascii="宋体" w:hAnsi="宋体"/>
          <w:spacing w:val="2"/>
          <w:szCs w:val="21"/>
          <w:highlight w:val="none"/>
        </w:rPr>
        <w:t>比选文件每套售价</w:t>
      </w:r>
      <w:r>
        <w:rPr>
          <w:rFonts w:hint="eastAsia" w:ascii="宋体" w:hAnsi="宋体"/>
          <w:szCs w:val="21"/>
          <w:highlight w:val="none"/>
          <w:u w:val="single"/>
          <w:lang w:val="en-US" w:eastAsia="zh-CN"/>
        </w:rPr>
        <w:t>300</w:t>
      </w:r>
      <w:r>
        <w:rPr>
          <w:rFonts w:hint="eastAsia" w:ascii="宋体" w:hAnsi="宋体"/>
          <w:spacing w:val="2"/>
          <w:szCs w:val="21"/>
          <w:highlight w:val="none"/>
        </w:rPr>
        <w:t>元人民币，售后不退，如需要获取纸质比选文件，请凭借购买记录前往</w:t>
      </w:r>
      <w:r>
        <w:rPr>
          <w:rFonts w:hint="eastAsia" w:ascii="宋体" w:hAnsi="宋体"/>
          <w:spacing w:val="2"/>
          <w:szCs w:val="21"/>
          <w:highlight w:val="none"/>
          <w:u w:val="single"/>
        </w:rPr>
        <w:t>广东省广州市越秀区较场西路21号中捷通信有限公司2楼标书售卖室</w:t>
      </w:r>
      <w:r>
        <w:rPr>
          <w:rFonts w:hint="eastAsia" w:ascii="宋体" w:hAnsi="宋体"/>
          <w:spacing w:val="2"/>
          <w:szCs w:val="21"/>
          <w:highlight w:val="none"/>
        </w:rPr>
        <w:t>现场领取，或电话联系文件售卖人员进行邮寄，邮寄费用由参选人承担。</w:t>
      </w:r>
    </w:p>
    <w:p>
      <w:pPr>
        <w:pStyle w:val="45"/>
        <w:numPr>
          <w:ilvl w:val="0"/>
          <w:numId w:val="3"/>
        </w:numPr>
        <w:adjustRightInd w:val="0"/>
        <w:snapToGrid w:val="0"/>
        <w:spacing w:line="440" w:lineRule="exact"/>
        <w:ind w:firstLineChars="0"/>
        <w:outlineLvl w:val="1"/>
        <w:rPr>
          <w:rFonts w:ascii="宋体" w:hAnsi="宋体"/>
          <w:b/>
          <w:szCs w:val="21"/>
          <w:highlight w:val="none"/>
        </w:rPr>
      </w:pPr>
      <w:bookmarkStart w:id="15" w:name="_Toc22552"/>
      <w:bookmarkStart w:id="16" w:name="_Toc25770"/>
      <w:r>
        <w:rPr>
          <w:rFonts w:hint="eastAsia" w:ascii="宋体" w:hAnsi="宋体"/>
          <w:b/>
          <w:szCs w:val="21"/>
          <w:highlight w:val="none"/>
        </w:rPr>
        <w:t>参选文件的递交</w:t>
      </w:r>
      <w:bookmarkEnd w:id="15"/>
      <w:bookmarkEnd w:id="16"/>
    </w:p>
    <w:p>
      <w:pPr>
        <w:pStyle w:val="45"/>
        <w:adjustRightInd w:val="0"/>
        <w:snapToGrid w:val="0"/>
        <w:spacing w:line="400" w:lineRule="exact"/>
        <w:ind w:firstLine="422" w:firstLineChars="201"/>
        <w:rPr>
          <w:szCs w:val="21"/>
          <w:highlight w:val="none"/>
        </w:rPr>
      </w:pPr>
      <w:r>
        <w:rPr>
          <w:rFonts w:hint="eastAsia"/>
          <w:szCs w:val="21"/>
          <w:highlight w:val="none"/>
          <w:lang w:val="en-US" w:eastAsia="zh-CN"/>
        </w:rPr>
        <w:t>6</w:t>
      </w:r>
      <w:r>
        <w:rPr>
          <w:rFonts w:hint="eastAsia"/>
          <w:szCs w:val="21"/>
          <w:highlight w:val="none"/>
        </w:rPr>
        <w:t>.1（B）本项目采用电子参选和纸质参选并行，参选文件（即加密电子参选文件、非加密电子参选文件和纸质参选文件）递交的截止时间（参选截止时间，下同）为</w:t>
      </w:r>
      <w:r>
        <w:rPr>
          <w:rFonts w:hint="eastAsia"/>
          <w:szCs w:val="21"/>
          <w:highlight w:val="none"/>
          <w:u w:val="single"/>
          <w:lang w:val="en-US" w:eastAsia="zh-CN"/>
        </w:rPr>
        <w:t>2022</w:t>
      </w:r>
      <w:r>
        <w:rPr>
          <w:rFonts w:hint="eastAsia"/>
          <w:szCs w:val="21"/>
          <w:highlight w:val="none"/>
          <w:u w:val="single"/>
        </w:rPr>
        <w:t>年</w:t>
      </w:r>
      <w:r>
        <w:rPr>
          <w:rFonts w:hint="eastAsia"/>
          <w:szCs w:val="21"/>
          <w:highlight w:val="none"/>
          <w:u w:val="single"/>
          <w:lang w:val="en-US" w:eastAsia="zh-CN"/>
        </w:rPr>
        <w:t>10</w:t>
      </w:r>
      <w:r>
        <w:rPr>
          <w:rFonts w:hint="eastAsia"/>
          <w:szCs w:val="21"/>
          <w:highlight w:val="none"/>
          <w:u w:val="single"/>
        </w:rPr>
        <w:t>月</w:t>
      </w:r>
      <w:r>
        <w:rPr>
          <w:rFonts w:hint="eastAsia"/>
          <w:szCs w:val="21"/>
          <w:highlight w:val="none"/>
          <w:u w:val="single"/>
          <w:lang w:val="en-US" w:eastAsia="zh-CN"/>
        </w:rPr>
        <w:t>20</w:t>
      </w:r>
      <w:r>
        <w:rPr>
          <w:rFonts w:hint="eastAsia"/>
          <w:szCs w:val="21"/>
          <w:highlight w:val="none"/>
          <w:u w:val="single"/>
        </w:rPr>
        <w:t>日</w:t>
      </w:r>
      <w:r>
        <w:rPr>
          <w:rFonts w:hint="eastAsia"/>
          <w:szCs w:val="21"/>
          <w:highlight w:val="none"/>
          <w:u w:val="single"/>
          <w:lang w:val="en-US" w:eastAsia="zh-CN"/>
        </w:rPr>
        <w:t>09</w:t>
      </w:r>
      <w:r>
        <w:rPr>
          <w:rFonts w:hint="eastAsia"/>
          <w:szCs w:val="21"/>
          <w:highlight w:val="none"/>
          <w:u w:val="single"/>
        </w:rPr>
        <w:t>时</w:t>
      </w:r>
      <w:r>
        <w:rPr>
          <w:rFonts w:hint="eastAsia"/>
          <w:szCs w:val="21"/>
          <w:highlight w:val="none"/>
          <w:u w:val="single"/>
          <w:lang w:val="en-US" w:eastAsia="zh-CN"/>
        </w:rPr>
        <w:t>00</w:t>
      </w:r>
      <w:r>
        <w:rPr>
          <w:rFonts w:hint="eastAsia"/>
          <w:szCs w:val="21"/>
          <w:highlight w:val="none"/>
          <w:u w:val="single"/>
        </w:rPr>
        <w:t>分</w:t>
      </w:r>
      <w:r>
        <w:rPr>
          <w:rFonts w:hint="eastAsia"/>
          <w:szCs w:val="21"/>
          <w:highlight w:val="none"/>
        </w:rPr>
        <w:t>。</w:t>
      </w:r>
    </w:p>
    <w:p>
      <w:pPr>
        <w:pStyle w:val="45"/>
        <w:adjustRightInd w:val="0"/>
        <w:snapToGrid w:val="0"/>
        <w:spacing w:line="400" w:lineRule="exact"/>
        <w:ind w:firstLine="422" w:firstLineChars="201"/>
        <w:rPr>
          <w:szCs w:val="21"/>
          <w:highlight w:val="none"/>
        </w:rPr>
      </w:pPr>
      <w:r>
        <w:rPr>
          <w:rFonts w:hint="eastAsia"/>
          <w:szCs w:val="21"/>
          <w:highlight w:val="none"/>
        </w:rPr>
        <w:t>（1）电子参选：</w:t>
      </w:r>
      <w:r>
        <w:rPr>
          <w:rFonts w:hint="eastAsia" w:ascii="宋体" w:hAnsi="宋体"/>
          <w:kern w:val="0"/>
          <w:szCs w:val="21"/>
          <w:highlight w:val="none"/>
        </w:rPr>
        <w:t>参选人通过参选文件制作软件生成电子参选文件的加密版本和非加密版本。加密版本通过</w:t>
      </w:r>
      <w:r>
        <w:rPr>
          <w:rFonts w:hint="eastAsia" w:ascii="宋体" w:hAnsi="宋体"/>
          <w:kern w:val="0"/>
          <w:szCs w:val="21"/>
          <w:highlight w:val="none"/>
          <w:u w:val="single"/>
        </w:rPr>
        <w:t>登录</w:t>
      </w:r>
      <w:r>
        <w:rPr>
          <w:rFonts w:hint="eastAsia"/>
          <w:kern w:val="0"/>
          <w:highlight w:val="none"/>
        </w:rPr>
        <w:t>中国电信供应链系统（</w:t>
      </w:r>
      <w:r>
        <w:rPr>
          <w:rFonts w:hint="eastAsia" w:ascii="宋体" w:hAnsi="宋体"/>
          <w:kern w:val="0"/>
          <w:highlight w:val="none"/>
        </w:rPr>
        <w:t>CTSC</w:t>
      </w:r>
      <w:r>
        <w:rPr>
          <w:rFonts w:hint="eastAsia"/>
          <w:kern w:val="0"/>
          <w:highlight w:val="none"/>
        </w:rPr>
        <w:t>）（</w:t>
      </w:r>
      <w:r>
        <w:rPr>
          <w:rFonts w:hint="eastAsia" w:ascii="宋体" w:hAnsi="宋体"/>
          <w:kern w:val="0"/>
          <w:highlight w:val="none"/>
        </w:rPr>
        <w:t>https://caigou.chinatelecom.com.cn/ctsc-portal/ctscPortal</w:t>
      </w:r>
      <w:r>
        <w:rPr>
          <w:rFonts w:hint="eastAsia"/>
          <w:kern w:val="0"/>
          <w:highlight w:val="none"/>
        </w:rPr>
        <w:t>）后在“工作台</w:t>
      </w:r>
      <w:r>
        <w:rPr>
          <w:kern w:val="0"/>
          <w:highlight w:val="none"/>
        </w:rPr>
        <w:t>-</w:t>
      </w:r>
      <w:r>
        <w:rPr>
          <w:rFonts w:hint="eastAsia"/>
          <w:kern w:val="0"/>
          <w:highlight w:val="none"/>
        </w:rPr>
        <w:t>在线投标”模块跳转至“中国电信电子采购系统”</w:t>
      </w:r>
      <w:r>
        <w:rPr>
          <w:rFonts w:hint="eastAsia" w:ascii="宋体" w:hAnsi="宋体"/>
          <w:kern w:val="0"/>
          <w:highlight w:val="none"/>
        </w:rPr>
        <w:t>提交，</w:t>
      </w:r>
      <w:r>
        <w:rPr>
          <w:rFonts w:hint="eastAsia" w:ascii="宋体" w:hAnsi="宋体"/>
          <w:kern w:val="0"/>
          <w:szCs w:val="21"/>
          <w:highlight w:val="none"/>
        </w:rPr>
        <w:t>参选</w:t>
      </w:r>
      <w:r>
        <w:rPr>
          <w:rFonts w:hint="eastAsia" w:ascii="宋体" w:hAnsi="宋体"/>
          <w:kern w:val="0"/>
          <w:highlight w:val="none"/>
        </w:rPr>
        <w:t>人应在</w:t>
      </w:r>
      <w:r>
        <w:rPr>
          <w:rFonts w:hint="eastAsia" w:ascii="宋体" w:hAnsi="宋体"/>
          <w:kern w:val="0"/>
          <w:szCs w:val="21"/>
          <w:highlight w:val="none"/>
        </w:rPr>
        <w:t>参选文件递交截止时间之前通过</w:t>
      </w:r>
      <w:r>
        <w:rPr>
          <w:rFonts w:hint="eastAsia" w:ascii="宋体" w:hAnsi="宋体"/>
          <w:kern w:val="0"/>
          <w:highlight w:val="none"/>
        </w:rPr>
        <w:t>电子采购系统完成加密电子</w:t>
      </w:r>
      <w:r>
        <w:rPr>
          <w:rFonts w:hint="eastAsia" w:ascii="宋体" w:hAnsi="宋体"/>
          <w:kern w:val="0"/>
          <w:szCs w:val="21"/>
          <w:highlight w:val="none"/>
        </w:rPr>
        <w:t>参选</w:t>
      </w:r>
      <w:r>
        <w:rPr>
          <w:rFonts w:hint="eastAsia" w:ascii="宋体" w:hAnsi="宋体"/>
          <w:kern w:val="0"/>
          <w:highlight w:val="none"/>
        </w:rPr>
        <w:t>文件的上传。</w:t>
      </w:r>
      <w:r>
        <w:rPr>
          <w:rFonts w:hint="eastAsia" w:ascii="宋体" w:hAnsi="宋体"/>
          <w:kern w:val="0"/>
          <w:szCs w:val="21"/>
          <w:highlight w:val="none"/>
        </w:rPr>
        <w:t>参选</w:t>
      </w:r>
      <w:r>
        <w:rPr>
          <w:rFonts w:hint="eastAsia" w:ascii="宋体" w:hAnsi="宋体"/>
          <w:kern w:val="0"/>
          <w:highlight w:val="none"/>
        </w:rPr>
        <w:t>人未在电子采购系统进行比选文件申领登记或电子</w:t>
      </w:r>
      <w:r>
        <w:rPr>
          <w:rFonts w:hint="eastAsia" w:ascii="宋体" w:hAnsi="宋体"/>
          <w:kern w:val="0"/>
          <w:szCs w:val="21"/>
          <w:highlight w:val="none"/>
        </w:rPr>
        <w:t>参选</w:t>
      </w:r>
      <w:r>
        <w:rPr>
          <w:rFonts w:hint="eastAsia" w:ascii="宋体" w:hAnsi="宋体"/>
          <w:kern w:val="0"/>
          <w:highlight w:val="none"/>
        </w:rPr>
        <w:t>文件未按照要求加密的，将无法通过电子采购系统提交电子</w:t>
      </w:r>
      <w:r>
        <w:rPr>
          <w:rFonts w:hint="eastAsia" w:ascii="宋体" w:hAnsi="宋体"/>
          <w:kern w:val="0"/>
          <w:szCs w:val="21"/>
          <w:highlight w:val="none"/>
        </w:rPr>
        <w:t>参选</w:t>
      </w:r>
      <w:r>
        <w:rPr>
          <w:rFonts w:hint="eastAsia" w:ascii="宋体" w:hAnsi="宋体"/>
          <w:kern w:val="0"/>
          <w:highlight w:val="none"/>
        </w:rPr>
        <w:t>文件</w:t>
      </w:r>
      <w:r>
        <w:rPr>
          <w:rFonts w:hint="eastAsia"/>
          <w:szCs w:val="21"/>
          <w:highlight w:val="none"/>
        </w:rPr>
        <w:t>。非加密版本随纸质参选文件一并递交至</w:t>
      </w:r>
      <w:r>
        <w:rPr>
          <w:rFonts w:hint="eastAsia" w:ascii="宋体" w:hAnsi="宋体"/>
          <w:b/>
          <w:bCs/>
          <w:spacing w:val="2"/>
          <w:szCs w:val="21"/>
          <w:highlight w:val="none"/>
          <w:u w:val="single"/>
        </w:rPr>
        <w:t>湛江市人民大道中55号中国电信股份有限公司湛江分公司3号楼802会议室</w:t>
      </w:r>
      <w:r>
        <w:rPr>
          <w:rFonts w:hint="eastAsia"/>
          <w:szCs w:val="21"/>
          <w:highlight w:val="none"/>
        </w:rPr>
        <w:t>。</w:t>
      </w:r>
    </w:p>
    <w:p>
      <w:pPr>
        <w:pStyle w:val="45"/>
        <w:adjustRightInd w:val="0"/>
        <w:snapToGrid w:val="0"/>
        <w:spacing w:line="400" w:lineRule="exact"/>
        <w:ind w:firstLine="422" w:firstLineChars="201"/>
        <w:rPr>
          <w:szCs w:val="21"/>
          <w:highlight w:val="none"/>
        </w:rPr>
      </w:pPr>
      <w:r>
        <w:rPr>
          <w:rFonts w:hint="eastAsia"/>
          <w:szCs w:val="21"/>
          <w:highlight w:val="none"/>
        </w:rPr>
        <w:t>（2）纸质参选：纸质参选文件递交至</w:t>
      </w:r>
      <w:r>
        <w:rPr>
          <w:rFonts w:hint="eastAsia" w:ascii="宋体" w:hAnsi="宋体"/>
          <w:b/>
          <w:bCs/>
          <w:spacing w:val="2"/>
          <w:szCs w:val="21"/>
          <w:highlight w:val="none"/>
          <w:u w:val="single"/>
        </w:rPr>
        <w:t>湛江市人民大道中55号中国电信股份有限公司湛江分公司3号楼802会议室</w:t>
      </w:r>
      <w:r>
        <w:rPr>
          <w:rFonts w:hint="eastAsia"/>
          <w:szCs w:val="21"/>
          <w:highlight w:val="none"/>
        </w:rPr>
        <w:t>。</w:t>
      </w:r>
    </w:p>
    <w:p>
      <w:pPr>
        <w:pStyle w:val="45"/>
        <w:adjustRightInd w:val="0"/>
        <w:snapToGrid w:val="0"/>
        <w:spacing w:line="400" w:lineRule="exact"/>
        <w:ind w:firstLine="422" w:firstLineChars="201"/>
        <w:rPr>
          <w:szCs w:val="21"/>
          <w:highlight w:val="none"/>
        </w:rPr>
      </w:pPr>
      <w:r>
        <w:rPr>
          <w:rFonts w:hint="eastAsia"/>
          <w:szCs w:val="21"/>
          <w:highlight w:val="none"/>
          <w:lang w:val="en-US" w:eastAsia="zh-CN"/>
        </w:rPr>
        <w:t>6</w:t>
      </w:r>
      <w:r>
        <w:rPr>
          <w:rFonts w:hint="eastAsia"/>
          <w:szCs w:val="21"/>
          <w:highlight w:val="none"/>
        </w:rPr>
        <w:t>.2参选文件的优先级：</w:t>
      </w:r>
    </w:p>
    <w:p>
      <w:pPr>
        <w:pStyle w:val="45"/>
        <w:adjustRightInd w:val="0"/>
        <w:snapToGrid w:val="0"/>
        <w:spacing w:line="400" w:lineRule="exact"/>
        <w:ind w:firstLine="422" w:firstLineChars="201"/>
        <w:rPr>
          <w:szCs w:val="21"/>
          <w:highlight w:val="none"/>
        </w:rPr>
      </w:pPr>
      <w:r>
        <w:rPr>
          <w:rFonts w:hint="eastAsia"/>
          <w:szCs w:val="21"/>
          <w:highlight w:val="none"/>
        </w:rPr>
        <w:t>（1）参选人应在参选文件递交截止时间之前通过</w:t>
      </w:r>
      <w:r>
        <w:rPr>
          <w:rFonts w:hint="eastAsia"/>
          <w:kern w:val="0"/>
          <w:szCs w:val="21"/>
          <w:highlight w:val="none"/>
        </w:rPr>
        <w:t>电子采购系统</w:t>
      </w:r>
      <w:r>
        <w:rPr>
          <w:rFonts w:hint="eastAsia"/>
          <w:szCs w:val="21"/>
          <w:highlight w:val="none"/>
        </w:rPr>
        <w:t>完成加密电子参选文件的上传。加密电子参选文件成功上传且正常解密的，该参选人的参选文件以加密电子参选文件为准，不加密电子参选文件、纸质参选文件（业绩证明材料、纸质保函、保险原件除外）同时失效。</w:t>
      </w:r>
    </w:p>
    <w:p>
      <w:pPr>
        <w:pStyle w:val="45"/>
        <w:adjustRightInd w:val="0"/>
        <w:snapToGrid w:val="0"/>
        <w:spacing w:line="400" w:lineRule="exact"/>
        <w:ind w:firstLine="422" w:firstLineChars="201"/>
        <w:rPr>
          <w:szCs w:val="21"/>
          <w:highlight w:val="none"/>
        </w:rPr>
      </w:pPr>
      <w:r>
        <w:rPr>
          <w:rFonts w:hint="eastAsia"/>
          <w:szCs w:val="21"/>
          <w:highlight w:val="none"/>
        </w:rPr>
        <w:t>当加密电子参选文件上传异常时，参选人应及时联系</w:t>
      </w:r>
      <w:r>
        <w:rPr>
          <w:rFonts w:hint="eastAsia"/>
          <w:kern w:val="0"/>
          <w:szCs w:val="21"/>
          <w:highlight w:val="none"/>
        </w:rPr>
        <w:t>电子采购系统</w:t>
      </w:r>
      <w:r>
        <w:rPr>
          <w:rFonts w:hint="eastAsia"/>
          <w:szCs w:val="21"/>
          <w:highlight w:val="none"/>
        </w:rPr>
        <w:t>技术支撑人员解决。若在参选文件递交截止时间之前仍未解决，参选人须在参选截止时间前将操作失败的系统桌面的全幅截图通过邮件方式发送至本公告“8.异议接收及联系方式”的电子邮箱，该参选人的参选文件以纸质参选文件为准。如参选人按要求提供全幅截图但未递交纸质参选文件的，不加密电子参选文件同时失效并予以退回，其参选无效。</w:t>
      </w:r>
    </w:p>
    <w:p>
      <w:pPr>
        <w:pStyle w:val="45"/>
        <w:adjustRightInd w:val="0"/>
        <w:snapToGrid w:val="0"/>
        <w:spacing w:line="400" w:lineRule="exact"/>
        <w:ind w:firstLine="422" w:firstLineChars="201"/>
        <w:rPr>
          <w:szCs w:val="21"/>
          <w:highlight w:val="none"/>
        </w:rPr>
      </w:pPr>
      <w:r>
        <w:rPr>
          <w:rFonts w:hint="eastAsia"/>
          <w:szCs w:val="21"/>
          <w:highlight w:val="none"/>
        </w:rPr>
        <w:t>因参选人自身原因导致加密电子参选文件递交失败的，不加密电子参选文件、纸质参选文件均同时失效并予以退回，其参选无效。参选人加密电子参选文件上传异常且未按要求提供全幅截图的，视为因参选人自身原因导致加密电子参选文件递交失败。</w:t>
      </w:r>
    </w:p>
    <w:p>
      <w:pPr>
        <w:pStyle w:val="45"/>
        <w:adjustRightInd w:val="0"/>
        <w:snapToGrid w:val="0"/>
        <w:spacing w:line="400" w:lineRule="exact"/>
        <w:ind w:firstLine="422" w:firstLineChars="201"/>
        <w:rPr>
          <w:szCs w:val="21"/>
          <w:highlight w:val="none"/>
        </w:rPr>
      </w:pPr>
      <w:r>
        <w:rPr>
          <w:rFonts w:hint="eastAsia"/>
          <w:szCs w:val="21"/>
          <w:highlight w:val="none"/>
        </w:rPr>
        <w:t>（2）加密电子参选文件由比选人/比选代理机构在递交截止时间后统一解密，参选人无需进行解密操作。加密电子参选文件解密异常时，比选人/比选代理机构导入参选人递交的不加密电子参选文件，不加密电子参选文件经</w:t>
      </w:r>
      <w:r>
        <w:rPr>
          <w:rFonts w:hint="eastAsia"/>
          <w:kern w:val="0"/>
          <w:szCs w:val="21"/>
          <w:highlight w:val="none"/>
        </w:rPr>
        <w:t>电子采购系统</w:t>
      </w:r>
      <w:r>
        <w:rPr>
          <w:rFonts w:hint="eastAsia"/>
          <w:szCs w:val="21"/>
          <w:highlight w:val="none"/>
        </w:rPr>
        <w:t>校验通过的视为解密成功，该参选人的参选文件以不加密电子参选文件为准，纸质参选文件（业绩证明材料、纸质保函、保险原件除外）失效；校验失败或未递交不加密电子参选文件的，该参选人的参选文件以纸质参选文件为准，电子参选文件失效，未递交纸质参选文件的，其参选无效。</w:t>
      </w:r>
    </w:p>
    <w:p>
      <w:pPr>
        <w:pStyle w:val="45"/>
        <w:adjustRightInd w:val="0"/>
        <w:snapToGrid w:val="0"/>
        <w:spacing w:line="400" w:lineRule="exact"/>
        <w:ind w:firstLine="422" w:firstLineChars="201"/>
        <w:rPr>
          <w:szCs w:val="21"/>
          <w:highlight w:val="none"/>
        </w:rPr>
      </w:pPr>
      <w:r>
        <w:rPr>
          <w:rFonts w:hint="eastAsia"/>
          <w:szCs w:val="21"/>
          <w:highlight w:val="none"/>
        </w:rPr>
        <w:t>（3）如业绩证明材料超出电子参选文件大小限制，参选人可以纸质书面形式按比选文件要求单独密封递交，无须上传至</w:t>
      </w:r>
      <w:r>
        <w:rPr>
          <w:rFonts w:hint="eastAsia"/>
          <w:kern w:val="0"/>
          <w:szCs w:val="21"/>
          <w:highlight w:val="none"/>
        </w:rPr>
        <w:t>电子采购系统</w:t>
      </w:r>
      <w:r>
        <w:rPr>
          <w:rFonts w:hint="eastAsia"/>
          <w:szCs w:val="21"/>
          <w:highlight w:val="none"/>
        </w:rPr>
        <w:t>；如参选人同时以纸质参选文件和电子参选文件形式递交的，则以电子参选文件为准。</w:t>
      </w:r>
    </w:p>
    <w:p>
      <w:pPr>
        <w:pStyle w:val="45"/>
        <w:adjustRightInd w:val="0"/>
        <w:snapToGrid w:val="0"/>
        <w:spacing w:line="400" w:lineRule="exact"/>
        <w:ind w:firstLine="422" w:firstLineChars="201"/>
        <w:rPr>
          <w:szCs w:val="21"/>
          <w:highlight w:val="none"/>
        </w:rPr>
      </w:pPr>
      <w:r>
        <w:rPr>
          <w:rFonts w:hint="eastAsia"/>
          <w:szCs w:val="21"/>
          <w:highlight w:val="none"/>
        </w:rPr>
        <w:t>（4）参选保证金如采用银行保函、参选保函、保险形式的，纸质保函、保险原件（如有）须按比选文件要求单独密封递交，无须上传至</w:t>
      </w:r>
      <w:r>
        <w:rPr>
          <w:rFonts w:hint="eastAsia"/>
          <w:kern w:val="0"/>
          <w:szCs w:val="21"/>
          <w:highlight w:val="none"/>
        </w:rPr>
        <w:t>电子采购系统</w:t>
      </w:r>
      <w:r>
        <w:rPr>
          <w:rFonts w:hint="eastAsia"/>
          <w:szCs w:val="21"/>
          <w:highlight w:val="none"/>
        </w:rPr>
        <w:t>。</w:t>
      </w:r>
    </w:p>
    <w:p>
      <w:pPr>
        <w:pStyle w:val="45"/>
        <w:adjustRightInd w:val="0"/>
        <w:snapToGrid w:val="0"/>
        <w:spacing w:line="400" w:lineRule="exact"/>
        <w:ind w:firstLine="422" w:firstLineChars="201"/>
        <w:rPr>
          <w:rFonts w:ascii="宋体" w:hAnsi="宋体"/>
          <w:szCs w:val="21"/>
          <w:highlight w:val="none"/>
        </w:rPr>
      </w:pPr>
      <w:r>
        <w:rPr>
          <w:rFonts w:hint="eastAsia" w:ascii="宋体" w:hAnsi="宋体"/>
          <w:szCs w:val="21"/>
          <w:highlight w:val="none"/>
          <w:lang w:val="en-US" w:eastAsia="zh-CN"/>
        </w:rPr>
        <w:t>6</w:t>
      </w:r>
      <w:r>
        <w:rPr>
          <w:rFonts w:ascii="宋体" w:hAnsi="宋体"/>
          <w:szCs w:val="21"/>
          <w:highlight w:val="none"/>
        </w:rPr>
        <w:t>.3</w:t>
      </w:r>
      <w:r>
        <w:rPr>
          <w:rFonts w:hint="eastAsia" w:ascii="宋体" w:hAnsi="宋体"/>
          <w:szCs w:val="21"/>
          <w:highlight w:val="none"/>
        </w:rPr>
        <w:t>本项目将于上述同一时间、地点进行唱价，</w:t>
      </w:r>
      <w:r>
        <w:rPr>
          <w:rFonts w:hint="eastAsia" w:ascii="宋体" w:hAnsi="宋体"/>
          <w:spacing w:val="2"/>
          <w:szCs w:val="21"/>
          <w:highlight w:val="none"/>
        </w:rPr>
        <w:t>比选人/比选代理机构</w:t>
      </w:r>
      <w:r>
        <w:rPr>
          <w:rFonts w:hint="eastAsia" w:ascii="宋体" w:hAnsi="宋体"/>
          <w:szCs w:val="21"/>
          <w:highlight w:val="none"/>
        </w:rPr>
        <w:t>邀请参选人的法定代表人或者其委托代理人准时参加。</w:t>
      </w:r>
    </w:p>
    <w:p>
      <w:pPr>
        <w:pStyle w:val="45"/>
        <w:adjustRightInd w:val="0"/>
        <w:snapToGrid w:val="0"/>
        <w:spacing w:line="400" w:lineRule="exact"/>
        <w:ind w:firstLine="422" w:firstLineChars="201"/>
        <w:rPr>
          <w:rFonts w:ascii="宋体" w:hAnsi="宋体"/>
          <w:szCs w:val="21"/>
          <w:highlight w:val="none"/>
        </w:rPr>
      </w:pPr>
      <w:r>
        <w:rPr>
          <w:rFonts w:hint="eastAsia" w:ascii="宋体" w:hAnsi="宋体"/>
          <w:szCs w:val="21"/>
          <w:highlight w:val="none"/>
          <w:lang w:val="en-US" w:eastAsia="zh-CN"/>
        </w:rPr>
        <w:t>6</w:t>
      </w:r>
      <w:r>
        <w:rPr>
          <w:rFonts w:ascii="宋体" w:hAnsi="宋体"/>
          <w:szCs w:val="21"/>
          <w:highlight w:val="none"/>
        </w:rPr>
        <w:t>.4</w:t>
      </w:r>
      <w:r>
        <w:rPr>
          <w:rFonts w:hint="eastAsia" w:eastAsiaTheme="minorEastAsia"/>
          <w:highlight w:val="none"/>
        </w:rPr>
        <w:t>比选</w:t>
      </w:r>
      <w:r>
        <w:rPr>
          <w:rFonts w:eastAsiaTheme="minorEastAsia"/>
          <w:highlight w:val="none"/>
        </w:rPr>
        <w:t>文件要求递交纸质</w:t>
      </w:r>
      <w:r>
        <w:rPr>
          <w:rFonts w:hint="eastAsia" w:eastAsiaTheme="minorEastAsia"/>
          <w:highlight w:val="none"/>
        </w:rPr>
        <w:t>参选</w:t>
      </w:r>
      <w:r>
        <w:rPr>
          <w:rFonts w:eastAsiaTheme="minorEastAsia"/>
          <w:highlight w:val="none"/>
        </w:rPr>
        <w:t>文件的，出现以下情形之一时，</w:t>
      </w:r>
      <w:r>
        <w:rPr>
          <w:rFonts w:hint="eastAsia" w:eastAsiaTheme="minorEastAsia"/>
          <w:highlight w:val="none"/>
        </w:rPr>
        <w:t>比选</w:t>
      </w:r>
      <w:r>
        <w:rPr>
          <w:rFonts w:eastAsiaTheme="minorEastAsia"/>
          <w:highlight w:val="none"/>
        </w:rPr>
        <w:t>人/</w:t>
      </w:r>
      <w:r>
        <w:rPr>
          <w:rFonts w:hint="eastAsia" w:eastAsiaTheme="minorEastAsia"/>
          <w:highlight w:val="none"/>
        </w:rPr>
        <w:t>比选</w:t>
      </w:r>
      <w:r>
        <w:rPr>
          <w:rFonts w:eastAsiaTheme="minorEastAsia"/>
          <w:highlight w:val="none"/>
        </w:rPr>
        <w:t>代理机构不予接收</w:t>
      </w:r>
      <w:r>
        <w:rPr>
          <w:rFonts w:hint="eastAsia" w:ascii="宋体" w:hAnsi="宋体"/>
          <w:szCs w:val="21"/>
          <w:highlight w:val="none"/>
        </w:rPr>
        <w:t>：</w:t>
      </w:r>
    </w:p>
    <w:p>
      <w:pPr>
        <w:pStyle w:val="45"/>
        <w:adjustRightInd w:val="0"/>
        <w:snapToGrid w:val="0"/>
        <w:spacing w:line="400" w:lineRule="exact"/>
        <w:ind w:firstLine="422" w:firstLineChars="201"/>
        <w:rPr>
          <w:rFonts w:ascii="宋体" w:hAnsi="宋体"/>
          <w:szCs w:val="21"/>
          <w:highlight w:val="none"/>
        </w:rPr>
      </w:pPr>
      <w:r>
        <w:rPr>
          <w:rFonts w:hint="eastAsia" w:ascii="宋体" w:hAnsi="宋体"/>
          <w:szCs w:val="21"/>
          <w:highlight w:val="none"/>
        </w:rPr>
        <w:t>（1）逾期送达或者未送达指定地点的；</w:t>
      </w:r>
    </w:p>
    <w:p>
      <w:pPr>
        <w:pStyle w:val="45"/>
        <w:adjustRightInd w:val="0"/>
        <w:snapToGrid w:val="0"/>
        <w:spacing w:line="440" w:lineRule="exact"/>
        <w:ind w:left="424" w:firstLine="0" w:firstLineChars="0"/>
        <w:rPr>
          <w:rFonts w:ascii="宋体" w:hAnsi="宋体"/>
          <w:szCs w:val="21"/>
          <w:highlight w:val="none"/>
        </w:rPr>
      </w:pPr>
      <w:r>
        <w:rPr>
          <w:rFonts w:hint="eastAsia" w:ascii="宋体" w:hAnsi="宋体"/>
          <w:szCs w:val="21"/>
          <w:highlight w:val="none"/>
        </w:rPr>
        <w:t>（2）未按照比选文件要求密封的；</w:t>
      </w:r>
    </w:p>
    <w:p>
      <w:pPr>
        <w:pStyle w:val="45"/>
        <w:adjustRightInd w:val="0"/>
        <w:snapToGrid w:val="0"/>
        <w:spacing w:line="440" w:lineRule="exact"/>
        <w:ind w:left="424" w:firstLine="0" w:firstLineChars="0"/>
        <w:rPr>
          <w:rFonts w:ascii="宋体" w:hAnsi="宋体"/>
          <w:szCs w:val="21"/>
          <w:highlight w:val="none"/>
        </w:rPr>
      </w:pPr>
      <w:r>
        <w:rPr>
          <w:rFonts w:hint="eastAsia" w:ascii="宋体" w:hAnsi="宋体"/>
          <w:szCs w:val="21"/>
          <w:highlight w:val="none"/>
          <w:lang w:val="en-US" w:eastAsia="zh-CN"/>
        </w:rPr>
        <w:t>6</w:t>
      </w:r>
      <w:r>
        <w:rPr>
          <w:rFonts w:ascii="宋体" w:hAnsi="宋体"/>
          <w:szCs w:val="21"/>
          <w:highlight w:val="none"/>
        </w:rPr>
        <w:t>.5</w:t>
      </w:r>
      <w:r>
        <w:rPr>
          <w:rFonts w:hint="eastAsia" w:ascii="宋体" w:hAnsi="宋体"/>
          <w:szCs w:val="21"/>
          <w:highlight w:val="none"/>
        </w:rPr>
        <w:t>参选保证金：</w:t>
      </w:r>
      <w:r>
        <w:rPr>
          <w:rFonts w:hint="eastAsia" w:ascii="宋体" w:hAnsi="宋体"/>
          <w:szCs w:val="21"/>
          <w:highlight w:val="none"/>
          <w:lang w:val="en-US" w:eastAsia="zh-CN"/>
        </w:rPr>
        <w:t>13000</w:t>
      </w:r>
      <w:r>
        <w:rPr>
          <w:rFonts w:hint="eastAsia" w:ascii="宋体" w:hAnsi="宋体"/>
          <w:szCs w:val="21"/>
          <w:highlight w:val="none"/>
        </w:rPr>
        <w:t>元人民币。</w:t>
      </w:r>
    </w:p>
    <w:p>
      <w:pPr>
        <w:pStyle w:val="45"/>
        <w:numPr>
          <w:ilvl w:val="0"/>
          <w:numId w:val="3"/>
        </w:numPr>
        <w:adjustRightInd w:val="0"/>
        <w:snapToGrid w:val="0"/>
        <w:spacing w:line="440" w:lineRule="exact"/>
        <w:ind w:firstLineChars="0"/>
        <w:outlineLvl w:val="1"/>
        <w:rPr>
          <w:rFonts w:ascii="宋体" w:hAnsi="宋体"/>
          <w:b/>
          <w:szCs w:val="21"/>
          <w:highlight w:val="none"/>
        </w:rPr>
      </w:pPr>
      <w:bookmarkStart w:id="17" w:name="_Toc12194"/>
      <w:bookmarkStart w:id="18" w:name="_Toc6054"/>
      <w:r>
        <w:rPr>
          <w:rFonts w:hint="eastAsia" w:ascii="宋体" w:hAnsi="宋体"/>
          <w:b/>
          <w:szCs w:val="21"/>
          <w:highlight w:val="none"/>
        </w:rPr>
        <w:t>发布公告的媒介</w:t>
      </w:r>
      <w:bookmarkEnd w:id="17"/>
      <w:bookmarkEnd w:id="18"/>
    </w:p>
    <w:p>
      <w:pPr>
        <w:pStyle w:val="45"/>
        <w:adjustRightInd w:val="0"/>
        <w:snapToGrid w:val="0"/>
        <w:spacing w:line="400" w:lineRule="exact"/>
        <w:ind w:firstLine="424" w:firstLineChars="202"/>
        <w:rPr>
          <w:rFonts w:ascii="宋体" w:hAnsi="宋体"/>
          <w:szCs w:val="21"/>
          <w:highlight w:val="none"/>
        </w:rPr>
      </w:pPr>
      <w:r>
        <w:rPr>
          <w:rFonts w:hint="eastAsia" w:ascii="宋体" w:hAnsi="宋体"/>
          <w:szCs w:val="21"/>
          <w:highlight w:val="none"/>
        </w:rPr>
        <w:t>本比选公告仅在中国电信供应链系统（CTSC）（</w:t>
      </w:r>
      <w:r>
        <w:rPr>
          <w:rFonts w:ascii="宋体" w:hAnsi="宋体"/>
          <w:szCs w:val="21"/>
          <w:highlight w:val="none"/>
        </w:rPr>
        <w:fldChar w:fldCharType="begin"/>
      </w:r>
      <w:r>
        <w:rPr>
          <w:rFonts w:ascii="宋体" w:hAnsi="宋体"/>
          <w:szCs w:val="21"/>
          <w:highlight w:val="none"/>
        </w:rPr>
        <w:instrText xml:space="preserve"> HYPERLINK "https://caigou.chinatelecom.com.cn/ctsc-portal/ctscPortal" </w:instrText>
      </w:r>
      <w:r>
        <w:rPr>
          <w:rFonts w:ascii="宋体" w:hAnsi="宋体"/>
          <w:szCs w:val="21"/>
          <w:highlight w:val="none"/>
        </w:rPr>
        <w:fldChar w:fldCharType="separate"/>
      </w:r>
      <w:r>
        <w:rPr>
          <w:rFonts w:hint="eastAsia"/>
          <w:szCs w:val="21"/>
          <w:highlight w:val="none"/>
        </w:rPr>
        <w:t>https://caigou.chinatelecom.com.cn/ctsc-portal/ctscPortal</w:t>
      </w:r>
      <w:r>
        <w:rPr>
          <w:rFonts w:ascii="宋体" w:hAnsi="宋体"/>
          <w:szCs w:val="21"/>
          <w:highlight w:val="none"/>
        </w:rPr>
        <w:fldChar w:fldCharType="end"/>
      </w:r>
      <w:r>
        <w:rPr>
          <w:rFonts w:hint="eastAsia" w:ascii="宋体" w:hAnsi="宋体"/>
          <w:szCs w:val="21"/>
          <w:highlight w:val="none"/>
        </w:rPr>
        <w:t>） 上发布，其他媒介转载无效。</w:t>
      </w:r>
    </w:p>
    <w:p>
      <w:pPr>
        <w:pStyle w:val="45"/>
        <w:numPr>
          <w:ilvl w:val="0"/>
          <w:numId w:val="3"/>
        </w:numPr>
        <w:adjustRightInd w:val="0"/>
        <w:snapToGrid w:val="0"/>
        <w:spacing w:line="440" w:lineRule="exact"/>
        <w:ind w:firstLineChars="0"/>
        <w:outlineLvl w:val="1"/>
        <w:rPr>
          <w:rFonts w:ascii="宋体" w:hAnsi="宋体"/>
          <w:szCs w:val="21"/>
          <w:highlight w:val="none"/>
        </w:rPr>
      </w:pPr>
      <w:bookmarkStart w:id="19" w:name="_Toc8252"/>
      <w:bookmarkStart w:id="20" w:name="_Toc13712"/>
      <w:r>
        <w:rPr>
          <w:rFonts w:hint="eastAsia" w:ascii="宋体" w:hAnsi="宋体"/>
          <w:b/>
          <w:szCs w:val="21"/>
          <w:highlight w:val="none"/>
        </w:rPr>
        <w:t>参选人注册</w:t>
      </w:r>
      <w:bookmarkEnd w:id="19"/>
      <w:bookmarkEnd w:id="20"/>
    </w:p>
    <w:p>
      <w:pPr>
        <w:pStyle w:val="45"/>
        <w:adjustRightInd w:val="0"/>
        <w:snapToGrid w:val="0"/>
        <w:spacing w:line="400" w:lineRule="exact"/>
        <w:ind w:firstLine="424" w:firstLineChars="202"/>
        <w:rPr>
          <w:rFonts w:ascii="宋体" w:hAnsi="宋体"/>
          <w:szCs w:val="21"/>
          <w:highlight w:val="none"/>
        </w:rPr>
      </w:pPr>
      <w:r>
        <w:rPr>
          <w:rFonts w:hint="eastAsia" w:ascii="宋体" w:hAnsi="宋体"/>
          <w:szCs w:val="21"/>
          <w:highlight w:val="none"/>
          <w:lang w:val="en-US" w:eastAsia="zh-CN"/>
        </w:rPr>
        <w:t>8</w:t>
      </w:r>
      <w:r>
        <w:rPr>
          <w:rFonts w:hint="eastAsia" w:ascii="宋体" w:hAnsi="宋体"/>
          <w:szCs w:val="21"/>
          <w:highlight w:val="none"/>
        </w:rPr>
        <w:t>.1</w:t>
      </w:r>
      <w:r>
        <w:rPr>
          <w:rFonts w:hint="eastAsia"/>
          <w:kern w:val="0"/>
          <w:highlight w:val="none"/>
        </w:rPr>
        <w:t>中国电信供应链系统（</w:t>
      </w:r>
      <w:r>
        <w:rPr>
          <w:rFonts w:hint="eastAsia" w:asciiTheme="minorEastAsia" w:hAnsiTheme="minorEastAsia" w:eastAsiaTheme="minorEastAsia"/>
          <w:kern w:val="0"/>
          <w:highlight w:val="none"/>
        </w:rPr>
        <w:t>CTSC</w:t>
      </w:r>
      <w:r>
        <w:rPr>
          <w:rFonts w:hint="eastAsia"/>
          <w:kern w:val="0"/>
          <w:highlight w:val="none"/>
        </w:rPr>
        <w:t>）</w:t>
      </w:r>
      <w:r>
        <w:rPr>
          <w:rFonts w:hint="eastAsia" w:asciiTheme="minorEastAsia" w:hAnsiTheme="minorEastAsia" w:eastAsiaTheme="minorEastAsia"/>
          <w:kern w:val="0"/>
          <w:highlight w:val="none"/>
        </w:rPr>
        <w:t>注册</w:t>
      </w:r>
    </w:p>
    <w:p>
      <w:pPr>
        <w:wordWrap w:val="0"/>
        <w:adjustRightInd w:val="0"/>
        <w:snapToGrid w:val="0"/>
        <w:spacing w:line="440" w:lineRule="exact"/>
        <w:ind w:firstLine="417" w:firstLineChars="199"/>
        <w:rPr>
          <w:rFonts w:asciiTheme="minorEastAsia" w:hAnsiTheme="minorEastAsia" w:eastAsiaTheme="minorEastAsia"/>
          <w:highlight w:val="none"/>
        </w:rPr>
      </w:pPr>
      <w:r>
        <w:rPr>
          <w:rFonts w:hint="eastAsia" w:asciiTheme="minorEastAsia" w:hAnsiTheme="minorEastAsia" w:eastAsiaTheme="minorEastAsia"/>
          <w:highlight w:val="none"/>
        </w:rPr>
        <w:t>已在中国电信阳光采购网或中国电信电子采购系统注册过的潜在参选人可通过原账号密码登录</w:t>
      </w:r>
      <w:r>
        <w:rPr>
          <w:rFonts w:hint="eastAsia"/>
          <w:highlight w:val="none"/>
        </w:rPr>
        <w:t>中国电信供应链系统（</w:t>
      </w:r>
      <w:r>
        <w:rPr>
          <w:rFonts w:hint="eastAsia" w:asciiTheme="minorEastAsia" w:hAnsiTheme="minorEastAsia" w:eastAsiaTheme="minorEastAsia"/>
          <w:highlight w:val="none"/>
        </w:rPr>
        <w:t>CTSC</w:t>
      </w:r>
      <w:r>
        <w:rPr>
          <w:rFonts w:hint="eastAsia"/>
          <w:highlight w:val="none"/>
        </w:rPr>
        <w:t>）（</w:t>
      </w:r>
      <w:r>
        <w:rPr>
          <w:rFonts w:hint="eastAsia" w:asciiTheme="minorEastAsia" w:hAnsiTheme="minorEastAsia" w:eastAsiaTheme="minorEastAsia"/>
          <w:highlight w:val="none"/>
        </w:rPr>
        <w:t>https://caigou.chinatelecom.com.cn/ctsc-portal/ctscPortal</w:t>
      </w:r>
      <w:r>
        <w:rPr>
          <w:rFonts w:hint="eastAsia"/>
          <w:highlight w:val="none"/>
        </w:rPr>
        <w:t>）后在“工作台</w:t>
      </w:r>
      <w:r>
        <w:rPr>
          <w:highlight w:val="none"/>
        </w:rPr>
        <w:t>-</w:t>
      </w:r>
      <w:r>
        <w:rPr>
          <w:rFonts w:hint="eastAsia"/>
          <w:highlight w:val="none"/>
        </w:rPr>
        <w:t>在线投标”模块</w:t>
      </w:r>
      <w:r>
        <w:rPr>
          <w:rFonts w:hint="eastAsia" w:asciiTheme="minorEastAsia" w:hAnsiTheme="minorEastAsia" w:eastAsiaTheme="minorEastAsia"/>
          <w:highlight w:val="none"/>
        </w:rPr>
        <w:t>申领本项目比选文件。</w:t>
      </w:r>
    </w:p>
    <w:p>
      <w:pPr>
        <w:pStyle w:val="45"/>
        <w:adjustRightInd w:val="0"/>
        <w:snapToGrid w:val="0"/>
        <w:spacing w:line="400" w:lineRule="exact"/>
        <w:ind w:firstLine="424" w:firstLineChars="202"/>
        <w:rPr>
          <w:rFonts w:ascii="宋体" w:hAnsi="宋体"/>
          <w:szCs w:val="21"/>
          <w:highlight w:val="none"/>
        </w:rPr>
      </w:pPr>
      <w:r>
        <w:rPr>
          <w:rFonts w:hint="eastAsia" w:asciiTheme="minorEastAsia" w:hAnsiTheme="minorEastAsia" w:eastAsiaTheme="minorEastAsia"/>
          <w:kern w:val="0"/>
          <w:highlight w:val="none"/>
        </w:rPr>
        <w:t>未在中国电信阳光采购网或中国电信电子采购系统注册过的潜在参选人，请直接</w:t>
      </w:r>
      <w:r>
        <w:rPr>
          <w:rFonts w:hint="eastAsia" w:ascii="宋体" w:hAnsi="宋体"/>
          <w:spacing w:val="2"/>
          <w:kern w:val="0"/>
          <w:szCs w:val="21"/>
          <w:highlight w:val="none"/>
        </w:rPr>
        <w:t>在</w:t>
      </w:r>
      <w:r>
        <w:rPr>
          <w:rFonts w:hint="eastAsia"/>
          <w:kern w:val="0"/>
          <w:highlight w:val="none"/>
        </w:rPr>
        <w:t>中国电信供应链系统（</w:t>
      </w:r>
      <w:r>
        <w:rPr>
          <w:rFonts w:hint="eastAsia" w:asciiTheme="minorEastAsia" w:hAnsiTheme="minorEastAsia" w:eastAsiaTheme="minorEastAsia"/>
          <w:kern w:val="0"/>
          <w:highlight w:val="none"/>
        </w:rPr>
        <w:t>CTSC</w:t>
      </w:r>
      <w:r>
        <w:rPr>
          <w:rFonts w:hint="eastAsia"/>
          <w:kern w:val="0"/>
          <w:highlight w:val="none"/>
        </w:rPr>
        <w:t>）（</w:t>
      </w:r>
      <w:r>
        <w:rPr>
          <w:rFonts w:hint="eastAsia" w:asciiTheme="minorEastAsia" w:hAnsiTheme="minorEastAsia" w:eastAsiaTheme="minorEastAsia"/>
          <w:kern w:val="0"/>
          <w:highlight w:val="none"/>
        </w:rPr>
        <w:t>https://caigou.chinatelecom.com.cn/ctsc-portal/ctscPortal</w:t>
      </w:r>
      <w:r>
        <w:rPr>
          <w:rFonts w:hint="eastAsia"/>
          <w:kern w:val="0"/>
          <w:highlight w:val="none"/>
        </w:rPr>
        <w:t>）</w:t>
      </w:r>
      <w:r>
        <w:rPr>
          <w:rFonts w:hint="eastAsia" w:ascii="宋体" w:hAnsi="宋体"/>
          <w:kern w:val="0"/>
          <w:highlight w:val="none"/>
        </w:rPr>
        <w:t>首页</w:t>
      </w:r>
      <w:r>
        <w:rPr>
          <w:rFonts w:hint="eastAsia" w:asciiTheme="minorEastAsia" w:hAnsiTheme="minorEastAsia" w:eastAsiaTheme="minorEastAsia"/>
          <w:kern w:val="0"/>
          <w:highlight w:val="none"/>
        </w:rPr>
        <w:t>完成注册后，方可申领本项目比选文件。</w:t>
      </w:r>
    </w:p>
    <w:p>
      <w:pPr>
        <w:pStyle w:val="45"/>
        <w:adjustRightInd w:val="0"/>
        <w:snapToGrid w:val="0"/>
        <w:spacing w:line="400" w:lineRule="exact"/>
        <w:ind w:firstLine="424" w:firstLineChars="202"/>
        <w:rPr>
          <w:rFonts w:ascii="宋体" w:hAnsi="宋体"/>
          <w:szCs w:val="21"/>
          <w:highlight w:val="none"/>
        </w:rPr>
      </w:pPr>
      <w:r>
        <w:rPr>
          <w:rFonts w:hint="eastAsia" w:ascii="宋体" w:hAnsi="宋体"/>
          <w:szCs w:val="21"/>
          <w:highlight w:val="none"/>
          <w:lang w:val="en-US" w:eastAsia="zh-CN"/>
        </w:rPr>
        <w:t>8</w:t>
      </w:r>
      <w:r>
        <w:rPr>
          <w:rFonts w:ascii="宋体" w:hAnsi="宋体"/>
          <w:szCs w:val="21"/>
          <w:highlight w:val="none"/>
        </w:rPr>
        <w:t xml:space="preserve">.2 </w:t>
      </w:r>
      <w:r>
        <w:rPr>
          <w:rFonts w:hint="eastAsia" w:ascii="宋体" w:hAnsi="宋体"/>
          <w:szCs w:val="21"/>
          <w:highlight w:val="none"/>
        </w:rPr>
        <w:t>CA证书办理</w:t>
      </w:r>
    </w:p>
    <w:p>
      <w:pPr>
        <w:pStyle w:val="45"/>
        <w:adjustRightInd w:val="0"/>
        <w:snapToGrid w:val="0"/>
        <w:spacing w:line="400" w:lineRule="exact"/>
        <w:ind w:firstLine="432" w:firstLineChars="202"/>
        <w:rPr>
          <w:rFonts w:ascii="宋体" w:hAnsi="宋体"/>
          <w:szCs w:val="21"/>
          <w:highlight w:val="none"/>
        </w:rPr>
      </w:pPr>
      <w:r>
        <w:rPr>
          <w:rFonts w:hint="eastAsia" w:asciiTheme="minorEastAsia" w:hAnsiTheme="minorEastAsia" w:eastAsiaTheme="minorEastAsia"/>
          <w:spacing w:val="2"/>
          <w:kern w:val="0"/>
          <w:szCs w:val="21"/>
          <w:highlight w:val="none"/>
        </w:rPr>
        <w:t>参与电子采购的潜在参选人须提前办理CA证书进行电子参选文件编制和参选，并确保CA证书在使用时有效。CA证书办理流程</w:t>
      </w:r>
      <w:r>
        <w:rPr>
          <w:rFonts w:hint="eastAsia" w:asciiTheme="minorEastAsia" w:hAnsiTheme="minorEastAsia" w:eastAsiaTheme="minorEastAsia"/>
          <w:kern w:val="0"/>
          <w:szCs w:val="21"/>
          <w:highlight w:val="none"/>
        </w:rPr>
        <w:t>详见</w:t>
      </w:r>
      <w:r>
        <w:rPr>
          <w:rFonts w:hint="eastAsia"/>
          <w:kern w:val="0"/>
          <w:highlight w:val="none"/>
        </w:rPr>
        <w:t>中国电信供应链系统（</w:t>
      </w:r>
      <w:r>
        <w:rPr>
          <w:rFonts w:hint="eastAsia" w:asciiTheme="minorEastAsia" w:hAnsiTheme="minorEastAsia" w:eastAsiaTheme="minorEastAsia"/>
          <w:kern w:val="0"/>
          <w:highlight w:val="none"/>
        </w:rPr>
        <w:t>CTSC</w:t>
      </w:r>
      <w:r>
        <w:rPr>
          <w:rFonts w:hint="eastAsia"/>
          <w:kern w:val="0"/>
          <w:highlight w:val="none"/>
        </w:rPr>
        <w:t>）</w:t>
      </w:r>
      <w:r>
        <w:rPr>
          <w:rFonts w:hint="eastAsia" w:asciiTheme="minorEastAsia" w:hAnsiTheme="minorEastAsia" w:eastAsiaTheme="minorEastAsia"/>
          <w:kern w:val="0"/>
          <w:highlight w:val="none"/>
        </w:rPr>
        <w:t>“帮助与支持-CA办理”。</w:t>
      </w:r>
      <w:r>
        <w:rPr>
          <w:rFonts w:hint="eastAsia" w:ascii="宋体" w:hAnsi="宋体"/>
          <w:szCs w:val="21"/>
          <w:highlight w:val="none"/>
        </w:rPr>
        <w:t>请参选人尽快办理CA证书，否则将影响参选文件的编制、加密、上传等工作。</w:t>
      </w:r>
    </w:p>
    <w:p>
      <w:pPr>
        <w:pStyle w:val="45"/>
        <w:adjustRightInd w:val="0"/>
        <w:snapToGrid w:val="0"/>
        <w:spacing w:line="400" w:lineRule="exact"/>
        <w:ind w:firstLine="424" w:firstLineChars="202"/>
        <w:rPr>
          <w:rFonts w:ascii="宋体" w:hAnsi="宋体"/>
          <w:szCs w:val="21"/>
          <w:highlight w:val="none"/>
        </w:rPr>
      </w:pPr>
      <w:r>
        <w:rPr>
          <w:rFonts w:hint="eastAsia" w:ascii="宋体" w:hAnsi="宋体"/>
          <w:szCs w:val="21"/>
          <w:highlight w:val="none"/>
          <w:lang w:val="en-US" w:eastAsia="zh-CN"/>
        </w:rPr>
        <w:t>8</w:t>
      </w:r>
      <w:r>
        <w:rPr>
          <w:rFonts w:ascii="宋体" w:hAnsi="宋体"/>
          <w:szCs w:val="21"/>
          <w:highlight w:val="none"/>
        </w:rPr>
        <w:t xml:space="preserve">.3 </w:t>
      </w:r>
      <w:r>
        <w:rPr>
          <w:rFonts w:hint="eastAsia" w:ascii="宋体" w:hAnsi="宋体"/>
          <w:szCs w:val="21"/>
          <w:highlight w:val="none"/>
        </w:rPr>
        <w:t>技术支撑联系方式</w:t>
      </w:r>
    </w:p>
    <w:p>
      <w:pPr>
        <w:pStyle w:val="45"/>
        <w:wordWrap w:val="0"/>
        <w:adjustRightInd w:val="0"/>
        <w:snapToGrid w:val="0"/>
        <w:spacing w:line="440" w:lineRule="exact"/>
        <w:ind w:left="2" w:firstLine="424" w:firstLineChars="202"/>
        <w:rPr>
          <w:rFonts w:asciiTheme="minorEastAsia" w:hAnsiTheme="minorEastAsia" w:eastAsiaTheme="minorEastAsia"/>
          <w:spacing w:val="2"/>
          <w:szCs w:val="21"/>
          <w:highlight w:val="none"/>
        </w:rPr>
      </w:pPr>
      <w:r>
        <w:rPr>
          <w:rFonts w:hint="eastAsia" w:cs="宋体" w:asciiTheme="minorEastAsia" w:hAnsiTheme="minorEastAsia" w:eastAsiaTheme="minorEastAsia"/>
          <w:kern w:val="0"/>
          <w:szCs w:val="21"/>
          <w:highlight w:val="none"/>
        </w:rPr>
        <w:t>电子采购系统技术支撑：服务热线4008227188，服务邮箱zb_support@chinatelecom.cn。</w:t>
      </w:r>
    </w:p>
    <w:p>
      <w:pPr>
        <w:pStyle w:val="45"/>
        <w:wordWrap w:val="0"/>
        <w:adjustRightInd w:val="0"/>
        <w:snapToGrid w:val="0"/>
        <w:spacing w:line="440" w:lineRule="exact"/>
        <w:jc w:val="left"/>
        <w:rPr>
          <w:rFonts w:hint="eastAsia" w:ascii="宋体" w:hAnsi="宋体" w:eastAsiaTheme="minorEastAsia"/>
          <w:szCs w:val="21"/>
          <w:highlight w:val="none"/>
          <w:lang w:eastAsia="zh-CN"/>
        </w:rPr>
      </w:pPr>
      <w:r>
        <w:rPr>
          <w:rFonts w:hint="eastAsia" w:cs="宋体" w:asciiTheme="minorEastAsia" w:hAnsiTheme="minorEastAsia" w:eastAsiaTheme="minorEastAsia"/>
          <w:kern w:val="0"/>
          <w:szCs w:val="21"/>
          <w:highlight w:val="none"/>
        </w:rPr>
        <w:t>CA证书办理技术支撑：服务热线010-82205275/020-83821931/020-83829625，服务邮箱bfdzyzzy.gyl@chinaccs.cn</w:t>
      </w:r>
    </w:p>
    <w:p>
      <w:pPr>
        <w:pStyle w:val="45"/>
        <w:numPr>
          <w:ilvl w:val="0"/>
          <w:numId w:val="3"/>
        </w:numPr>
        <w:adjustRightInd w:val="0"/>
        <w:snapToGrid w:val="0"/>
        <w:spacing w:line="440" w:lineRule="exact"/>
        <w:ind w:firstLineChars="0"/>
        <w:outlineLvl w:val="1"/>
        <w:rPr>
          <w:rFonts w:ascii="宋体" w:hAnsi="宋体"/>
          <w:b/>
          <w:szCs w:val="21"/>
          <w:highlight w:val="none"/>
        </w:rPr>
      </w:pPr>
      <w:bookmarkStart w:id="21" w:name="_Toc15145"/>
      <w:bookmarkStart w:id="22" w:name="_Toc8240"/>
      <w:bookmarkStart w:id="23" w:name="_Toc71243618"/>
      <w:r>
        <w:rPr>
          <w:rFonts w:hint="eastAsia" w:ascii="宋体" w:hAnsi="宋体"/>
          <w:b/>
          <w:szCs w:val="21"/>
          <w:highlight w:val="none"/>
        </w:rPr>
        <w:t>异议接收及联系方式</w:t>
      </w:r>
      <w:bookmarkEnd w:id="21"/>
      <w:bookmarkEnd w:id="22"/>
      <w:bookmarkEnd w:id="23"/>
    </w:p>
    <w:p>
      <w:pPr>
        <w:pStyle w:val="45"/>
        <w:spacing w:line="400" w:lineRule="exact"/>
        <w:ind w:left="425" w:firstLine="0" w:firstLineChars="0"/>
        <w:rPr>
          <w:rFonts w:ascii="宋体" w:hAnsi="宋体"/>
          <w:highlight w:val="none"/>
        </w:rPr>
      </w:pPr>
      <w:r>
        <w:rPr>
          <w:rFonts w:hint="eastAsia" w:ascii="宋体" w:hAnsi="宋体"/>
          <w:highlight w:val="none"/>
          <w:lang w:val="en-US" w:eastAsia="zh-CN"/>
        </w:rPr>
        <w:t>9</w:t>
      </w:r>
      <w:r>
        <w:rPr>
          <w:rFonts w:hint="eastAsia" w:ascii="宋体" w:hAnsi="宋体"/>
          <w:highlight w:val="none"/>
        </w:rPr>
        <w:t>.1联系方式</w:t>
      </w:r>
    </w:p>
    <w:p>
      <w:pPr>
        <w:pStyle w:val="45"/>
        <w:spacing w:line="400" w:lineRule="exact"/>
        <w:ind w:left="425" w:firstLine="0" w:firstLineChars="0"/>
        <w:rPr>
          <w:rFonts w:ascii="宋体" w:hAnsi="宋体"/>
          <w:highlight w:val="none"/>
        </w:rPr>
      </w:pPr>
      <w:r>
        <w:rPr>
          <w:rFonts w:hint="eastAsia" w:ascii="宋体" w:hAnsi="宋体"/>
          <w:highlight w:val="none"/>
        </w:rPr>
        <w:t xml:space="preserve">比 选 人：中国电信股份有限公司湛江分公司 </w:t>
      </w:r>
    </w:p>
    <w:p>
      <w:pPr>
        <w:pStyle w:val="45"/>
        <w:spacing w:line="400" w:lineRule="exact"/>
        <w:ind w:left="425" w:firstLine="0" w:firstLineChars="0"/>
        <w:rPr>
          <w:rFonts w:ascii="宋体" w:hAnsi="宋体"/>
          <w:highlight w:val="none"/>
        </w:rPr>
      </w:pPr>
      <w:r>
        <w:rPr>
          <w:rFonts w:hint="eastAsia" w:ascii="宋体" w:hAnsi="宋体"/>
          <w:highlight w:val="none"/>
        </w:rPr>
        <w:t xml:space="preserve">地    址：湛江市霞山区人民大道中55号  </w:t>
      </w:r>
    </w:p>
    <w:p>
      <w:pPr>
        <w:pStyle w:val="45"/>
        <w:spacing w:line="400" w:lineRule="exact"/>
        <w:ind w:left="425" w:firstLine="0" w:firstLineChars="0"/>
        <w:rPr>
          <w:rFonts w:hint="eastAsia" w:ascii="宋体" w:hAnsi="宋体" w:eastAsia="宋体"/>
          <w:highlight w:val="none"/>
          <w:lang w:val="en-US" w:eastAsia="zh-CN"/>
        </w:rPr>
      </w:pPr>
      <w:r>
        <w:rPr>
          <w:rFonts w:hint="eastAsia" w:ascii="宋体" w:hAnsi="宋体"/>
          <w:highlight w:val="none"/>
        </w:rPr>
        <w:t xml:space="preserve">联 系 人： </w:t>
      </w:r>
      <w:r>
        <w:rPr>
          <w:rFonts w:hint="eastAsia" w:ascii="宋体" w:hAnsi="宋体"/>
          <w:highlight w:val="none"/>
          <w:lang w:val="en-US" w:eastAsia="zh-CN"/>
        </w:rPr>
        <w:t>李若若</w:t>
      </w:r>
    </w:p>
    <w:p>
      <w:pPr>
        <w:pStyle w:val="45"/>
        <w:spacing w:line="400" w:lineRule="exact"/>
        <w:ind w:left="425" w:firstLine="0" w:firstLineChars="0"/>
        <w:rPr>
          <w:rFonts w:ascii="宋体" w:hAnsi="宋体"/>
          <w:highlight w:val="none"/>
        </w:rPr>
      </w:pPr>
      <w:r>
        <w:rPr>
          <w:rFonts w:hint="eastAsia" w:ascii="宋体" w:hAnsi="宋体"/>
          <w:highlight w:val="none"/>
        </w:rPr>
        <w:t xml:space="preserve">电    话： </w:t>
      </w:r>
      <w:r>
        <w:rPr>
          <w:rFonts w:hint="eastAsia"/>
          <w:szCs w:val="21"/>
          <w:highlight w:val="none"/>
        </w:rPr>
        <w:t>0759</w:t>
      </w:r>
      <w:r>
        <w:rPr>
          <w:rFonts w:hint="eastAsia"/>
          <w:szCs w:val="21"/>
          <w:highlight w:val="none"/>
          <w:lang w:val="en-US" w:eastAsia="zh-CN"/>
        </w:rPr>
        <w:t>-</w:t>
      </w:r>
      <w:r>
        <w:rPr>
          <w:rFonts w:hint="eastAsia"/>
          <w:szCs w:val="21"/>
          <w:highlight w:val="none"/>
        </w:rPr>
        <w:t>3387777</w:t>
      </w:r>
    </w:p>
    <w:p>
      <w:pPr>
        <w:pStyle w:val="45"/>
        <w:spacing w:line="400" w:lineRule="exact"/>
        <w:ind w:left="425" w:firstLine="0" w:firstLineChars="0"/>
        <w:rPr>
          <w:rFonts w:ascii="宋体" w:hAnsi="宋体"/>
          <w:highlight w:val="none"/>
        </w:rPr>
      </w:pPr>
      <w:r>
        <w:rPr>
          <w:rFonts w:hint="eastAsia" w:ascii="宋体" w:hAnsi="宋体"/>
          <w:highlight w:val="none"/>
        </w:rPr>
        <w:t xml:space="preserve">电子邮件： </w:t>
      </w:r>
      <w:r>
        <w:rPr>
          <w:rFonts w:hint="eastAsia"/>
          <w:szCs w:val="21"/>
          <w:highlight w:val="none"/>
          <w:lang w:val="en-US" w:eastAsia="zh-CN"/>
        </w:rPr>
        <w:t>liruoruo.gd@chinatelecom.cn</w:t>
      </w:r>
      <w:r>
        <w:rPr>
          <w:rFonts w:hint="eastAsia" w:ascii="宋体" w:hAnsi="宋体"/>
          <w:highlight w:val="none"/>
        </w:rPr>
        <w:t xml:space="preserve">                             </w:t>
      </w:r>
    </w:p>
    <w:p>
      <w:pPr>
        <w:pStyle w:val="45"/>
        <w:spacing w:line="400" w:lineRule="exact"/>
        <w:ind w:left="425" w:firstLine="0" w:firstLineChars="0"/>
        <w:rPr>
          <w:rFonts w:ascii="宋体" w:hAnsi="宋体"/>
          <w:highlight w:val="none"/>
        </w:rPr>
      </w:pPr>
      <w:r>
        <w:rPr>
          <w:rFonts w:hint="eastAsia" w:ascii="宋体" w:hAnsi="宋体"/>
          <w:highlight w:val="none"/>
        </w:rPr>
        <w:t>比选代理机构：中捷通信有限公司</w:t>
      </w:r>
    </w:p>
    <w:p>
      <w:pPr>
        <w:pStyle w:val="45"/>
        <w:spacing w:line="400" w:lineRule="exact"/>
        <w:ind w:left="425" w:firstLine="0" w:firstLineChars="0"/>
        <w:rPr>
          <w:rFonts w:ascii="宋体" w:hAnsi="宋体"/>
          <w:highlight w:val="none"/>
        </w:rPr>
      </w:pPr>
      <w:r>
        <w:rPr>
          <w:rFonts w:hint="eastAsia" w:ascii="宋体" w:hAnsi="宋体"/>
          <w:highlight w:val="none"/>
        </w:rPr>
        <w:t>地    址：广东省广州市越秀区较场西路21号</w:t>
      </w:r>
    </w:p>
    <w:p>
      <w:pPr>
        <w:pStyle w:val="45"/>
        <w:spacing w:line="400" w:lineRule="exact"/>
        <w:ind w:left="425" w:firstLine="0" w:firstLineChars="0"/>
        <w:rPr>
          <w:rFonts w:ascii="宋体" w:hAnsi="宋体"/>
          <w:highlight w:val="none"/>
        </w:rPr>
      </w:pPr>
      <w:r>
        <w:rPr>
          <w:rFonts w:hint="eastAsia" w:ascii="宋体" w:hAnsi="宋体"/>
          <w:highlight w:val="none"/>
        </w:rPr>
        <w:t>邮    编：510055</w:t>
      </w:r>
    </w:p>
    <w:p>
      <w:pPr>
        <w:pStyle w:val="45"/>
        <w:spacing w:line="400" w:lineRule="exact"/>
        <w:ind w:left="425" w:firstLine="0" w:firstLineChars="0"/>
        <w:rPr>
          <w:rFonts w:hint="eastAsia" w:ascii="宋体" w:hAnsi="宋体" w:eastAsia="宋体"/>
          <w:highlight w:val="none"/>
          <w:lang w:eastAsia="zh-CN"/>
        </w:rPr>
      </w:pPr>
      <w:r>
        <w:rPr>
          <w:rFonts w:hint="eastAsia" w:ascii="宋体" w:hAnsi="宋体"/>
          <w:highlight w:val="none"/>
        </w:rPr>
        <w:t>项目负责人：</w:t>
      </w:r>
      <w:r>
        <w:rPr>
          <w:rFonts w:hint="eastAsia" w:ascii="宋体" w:hAnsi="宋体"/>
          <w:szCs w:val="21"/>
          <w:highlight w:val="none"/>
          <w:u w:val="single"/>
          <w:lang w:val="en-US" w:eastAsia="zh-CN"/>
        </w:rPr>
        <w:t>黎荐</w:t>
      </w:r>
    </w:p>
    <w:p>
      <w:pPr>
        <w:pStyle w:val="45"/>
        <w:spacing w:line="400" w:lineRule="exact"/>
        <w:ind w:left="425" w:firstLine="0" w:firstLineChars="0"/>
        <w:rPr>
          <w:rFonts w:ascii="宋体" w:hAnsi="宋体"/>
          <w:highlight w:val="none"/>
        </w:rPr>
      </w:pPr>
      <w:r>
        <w:rPr>
          <w:rFonts w:hint="eastAsia" w:ascii="宋体" w:hAnsi="宋体"/>
          <w:highlight w:val="none"/>
        </w:rPr>
        <w:t>联 系 人：</w:t>
      </w:r>
      <w:r>
        <w:rPr>
          <w:rFonts w:hint="eastAsia" w:ascii="宋体" w:hAnsi="宋体"/>
          <w:szCs w:val="21"/>
          <w:highlight w:val="none"/>
          <w:u w:val="single"/>
          <w:lang w:val="en-US" w:eastAsia="zh-CN"/>
        </w:rPr>
        <w:t>余思慧、黎荐</w:t>
      </w:r>
      <w:r>
        <w:rPr>
          <w:rFonts w:hint="eastAsia" w:ascii="宋体" w:hAnsi="宋体"/>
          <w:highlight w:val="none"/>
        </w:rPr>
        <w:t xml:space="preserve">                                </w:t>
      </w:r>
    </w:p>
    <w:p>
      <w:pPr>
        <w:pStyle w:val="45"/>
        <w:spacing w:line="400" w:lineRule="exact"/>
        <w:ind w:left="425" w:firstLine="0" w:firstLineChars="0"/>
        <w:rPr>
          <w:rFonts w:ascii="宋体" w:hAnsi="宋体"/>
          <w:highlight w:val="none"/>
        </w:rPr>
      </w:pPr>
      <w:r>
        <w:rPr>
          <w:rFonts w:hint="eastAsia" w:ascii="宋体" w:hAnsi="宋体"/>
          <w:highlight w:val="none"/>
        </w:rPr>
        <w:t>电    话：</w:t>
      </w:r>
      <w:bookmarkStart w:id="24" w:name="_Hlk63549304"/>
      <w:r>
        <w:rPr>
          <w:rFonts w:hint="eastAsia" w:ascii="宋体" w:hAnsi="宋体"/>
          <w:szCs w:val="21"/>
          <w:highlight w:val="none"/>
          <w:u w:val="single"/>
        </w:rPr>
        <w:t>1778885</w:t>
      </w:r>
      <w:r>
        <w:rPr>
          <w:rFonts w:hint="eastAsia" w:ascii="宋体" w:hAnsi="宋体"/>
          <w:szCs w:val="21"/>
          <w:highlight w:val="none"/>
          <w:u w:val="single"/>
          <w:lang w:val="en-US" w:eastAsia="zh-CN"/>
        </w:rPr>
        <w:t>6800</w:t>
      </w:r>
      <w:r>
        <w:rPr>
          <w:rFonts w:hint="eastAsia" w:ascii="宋体" w:hAnsi="宋体"/>
          <w:szCs w:val="21"/>
          <w:highlight w:val="none"/>
          <w:u w:val="single"/>
        </w:rPr>
        <w:t>、</w:t>
      </w:r>
      <w:bookmarkEnd w:id="24"/>
      <w:r>
        <w:rPr>
          <w:rFonts w:ascii="宋体" w:hAnsi="宋体"/>
          <w:szCs w:val="21"/>
          <w:highlight w:val="none"/>
          <w:u w:val="single"/>
        </w:rPr>
        <w:t>15382698319</w:t>
      </w:r>
    </w:p>
    <w:p>
      <w:pPr>
        <w:pStyle w:val="45"/>
        <w:spacing w:line="400" w:lineRule="exact"/>
        <w:ind w:left="425" w:firstLine="0" w:firstLineChars="0"/>
        <w:rPr>
          <w:rFonts w:hint="eastAsia" w:ascii="宋体" w:hAnsi="宋体"/>
          <w:szCs w:val="21"/>
          <w:highlight w:val="none"/>
          <w:u w:val="single"/>
        </w:rPr>
      </w:pPr>
      <w:r>
        <w:rPr>
          <w:rFonts w:hint="eastAsia" w:ascii="宋体" w:hAnsi="宋体"/>
          <w:highlight w:val="none"/>
        </w:rPr>
        <w:t>电子邮件：</w:t>
      </w:r>
      <w:bookmarkStart w:id="25" w:name="_Hlk63549310"/>
      <w:r>
        <w:rPr>
          <w:rFonts w:hint="eastAsia" w:ascii="宋体" w:hAnsi="宋体"/>
          <w:szCs w:val="21"/>
          <w:highlight w:val="none"/>
          <w:u w:val="single"/>
        </w:rPr>
        <w:fldChar w:fldCharType="begin"/>
      </w:r>
      <w:r>
        <w:rPr>
          <w:rFonts w:hint="eastAsia" w:ascii="宋体" w:hAnsi="宋体"/>
          <w:szCs w:val="21"/>
          <w:highlight w:val="none"/>
          <w:u w:val="single"/>
        </w:rPr>
        <w:instrText xml:space="preserve"> HYPERLINK "mailto:lijian2@chinaccs.cn" </w:instrText>
      </w:r>
      <w:r>
        <w:rPr>
          <w:rFonts w:hint="eastAsia" w:ascii="宋体" w:hAnsi="宋体"/>
          <w:szCs w:val="21"/>
          <w:highlight w:val="none"/>
          <w:u w:val="single"/>
        </w:rPr>
        <w:fldChar w:fldCharType="separate"/>
      </w:r>
      <w:r>
        <w:rPr>
          <w:rStyle w:val="42"/>
          <w:rFonts w:hint="eastAsia" w:ascii="宋体" w:hAnsi="宋体"/>
          <w:szCs w:val="21"/>
          <w:highlight w:val="none"/>
          <w:lang w:val="en-US" w:eastAsia="zh-CN"/>
        </w:rPr>
        <w:t>lijian2</w:t>
      </w:r>
      <w:r>
        <w:rPr>
          <w:rStyle w:val="42"/>
          <w:rFonts w:hint="eastAsia" w:ascii="宋体" w:hAnsi="宋体"/>
          <w:szCs w:val="21"/>
          <w:highlight w:val="none"/>
        </w:rPr>
        <w:t>@chinaccs.cn</w:t>
      </w:r>
      <w:bookmarkEnd w:id="25"/>
      <w:r>
        <w:rPr>
          <w:rFonts w:hint="eastAsia" w:ascii="宋体" w:hAnsi="宋体"/>
          <w:szCs w:val="21"/>
          <w:highlight w:val="none"/>
          <w:u w:val="single"/>
        </w:rPr>
        <w:fldChar w:fldCharType="end"/>
      </w:r>
    </w:p>
    <w:p>
      <w:pPr>
        <w:spacing w:line="400" w:lineRule="exact"/>
        <w:ind w:firstLine="420" w:firstLineChars="200"/>
        <w:jc w:val="left"/>
        <w:rPr>
          <w:rFonts w:ascii="宋体" w:hAnsi="宋体"/>
          <w:highlight w:val="none"/>
        </w:rPr>
      </w:pPr>
      <w:r>
        <w:rPr>
          <w:rFonts w:hint="eastAsia" w:ascii="宋体" w:hAnsi="宋体"/>
          <w:highlight w:val="none"/>
        </w:rPr>
        <w:t>获取比选文件联系人：陈嘉怡</w:t>
      </w:r>
    </w:p>
    <w:p>
      <w:pPr>
        <w:spacing w:line="400" w:lineRule="exact"/>
        <w:ind w:firstLine="420" w:firstLineChars="200"/>
        <w:jc w:val="left"/>
        <w:rPr>
          <w:rFonts w:ascii="宋体" w:hAnsi="宋体"/>
          <w:highlight w:val="none"/>
        </w:rPr>
      </w:pPr>
      <w:r>
        <w:rPr>
          <w:rFonts w:hint="eastAsia" w:ascii="宋体" w:hAnsi="宋体"/>
          <w:highlight w:val="none"/>
        </w:rPr>
        <w:t>电话：020-83800940</w:t>
      </w:r>
    </w:p>
    <w:p>
      <w:pPr>
        <w:pStyle w:val="45"/>
        <w:spacing w:line="400" w:lineRule="exact"/>
        <w:ind w:left="425" w:firstLine="0" w:firstLineChars="0"/>
        <w:rPr>
          <w:rFonts w:hint="eastAsia" w:ascii="宋体" w:hAnsi="宋体"/>
          <w:szCs w:val="21"/>
          <w:highlight w:val="none"/>
          <w:u w:val="single"/>
        </w:rPr>
      </w:pPr>
      <w:r>
        <w:rPr>
          <w:rFonts w:hint="eastAsia" w:ascii="宋体" w:hAnsi="宋体"/>
          <w:highlight w:val="none"/>
        </w:rPr>
        <w:t>获取比选文件指定电子邮箱：chenjiayi.gyl@chinaccs.cn</w:t>
      </w:r>
    </w:p>
    <w:p>
      <w:pPr>
        <w:pStyle w:val="45"/>
        <w:spacing w:line="400" w:lineRule="exact"/>
        <w:ind w:left="425" w:firstLine="0" w:firstLineChars="0"/>
        <w:rPr>
          <w:rFonts w:ascii="宋体" w:hAnsi="宋体"/>
          <w:highlight w:val="none"/>
        </w:rPr>
      </w:pPr>
      <w:r>
        <w:rPr>
          <w:rFonts w:hint="eastAsia" w:ascii="宋体" w:hAnsi="宋体"/>
          <w:highlight w:val="none"/>
        </w:rPr>
        <w:t>开户银行：中信银行广州花园支行</w:t>
      </w:r>
    </w:p>
    <w:p>
      <w:pPr>
        <w:pStyle w:val="45"/>
        <w:spacing w:line="400" w:lineRule="exact"/>
        <w:ind w:left="425" w:firstLine="0" w:firstLineChars="0"/>
        <w:rPr>
          <w:rFonts w:ascii="宋体" w:hAnsi="宋体"/>
          <w:highlight w:val="none"/>
        </w:rPr>
      </w:pPr>
      <w:r>
        <w:rPr>
          <w:rFonts w:hint="eastAsia" w:ascii="宋体" w:hAnsi="宋体"/>
          <w:highlight w:val="none"/>
        </w:rPr>
        <w:t>账    号：</w:t>
      </w:r>
      <w:r>
        <w:rPr>
          <w:rFonts w:hint="eastAsia" w:ascii="宋体" w:hAnsi="宋体"/>
          <w:highlight w:val="none"/>
          <w:lang w:eastAsia="zh-CN"/>
        </w:rPr>
        <w:t>3110910043850015024</w:t>
      </w:r>
      <w:r>
        <w:rPr>
          <w:rFonts w:hint="eastAsia" w:ascii="宋体" w:hAnsi="宋体"/>
          <w:highlight w:val="none"/>
        </w:rPr>
        <w:t xml:space="preserve">                                </w:t>
      </w:r>
    </w:p>
    <w:p>
      <w:pPr>
        <w:pStyle w:val="45"/>
        <w:spacing w:line="400" w:lineRule="exact"/>
        <w:ind w:firstLine="424" w:firstLineChars="202"/>
        <w:rPr>
          <w:rFonts w:asciiTheme="minorEastAsia" w:hAnsiTheme="minorEastAsia" w:eastAsiaTheme="minorEastAsia"/>
          <w:highlight w:val="none"/>
        </w:rPr>
      </w:pPr>
      <w:r>
        <w:rPr>
          <w:rFonts w:hint="eastAsia" w:asciiTheme="minorEastAsia" w:hAnsiTheme="minorEastAsia" w:eastAsiaTheme="minorEastAsia"/>
          <w:highlight w:val="none"/>
          <w:lang w:val="en-US" w:eastAsia="zh-CN"/>
        </w:rPr>
        <w:t>9</w:t>
      </w:r>
      <w:r>
        <w:rPr>
          <w:rFonts w:hint="eastAsia" w:asciiTheme="minorEastAsia" w:hAnsiTheme="minorEastAsia" w:eastAsiaTheme="minorEastAsia"/>
          <w:highlight w:val="none"/>
        </w:rPr>
        <w:t>.2异议接收方式</w:t>
      </w:r>
    </w:p>
    <w:p>
      <w:pPr>
        <w:autoSpaceDE w:val="0"/>
        <w:autoSpaceDN w:val="0"/>
        <w:spacing w:line="400" w:lineRule="exact"/>
        <w:ind w:firstLine="424" w:firstLineChars="202"/>
        <w:rPr>
          <w:rFonts w:ascii="宋体" w:hAnsi="宋体"/>
          <w:color w:val="3366FF"/>
          <w:szCs w:val="21"/>
          <w:highlight w:val="none"/>
        </w:rPr>
      </w:pPr>
      <w:r>
        <w:rPr>
          <w:rFonts w:hint="eastAsia" w:ascii="宋体" w:hAnsi="宋体"/>
          <w:color w:val="3366FF"/>
          <w:szCs w:val="21"/>
          <w:highlight w:val="none"/>
        </w:rPr>
        <w:t>一级异议处理联系方式：详见比选代理机构联系人及联系方式</w:t>
      </w:r>
    </w:p>
    <w:p>
      <w:pPr>
        <w:autoSpaceDE w:val="0"/>
        <w:autoSpaceDN w:val="0"/>
        <w:spacing w:line="400" w:lineRule="exact"/>
        <w:ind w:firstLine="424" w:firstLineChars="202"/>
        <w:rPr>
          <w:rFonts w:ascii="宋体" w:hAnsi="宋体"/>
          <w:color w:val="3366FF"/>
          <w:szCs w:val="21"/>
          <w:highlight w:val="none"/>
        </w:rPr>
      </w:pPr>
      <w:r>
        <w:rPr>
          <w:rFonts w:hint="eastAsia" w:ascii="宋体" w:hAnsi="宋体"/>
          <w:color w:val="3366FF"/>
          <w:szCs w:val="21"/>
          <w:highlight w:val="none"/>
        </w:rPr>
        <w:t>二级异议处理联系方式：详见比选</w:t>
      </w:r>
      <w:r>
        <w:rPr>
          <w:rFonts w:hint="eastAsia" w:ascii="宋体" w:hAnsi="宋体"/>
          <w:color w:val="3366FF"/>
          <w:szCs w:val="21"/>
          <w:highlight w:val="none"/>
          <w:lang w:val="en-US" w:eastAsia="zh-CN"/>
        </w:rPr>
        <w:t>人</w:t>
      </w:r>
      <w:r>
        <w:rPr>
          <w:rFonts w:hint="eastAsia" w:ascii="宋体" w:hAnsi="宋体"/>
          <w:color w:val="3366FF"/>
          <w:szCs w:val="21"/>
          <w:highlight w:val="none"/>
        </w:rPr>
        <w:t>联系人及联系方式</w:t>
      </w:r>
    </w:p>
    <w:p>
      <w:pPr>
        <w:autoSpaceDE w:val="0"/>
        <w:autoSpaceDN w:val="0"/>
        <w:spacing w:line="400" w:lineRule="exact"/>
        <w:ind w:firstLine="424" w:firstLineChars="202"/>
        <w:rPr>
          <w:rFonts w:ascii="宋体" w:hAnsi="宋体"/>
          <w:color w:val="3366FF"/>
          <w:szCs w:val="21"/>
          <w:highlight w:val="none"/>
        </w:rPr>
      </w:pPr>
      <w:r>
        <w:rPr>
          <w:rFonts w:hint="eastAsia" w:ascii="宋体" w:hAnsi="宋体"/>
          <w:color w:val="3366FF"/>
          <w:szCs w:val="21"/>
          <w:highlight w:val="none"/>
        </w:rPr>
        <w:t>三级异议处理联系方式：</w:t>
      </w:r>
    </w:p>
    <w:p>
      <w:pPr>
        <w:pStyle w:val="45"/>
        <w:spacing w:line="400" w:lineRule="exact"/>
        <w:ind w:firstLine="424" w:firstLineChars="202"/>
        <w:rPr>
          <w:rFonts w:hint="eastAsia" w:ascii="宋体" w:hAnsi="宋体"/>
          <w:color w:val="3366FF"/>
          <w:szCs w:val="21"/>
          <w:highlight w:val="none"/>
        </w:rPr>
      </w:pPr>
      <w:r>
        <w:rPr>
          <w:rFonts w:hint="eastAsia" w:ascii="宋体" w:hAnsi="宋体"/>
          <w:color w:val="3366FF"/>
          <w:szCs w:val="21"/>
          <w:highlight w:val="none"/>
        </w:rPr>
        <w:t>联系人：陈莉</w:t>
      </w:r>
    </w:p>
    <w:p>
      <w:pPr>
        <w:pStyle w:val="45"/>
        <w:spacing w:line="400" w:lineRule="exact"/>
        <w:ind w:firstLine="424" w:firstLineChars="202"/>
        <w:rPr>
          <w:rFonts w:hint="eastAsia" w:ascii="宋体" w:hAnsi="宋体"/>
          <w:color w:val="3366FF"/>
          <w:szCs w:val="21"/>
          <w:highlight w:val="none"/>
        </w:rPr>
      </w:pPr>
      <w:r>
        <w:rPr>
          <w:rFonts w:hint="eastAsia" w:ascii="宋体" w:hAnsi="宋体"/>
          <w:color w:val="3366FF"/>
          <w:szCs w:val="21"/>
          <w:highlight w:val="none"/>
        </w:rPr>
        <w:t>联系电话：0759-3386640</w:t>
      </w:r>
    </w:p>
    <w:p>
      <w:pPr>
        <w:pStyle w:val="45"/>
        <w:spacing w:line="400" w:lineRule="exact"/>
        <w:ind w:firstLine="424" w:firstLineChars="202"/>
        <w:rPr>
          <w:rFonts w:hint="eastAsia" w:ascii="宋体" w:hAnsi="宋体"/>
          <w:color w:val="3366FF"/>
          <w:szCs w:val="21"/>
          <w:highlight w:val="none"/>
        </w:rPr>
      </w:pPr>
      <w:r>
        <w:rPr>
          <w:rFonts w:hint="eastAsia" w:ascii="宋体" w:hAnsi="宋体"/>
          <w:color w:val="3366FF"/>
          <w:szCs w:val="21"/>
          <w:highlight w:val="none"/>
        </w:rPr>
        <w:t>邮箱：</w:t>
      </w:r>
      <w:r>
        <w:rPr>
          <w:rFonts w:hint="eastAsia" w:ascii="宋体" w:hAnsi="宋体"/>
          <w:color w:val="3366FF"/>
          <w:szCs w:val="21"/>
          <w:highlight w:val="none"/>
        </w:rPr>
        <w:fldChar w:fldCharType="begin"/>
      </w:r>
      <w:r>
        <w:rPr>
          <w:rFonts w:hint="eastAsia" w:ascii="宋体" w:hAnsi="宋体"/>
          <w:color w:val="3366FF"/>
          <w:szCs w:val="21"/>
          <w:highlight w:val="none"/>
        </w:rPr>
        <w:instrText xml:space="preserve"> HYPERLINK "mailto:zjchenl3.gd@chinatelecom.cn" </w:instrText>
      </w:r>
      <w:r>
        <w:rPr>
          <w:rFonts w:hint="eastAsia" w:ascii="宋体" w:hAnsi="宋体"/>
          <w:color w:val="3366FF"/>
          <w:szCs w:val="21"/>
          <w:highlight w:val="none"/>
        </w:rPr>
        <w:fldChar w:fldCharType="separate"/>
      </w:r>
      <w:r>
        <w:rPr>
          <w:rStyle w:val="42"/>
          <w:rFonts w:hint="eastAsia" w:ascii="宋体" w:hAnsi="宋体"/>
          <w:szCs w:val="21"/>
          <w:highlight w:val="none"/>
        </w:rPr>
        <w:t>zjchenl3.gd@chinatelecom.cn</w:t>
      </w:r>
      <w:r>
        <w:rPr>
          <w:rFonts w:hint="eastAsia" w:ascii="宋体" w:hAnsi="宋体"/>
          <w:color w:val="3366FF"/>
          <w:szCs w:val="21"/>
          <w:highlight w:val="none"/>
        </w:rPr>
        <w:fldChar w:fldCharType="end"/>
      </w:r>
    </w:p>
    <w:p>
      <w:pPr>
        <w:pStyle w:val="45"/>
        <w:spacing w:line="400" w:lineRule="exact"/>
        <w:ind w:firstLine="424" w:firstLineChars="202"/>
        <w:rPr>
          <w:rFonts w:asciiTheme="minorEastAsia" w:hAnsiTheme="minorEastAsia" w:eastAsiaTheme="minorEastAsia"/>
          <w:szCs w:val="21"/>
          <w:highlight w:val="none"/>
        </w:rPr>
      </w:pPr>
      <w:r>
        <w:rPr>
          <w:rFonts w:hint="eastAsia"/>
          <w:szCs w:val="21"/>
          <w:highlight w:val="none"/>
        </w:rPr>
        <w:t>中国电信电子采购系统异议处理方式：可通过中国电信电子采购系统提出异议，路径：我的项目-进入本项目-其他阶段-项目异议。</w:t>
      </w:r>
    </w:p>
    <w:p>
      <w:pPr>
        <w:pStyle w:val="45"/>
        <w:spacing w:line="400" w:lineRule="exact"/>
        <w:ind w:firstLine="0" w:firstLineChars="0"/>
        <w:jc w:val="right"/>
        <w:rPr>
          <w:rFonts w:ascii="宋体" w:hAnsi="宋体"/>
          <w:highlight w:val="none"/>
        </w:rPr>
      </w:pPr>
    </w:p>
    <w:p>
      <w:pPr>
        <w:pStyle w:val="45"/>
        <w:spacing w:line="400" w:lineRule="exact"/>
        <w:ind w:firstLine="0" w:firstLineChars="0"/>
        <w:jc w:val="right"/>
        <w:rPr>
          <w:rFonts w:ascii="宋体" w:hAnsi="宋体"/>
          <w:szCs w:val="21"/>
          <w:highlight w:val="none"/>
        </w:rPr>
      </w:pPr>
      <w:r>
        <w:rPr>
          <w:rFonts w:hint="eastAsia" w:ascii="宋体" w:hAnsi="宋体"/>
          <w:szCs w:val="21"/>
          <w:highlight w:val="none"/>
        </w:rPr>
        <w:t>比选代理机构：</w:t>
      </w:r>
      <w:r>
        <w:rPr>
          <w:rFonts w:hint="eastAsia" w:ascii="宋体" w:hAnsi="宋体"/>
          <w:szCs w:val="21"/>
          <w:highlight w:val="none"/>
          <w:u w:val="single"/>
          <w:lang w:val="en-US" w:eastAsia="zh-CN"/>
        </w:rPr>
        <w:t>中捷通信有限公司</w:t>
      </w:r>
      <w:r>
        <w:rPr>
          <w:rFonts w:hint="eastAsia" w:ascii="宋体" w:hAnsi="宋体"/>
          <w:szCs w:val="21"/>
          <w:highlight w:val="none"/>
        </w:rPr>
        <w:t>（盖章）</w:t>
      </w:r>
    </w:p>
    <w:p>
      <w:pPr>
        <w:pStyle w:val="45"/>
        <w:spacing w:line="400" w:lineRule="exact"/>
        <w:ind w:firstLine="0" w:firstLineChars="0"/>
        <w:jc w:val="right"/>
        <w:rPr>
          <w:color w:val="auto"/>
          <w:highlight w:val="none"/>
        </w:rPr>
      </w:pPr>
      <w:r>
        <w:rPr>
          <w:rFonts w:hint="eastAsia" w:ascii="宋体" w:hAnsi="宋体"/>
          <w:szCs w:val="21"/>
          <w:highlight w:val="none"/>
          <w:u w:val="single"/>
          <w:lang w:val="en-US" w:eastAsia="zh-CN"/>
        </w:rPr>
        <w:t>2022</w:t>
      </w:r>
      <w:r>
        <w:rPr>
          <w:rFonts w:hint="eastAsia" w:ascii="宋体" w:hAnsi="宋体"/>
          <w:szCs w:val="21"/>
          <w:highlight w:val="none"/>
        </w:rPr>
        <w:t>年</w:t>
      </w:r>
      <w:r>
        <w:rPr>
          <w:rFonts w:hint="eastAsia" w:ascii="宋体" w:hAnsi="宋体"/>
          <w:szCs w:val="21"/>
          <w:highlight w:val="none"/>
          <w:u w:val="single"/>
          <w:lang w:val="en-US" w:eastAsia="zh-CN"/>
        </w:rPr>
        <w:t>10</w:t>
      </w:r>
      <w:r>
        <w:rPr>
          <w:rFonts w:hint="eastAsia" w:ascii="宋体" w:hAnsi="宋体"/>
          <w:szCs w:val="21"/>
          <w:highlight w:val="none"/>
        </w:rPr>
        <w:t>月</w:t>
      </w:r>
      <w:r>
        <w:rPr>
          <w:rFonts w:hint="eastAsia" w:ascii="宋体" w:hAnsi="宋体"/>
          <w:szCs w:val="21"/>
          <w:highlight w:val="none"/>
          <w:u w:val="single"/>
          <w:lang w:val="en-US" w:eastAsia="zh-CN"/>
        </w:rPr>
        <w:t>10</w:t>
      </w:r>
      <w:r>
        <w:rPr>
          <w:rFonts w:hint="eastAsia" w:ascii="宋体" w:hAnsi="宋体"/>
          <w:szCs w:val="21"/>
          <w:highlight w:val="none"/>
        </w:rPr>
        <w:t>日</w:t>
      </w:r>
    </w:p>
    <w:p>
      <w:pPr>
        <w:pStyle w:val="45"/>
        <w:spacing w:line="400" w:lineRule="exact"/>
        <w:ind w:firstLine="3936" w:firstLineChars="1867"/>
        <w:jc w:val="right"/>
        <w:rPr>
          <w:b/>
          <w:bCs/>
          <w:color w:val="auto"/>
          <w:highlight w:val="none"/>
        </w:rPr>
        <w:sectPr>
          <w:footerReference r:id="rId7" w:type="default"/>
          <w:pgSz w:w="11906" w:h="16838"/>
          <w:pgMar w:top="1440" w:right="1800" w:bottom="1440" w:left="1800" w:header="851" w:footer="992" w:gutter="0"/>
          <w:pgNumType w:start="1"/>
          <w:cols w:space="425" w:num="1"/>
          <w:docGrid w:type="lines" w:linePitch="312" w:charSpace="0"/>
        </w:sectPr>
      </w:pPr>
    </w:p>
    <w:p>
      <w:pPr>
        <w:pStyle w:val="44"/>
        <w:spacing w:before="240" w:after="120"/>
        <w:rPr>
          <w:rFonts w:ascii="宋体" w:hAnsi="宋体" w:eastAsia="宋体" w:cs="宋体"/>
          <w:b/>
          <w:color w:val="auto"/>
          <w:sz w:val="28"/>
          <w:szCs w:val="28"/>
          <w:highlight w:val="none"/>
        </w:rPr>
      </w:pPr>
      <w:bookmarkStart w:id="26" w:name="_Toc17202763"/>
      <w:bookmarkStart w:id="27" w:name="_Toc27907"/>
      <w:bookmarkStart w:id="28" w:name="_Toc17202972"/>
      <w:bookmarkStart w:id="29" w:name="_Toc447265500"/>
      <w:bookmarkStart w:id="30" w:name="_Toc447265214"/>
      <w:bookmarkStart w:id="31" w:name="_Toc17203535"/>
      <w:bookmarkStart w:id="32" w:name="_Toc447188665"/>
      <w:r>
        <w:rPr>
          <w:rFonts w:hint="eastAsia" w:ascii="宋体" w:hAnsi="宋体" w:eastAsia="宋体" w:cs="宋体"/>
          <w:b/>
          <w:bCs w:val="0"/>
          <w:color w:val="auto"/>
          <w:kern w:val="0"/>
          <w:sz w:val="28"/>
          <w:szCs w:val="28"/>
          <w:highlight w:val="none"/>
        </w:rPr>
        <w:t>第二章</w:t>
      </w:r>
      <w:r>
        <w:rPr>
          <w:rFonts w:ascii="宋体" w:hAnsi="宋体" w:eastAsia="宋体" w:cs="宋体"/>
          <w:b/>
          <w:bCs w:val="0"/>
          <w:color w:val="auto"/>
          <w:kern w:val="0"/>
          <w:sz w:val="28"/>
          <w:szCs w:val="28"/>
          <w:highlight w:val="none"/>
        </w:rPr>
        <w:t xml:space="preserve">  </w:t>
      </w:r>
      <w:r>
        <w:rPr>
          <w:rFonts w:hint="eastAsia" w:ascii="宋体" w:hAnsi="宋体" w:eastAsia="宋体" w:cs="宋体"/>
          <w:b/>
          <w:bCs w:val="0"/>
          <w:color w:val="auto"/>
          <w:kern w:val="0"/>
          <w:sz w:val="28"/>
          <w:szCs w:val="28"/>
          <w:highlight w:val="none"/>
        </w:rPr>
        <w:t>参选人须知</w:t>
      </w:r>
      <w:bookmarkEnd w:id="26"/>
      <w:bookmarkEnd w:id="27"/>
      <w:bookmarkEnd w:id="28"/>
      <w:bookmarkEnd w:id="29"/>
      <w:bookmarkEnd w:id="30"/>
      <w:bookmarkEnd w:id="31"/>
      <w:bookmarkEnd w:id="32"/>
    </w:p>
    <w:p>
      <w:pPr>
        <w:pStyle w:val="4"/>
        <w:snapToGrid w:val="0"/>
        <w:spacing w:before="240" w:after="120" w:line="240" w:lineRule="auto"/>
        <w:rPr>
          <w:rFonts w:ascii="宋体" w:hAnsi="宋体" w:eastAsia="宋体" w:cs="宋体"/>
          <w:b/>
          <w:bCs/>
          <w:color w:val="auto"/>
          <w:sz w:val="24"/>
          <w:szCs w:val="24"/>
          <w:highlight w:val="none"/>
        </w:rPr>
      </w:pPr>
      <w:bookmarkStart w:id="33" w:name="_Toc17202764"/>
      <w:bookmarkStart w:id="34" w:name="_Toc11657"/>
      <w:bookmarkStart w:id="35" w:name="_Toc447265501"/>
      <w:bookmarkStart w:id="36" w:name="_Toc447188666"/>
      <w:bookmarkStart w:id="37" w:name="_Toc226969277"/>
      <w:bookmarkStart w:id="38" w:name="_Toc17202973"/>
      <w:bookmarkStart w:id="39" w:name="_Toc447265215"/>
      <w:bookmarkStart w:id="40" w:name="_Toc227057884"/>
      <w:bookmarkStart w:id="41" w:name="_Toc17203536"/>
      <w:r>
        <w:rPr>
          <w:rFonts w:hint="eastAsia" w:ascii="宋体" w:hAnsi="宋体" w:eastAsia="宋体" w:cs="宋体"/>
          <w:b/>
          <w:bCs/>
          <w:color w:val="auto"/>
          <w:sz w:val="24"/>
          <w:szCs w:val="24"/>
          <w:highlight w:val="none"/>
        </w:rPr>
        <w:t>参选人须知前附表</w:t>
      </w:r>
      <w:bookmarkEnd w:id="33"/>
      <w:bookmarkEnd w:id="34"/>
      <w:bookmarkEnd w:id="35"/>
      <w:bookmarkEnd w:id="36"/>
      <w:bookmarkEnd w:id="37"/>
      <w:bookmarkEnd w:id="38"/>
      <w:bookmarkEnd w:id="39"/>
      <w:bookmarkEnd w:id="40"/>
      <w:bookmarkEnd w:id="41"/>
    </w:p>
    <w:p>
      <w:pPr>
        <w:autoSpaceDE w:val="0"/>
        <w:autoSpaceDN w:val="0"/>
        <w:ind w:firstLine="420" w:firstLineChars="200"/>
        <w:rPr>
          <w:rFonts w:ascii="宋体" w:hAnsi="宋体" w:cs="宋体"/>
          <w:color w:val="auto"/>
          <w:highlight w:val="none"/>
        </w:rPr>
      </w:pPr>
      <w:r>
        <w:rPr>
          <w:rFonts w:hint="eastAsia" w:ascii="宋体" w:hAnsi="宋体" w:cs="宋体"/>
          <w:color w:val="auto"/>
          <w:szCs w:val="21"/>
          <w:highlight w:val="none"/>
        </w:rPr>
        <w:t>本参选人须知前附表是对参选人须知正文的具体补充和修改，如有矛盾，以本前附表为准。</w:t>
      </w:r>
    </w:p>
    <w:tbl>
      <w:tblPr>
        <w:tblStyle w:val="37"/>
        <w:tblW w:w="10016" w:type="dxa"/>
        <w:jc w:val="center"/>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28" w:type="dxa"/>
          <w:bottom w:w="0" w:type="dxa"/>
          <w:right w:w="28" w:type="dxa"/>
        </w:tblCellMar>
      </w:tblPr>
      <w:tblGrid>
        <w:gridCol w:w="1163"/>
        <w:gridCol w:w="1843"/>
        <w:gridCol w:w="6992"/>
        <w:gridCol w:w="18"/>
      </w:tblGrid>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227" w:hRule="atLeast"/>
          <w:tblHeader/>
          <w:jc w:val="center"/>
        </w:trPr>
        <w:tc>
          <w:tcPr>
            <w:tcW w:w="1163" w:type="dxa"/>
            <w:vAlign w:val="center"/>
          </w:tcPr>
          <w:p>
            <w:pPr>
              <w:autoSpaceDE w:val="0"/>
              <w:autoSpaceDN w:val="0"/>
              <w:jc w:val="center"/>
              <w:rPr>
                <w:rFonts w:ascii="宋体" w:hAnsi="宋体" w:cs="宋体"/>
                <w:b/>
                <w:color w:val="auto"/>
                <w:szCs w:val="21"/>
                <w:highlight w:val="none"/>
              </w:rPr>
            </w:pPr>
            <w:r>
              <w:rPr>
                <w:rFonts w:hint="eastAsia" w:ascii="宋体" w:hAnsi="宋体" w:cs="宋体"/>
                <w:b/>
                <w:color w:val="auto"/>
                <w:szCs w:val="21"/>
                <w:highlight w:val="none"/>
              </w:rPr>
              <w:t>条款号</w:t>
            </w:r>
          </w:p>
        </w:tc>
        <w:tc>
          <w:tcPr>
            <w:tcW w:w="1843" w:type="dxa"/>
            <w:vAlign w:val="center"/>
          </w:tcPr>
          <w:p>
            <w:pPr>
              <w:autoSpaceDE w:val="0"/>
              <w:autoSpaceDN w:val="0"/>
              <w:jc w:val="center"/>
              <w:rPr>
                <w:rFonts w:ascii="宋体" w:hAnsi="宋体" w:cs="宋体"/>
                <w:b/>
                <w:color w:val="auto"/>
                <w:szCs w:val="21"/>
                <w:highlight w:val="none"/>
              </w:rPr>
            </w:pPr>
            <w:r>
              <w:rPr>
                <w:rFonts w:hint="eastAsia" w:ascii="宋体" w:hAnsi="宋体" w:cs="宋体"/>
                <w:b/>
                <w:color w:val="auto"/>
                <w:szCs w:val="21"/>
                <w:highlight w:val="none"/>
              </w:rPr>
              <w:t>条款名称</w:t>
            </w:r>
          </w:p>
        </w:tc>
        <w:tc>
          <w:tcPr>
            <w:tcW w:w="6992" w:type="dxa"/>
            <w:vAlign w:val="center"/>
          </w:tcPr>
          <w:p>
            <w:pPr>
              <w:autoSpaceDE w:val="0"/>
              <w:autoSpaceDN w:val="0"/>
              <w:jc w:val="center"/>
              <w:rPr>
                <w:rFonts w:ascii="宋体" w:hAnsi="宋体" w:cs="宋体"/>
                <w:b/>
                <w:color w:val="auto"/>
                <w:szCs w:val="21"/>
                <w:highlight w:val="none"/>
              </w:rPr>
            </w:pPr>
            <w:r>
              <w:rPr>
                <w:rFonts w:hint="eastAsia" w:ascii="宋体" w:hAnsi="宋体" w:cs="宋体"/>
                <w:b/>
                <w:color w:val="auto"/>
                <w:szCs w:val="21"/>
                <w:highlight w:val="none"/>
              </w:rPr>
              <w:t>编列内容</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.1.</w:t>
            </w:r>
            <w:r>
              <w:rPr>
                <w:rFonts w:hint="eastAsia" w:ascii="宋体" w:hAnsi="宋体" w:cs="宋体"/>
                <w:color w:val="auto"/>
                <w:szCs w:val="21"/>
                <w:highlight w:val="none"/>
              </w:rPr>
              <w:t>2</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比选人</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s="宋体"/>
                <w:color w:val="auto"/>
                <w:szCs w:val="21"/>
                <w:highlight w:val="none"/>
              </w:rPr>
              <w:t>中国电信股份有限公司</w:t>
            </w:r>
            <w:r>
              <w:rPr>
                <w:rFonts w:hint="eastAsia" w:ascii="宋体" w:hAnsi="宋体"/>
                <w:color w:val="auto"/>
                <w:szCs w:val="21"/>
                <w:highlight w:val="none"/>
                <w:u w:val="single"/>
              </w:rPr>
              <w:t>湛江分公司</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.1.</w:t>
            </w:r>
            <w:r>
              <w:rPr>
                <w:rFonts w:hint="eastAsia" w:ascii="宋体" w:hAnsi="宋体" w:cs="宋体"/>
                <w:color w:val="auto"/>
                <w:szCs w:val="21"/>
                <w:highlight w:val="none"/>
              </w:rPr>
              <w:t>3</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比选项目名称</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olor w:val="auto"/>
                <w:szCs w:val="21"/>
                <w:highlight w:val="none"/>
              </w:rPr>
              <w:t>详见比选</w:t>
            </w:r>
            <w:r>
              <w:rPr>
                <w:rFonts w:ascii="宋体" w:hAnsi="宋体"/>
                <w:color w:val="auto"/>
                <w:szCs w:val="21"/>
                <w:highlight w:val="none"/>
              </w:rPr>
              <w:t>文件</w:t>
            </w:r>
            <w:r>
              <w:rPr>
                <w:rFonts w:hint="eastAsia" w:ascii="宋体" w:hAnsi="宋体"/>
                <w:color w:val="auto"/>
                <w:szCs w:val="21"/>
                <w:highlight w:val="none"/>
              </w:rPr>
              <w:t>第一章</w:t>
            </w:r>
            <w:r>
              <w:rPr>
                <w:rFonts w:ascii="宋体" w:hAnsi="宋体" w:cs="宋体"/>
                <w:color w:val="auto"/>
                <w:szCs w:val="21"/>
                <w:highlight w:val="none"/>
              </w:rPr>
              <w:t xml:space="preserve"> </w:t>
            </w:r>
            <w:r>
              <w:rPr>
                <w:rFonts w:hint="eastAsia" w:ascii="宋体" w:hAnsi="宋体"/>
                <w:color w:val="auto"/>
                <w:szCs w:val="21"/>
                <w:highlight w:val="none"/>
              </w:rPr>
              <w:t>比选公告</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1.3</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比选范围</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olor w:val="auto"/>
                <w:szCs w:val="21"/>
                <w:highlight w:val="none"/>
              </w:rPr>
              <w:t>详见比选</w:t>
            </w:r>
            <w:r>
              <w:rPr>
                <w:rFonts w:ascii="宋体" w:hAnsi="宋体"/>
                <w:color w:val="auto"/>
                <w:szCs w:val="21"/>
                <w:highlight w:val="none"/>
              </w:rPr>
              <w:t>文件</w:t>
            </w:r>
            <w:r>
              <w:rPr>
                <w:rFonts w:hint="eastAsia" w:ascii="宋体" w:hAnsi="宋体"/>
                <w:color w:val="auto"/>
                <w:szCs w:val="21"/>
                <w:highlight w:val="none"/>
              </w:rPr>
              <w:t>第一章</w:t>
            </w:r>
            <w:r>
              <w:rPr>
                <w:rFonts w:ascii="宋体" w:hAnsi="宋体" w:cs="宋体"/>
                <w:color w:val="auto"/>
                <w:szCs w:val="21"/>
                <w:highlight w:val="none"/>
              </w:rPr>
              <w:t xml:space="preserve"> </w:t>
            </w:r>
            <w:r>
              <w:rPr>
                <w:rFonts w:hint="eastAsia" w:ascii="宋体" w:hAnsi="宋体"/>
                <w:color w:val="auto"/>
                <w:szCs w:val="21"/>
                <w:highlight w:val="none"/>
              </w:rPr>
              <w:t>比选公告“</w:t>
            </w:r>
            <w:r>
              <w:rPr>
                <w:rFonts w:ascii="宋体" w:hAnsi="宋体"/>
                <w:color w:val="auto"/>
                <w:szCs w:val="21"/>
                <w:highlight w:val="none"/>
              </w:rPr>
              <w:t>1.项目概况与采购内容”。</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1.4</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标段划分</w:t>
            </w:r>
          </w:p>
        </w:tc>
        <w:tc>
          <w:tcPr>
            <w:tcW w:w="6992" w:type="dxa"/>
            <w:vAlign w:val="center"/>
          </w:tcPr>
          <w:p>
            <w:pPr>
              <w:autoSpaceDE w:val="0"/>
              <w:autoSpaceDN w:val="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不划分标段</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1.5.1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比选方式</w:t>
            </w:r>
          </w:p>
        </w:tc>
        <w:tc>
          <w:tcPr>
            <w:tcW w:w="6992" w:type="dxa"/>
            <w:vAlign w:val="center"/>
          </w:tcPr>
          <w:p>
            <w:pPr>
              <w:autoSpaceDE w:val="0"/>
              <w:autoSpaceDN w:val="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公开比选</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1.6</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比选组织形式</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s="宋体"/>
                <w:color w:val="auto"/>
                <w:szCs w:val="21"/>
                <w:highlight w:val="none"/>
              </w:rPr>
              <w:t>委托比选代理机构代理比选</w:t>
            </w:r>
          </w:p>
          <w:p>
            <w:pPr>
              <w:autoSpaceDE w:val="0"/>
              <w:autoSpaceDN w:val="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比选代理机构名称、联系人、电话</w:t>
            </w:r>
            <w:r>
              <w:rPr>
                <w:rFonts w:hint="eastAsia" w:ascii="宋体" w:hAnsi="宋体"/>
                <w:color w:val="auto"/>
                <w:szCs w:val="21"/>
                <w:highlight w:val="none"/>
              </w:rPr>
              <w:t>详见比选</w:t>
            </w:r>
            <w:r>
              <w:rPr>
                <w:rFonts w:ascii="宋体" w:hAnsi="宋体"/>
                <w:color w:val="auto"/>
                <w:szCs w:val="21"/>
                <w:highlight w:val="none"/>
              </w:rPr>
              <w:t>文件</w:t>
            </w:r>
            <w:r>
              <w:rPr>
                <w:rFonts w:hint="eastAsia" w:ascii="宋体" w:hAnsi="宋体"/>
                <w:color w:val="auto"/>
                <w:szCs w:val="21"/>
                <w:highlight w:val="none"/>
              </w:rPr>
              <w:t>第一章比选公告</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1.7.1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资格审查方式</w:t>
            </w:r>
          </w:p>
        </w:tc>
        <w:tc>
          <w:tcPr>
            <w:tcW w:w="6992" w:type="dxa"/>
            <w:vAlign w:val="center"/>
          </w:tcPr>
          <w:p>
            <w:pPr>
              <w:autoSpaceDE w:val="0"/>
              <w:autoSpaceDN w:val="0"/>
              <w:rPr>
                <w:rFonts w:ascii="宋体" w:hAnsi="宋体" w:cs="宋体"/>
                <w:b/>
                <w:color w:val="auto"/>
                <w:szCs w:val="21"/>
                <w:highlight w:val="none"/>
              </w:rPr>
            </w:pPr>
            <w:r>
              <w:rPr>
                <w:rFonts w:ascii="宋体" w:hAnsi="宋体" w:cs="宋体"/>
                <w:b/>
                <w:color w:val="auto"/>
                <w:szCs w:val="21"/>
                <w:highlight w:val="none"/>
              </w:rPr>
              <w:t>资格后审</w:t>
            </w:r>
            <w:r>
              <w:rPr>
                <w:rFonts w:hint="eastAsia" w:ascii="宋体" w:hAnsi="宋体" w:cs="宋体"/>
                <w:b/>
                <w:color w:val="auto"/>
                <w:szCs w:val="21"/>
                <w:highlight w:val="none"/>
              </w:rPr>
              <w:t>，资格条件详见比选文件第一章比选公告“</w:t>
            </w:r>
            <w:r>
              <w:rPr>
                <w:rFonts w:ascii="宋体" w:hAnsi="宋体" w:cs="宋体"/>
                <w:b/>
                <w:color w:val="auto"/>
                <w:szCs w:val="21"/>
                <w:highlight w:val="none"/>
              </w:rPr>
              <w:t>2.</w:t>
            </w:r>
            <w:r>
              <w:rPr>
                <w:rFonts w:hint="eastAsia" w:ascii="宋体" w:hAnsi="宋体" w:cs="宋体"/>
                <w:b/>
                <w:color w:val="auto"/>
                <w:szCs w:val="21"/>
                <w:highlight w:val="none"/>
              </w:rPr>
              <w:t>参选人资格条件”。</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1.8</w:t>
            </w:r>
            <w:r>
              <w:rPr>
                <w:rFonts w:ascii="宋体" w:hAnsi="宋体" w:cs="宋体"/>
                <w:color w:val="auto"/>
                <w:szCs w:val="21"/>
                <w:highlight w:val="none"/>
              </w:rPr>
              <w:t>.1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b/>
                <w:color w:val="auto"/>
                <w:szCs w:val="21"/>
                <w:highlight w:val="none"/>
              </w:rPr>
              <w:t>※</w:t>
            </w:r>
            <w:r>
              <w:rPr>
                <w:rFonts w:hint="eastAsia" w:ascii="宋体" w:hAnsi="宋体" w:cs="宋体"/>
                <w:b/>
                <w:color w:val="auto"/>
                <w:szCs w:val="21"/>
                <w:highlight w:val="none"/>
              </w:rPr>
              <w:t>参选人不得存在的其他情形</w:t>
            </w:r>
          </w:p>
        </w:tc>
        <w:tc>
          <w:tcPr>
            <w:tcW w:w="6992" w:type="dxa"/>
            <w:vAlign w:val="center"/>
          </w:tcPr>
          <w:p>
            <w:pPr>
              <w:rPr>
                <w:rFonts w:hint="eastAsia" w:ascii="宋体" w:hAnsi="宋体" w:eastAsia="宋体"/>
                <w:color w:val="auto"/>
                <w:szCs w:val="21"/>
                <w:highlight w:val="none"/>
                <w:lang w:eastAsia="zh-CN"/>
              </w:rPr>
            </w:pPr>
            <w:r>
              <w:rPr>
                <w:rFonts w:hint="eastAsia" w:ascii="宋体" w:hAnsi="宋体" w:cs="宋体"/>
                <w:color w:val="auto"/>
                <w:szCs w:val="21"/>
                <w:highlight w:val="none"/>
              </w:rPr>
              <w:t>参选人不得存在的其他情形详见第一章比选公告</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2.1.1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比选文件的组成</w:t>
            </w:r>
          </w:p>
        </w:tc>
        <w:tc>
          <w:tcPr>
            <w:tcW w:w="6992" w:type="dxa"/>
            <w:vAlign w:val="center"/>
          </w:tcPr>
          <w:p>
            <w:pPr>
              <w:autoSpaceDE w:val="0"/>
              <w:autoSpaceDN w:val="0"/>
              <w:rPr>
                <w:rFonts w:ascii="宋体" w:hAnsi="宋体" w:cs="宋体"/>
                <w:color w:val="auto"/>
                <w:szCs w:val="21"/>
                <w:highlight w:val="none"/>
              </w:rPr>
            </w:pPr>
            <w:r>
              <w:rPr>
                <w:rFonts w:ascii="宋体" w:hAnsi="宋体" w:cs="宋体"/>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2.1.3</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比选文件实质性要求的标识</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s="宋体"/>
                <w:color w:val="auto"/>
                <w:szCs w:val="21"/>
                <w:highlight w:val="none"/>
              </w:rPr>
              <w:t>比选文件中标识“</w:t>
            </w:r>
            <w:r>
              <w:rPr>
                <w:rFonts w:hint="eastAsia" w:ascii="宋体" w:hAnsi="宋体"/>
                <w:b/>
                <w:color w:val="auto"/>
                <w:szCs w:val="21"/>
                <w:highlight w:val="none"/>
              </w:rPr>
              <w:t>※</w:t>
            </w:r>
            <w:r>
              <w:rPr>
                <w:rFonts w:hint="eastAsia" w:ascii="宋体" w:hAnsi="宋体" w:cs="宋体"/>
                <w:color w:val="auto"/>
                <w:szCs w:val="21"/>
                <w:highlight w:val="none"/>
              </w:rPr>
              <w:t>”的条款，均为实质性条款，参选人任何不满足实质性条款的参选均将被否决。</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2.1.4</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是否以单项报价核定低于成本</w:t>
            </w:r>
          </w:p>
        </w:tc>
        <w:tc>
          <w:tcPr>
            <w:tcW w:w="6992" w:type="dxa"/>
            <w:vAlign w:val="center"/>
          </w:tcPr>
          <w:p>
            <w:pPr>
              <w:autoSpaceDE w:val="0"/>
              <w:autoSpaceDN w:val="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不要求</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2.2.1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踏勘现场</w:t>
            </w:r>
          </w:p>
        </w:tc>
        <w:tc>
          <w:tcPr>
            <w:tcW w:w="6992" w:type="dxa"/>
            <w:vAlign w:val="center"/>
          </w:tcPr>
          <w:p>
            <w:pPr>
              <w:autoSpaceDE w:val="0"/>
              <w:autoSpaceDN w:val="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不组织</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2.3</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b/>
                <w:color w:val="auto"/>
                <w:szCs w:val="21"/>
                <w:highlight w:val="none"/>
              </w:rPr>
              <w:t>※</w:t>
            </w:r>
            <w:r>
              <w:rPr>
                <w:rFonts w:hint="eastAsia" w:ascii="宋体" w:hAnsi="宋体" w:cs="宋体"/>
                <w:b/>
                <w:color w:val="auto"/>
                <w:szCs w:val="21"/>
                <w:highlight w:val="none"/>
              </w:rPr>
              <w:t>参选预备会</w:t>
            </w:r>
          </w:p>
        </w:tc>
        <w:tc>
          <w:tcPr>
            <w:tcW w:w="6992" w:type="dxa"/>
            <w:vAlign w:val="center"/>
          </w:tcPr>
          <w:p>
            <w:pPr>
              <w:autoSpaceDE w:val="0"/>
              <w:autoSpaceDN w:val="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不召开</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2.4.1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参选人提出澄清问题的截止时间和方式</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s="宋体"/>
                <w:color w:val="auto"/>
                <w:szCs w:val="21"/>
                <w:highlight w:val="none"/>
              </w:rPr>
              <w:t>截止时间：</w:t>
            </w:r>
            <w:r>
              <w:rPr>
                <w:rFonts w:hint="eastAsia" w:ascii="宋体" w:hAnsi="宋体" w:cs="宋体"/>
                <w:color w:val="auto"/>
                <w:szCs w:val="21"/>
                <w:highlight w:val="none"/>
                <w:u w:val="single"/>
              </w:rPr>
              <w:t>202</w:t>
            </w:r>
            <w:r>
              <w:rPr>
                <w:rFonts w:hint="eastAsia" w:ascii="宋体" w:hAnsi="宋体" w:cs="宋体"/>
                <w:color w:val="auto"/>
                <w:szCs w:val="21"/>
                <w:highlight w:val="none"/>
                <w:u w:val="single"/>
                <w:lang w:val="en-US" w:eastAsia="zh-CN"/>
              </w:rPr>
              <w:t>2</w:t>
            </w:r>
            <w:r>
              <w:rPr>
                <w:rFonts w:hint="eastAsia" w:ascii="宋体" w:hAnsi="宋体" w:cs="宋体"/>
                <w:color w:val="auto"/>
                <w:szCs w:val="21"/>
                <w:highlight w:val="none"/>
              </w:rPr>
              <w:t>年</w:t>
            </w:r>
            <w:r>
              <w:rPr>
                <w:rFonts w:hint="eastAsia" w:ascii="宋体" w:hAnsi="宋体" w:cs="宋体"/>
                <w:color w:val="auto"/>
                <w:szCs w:val="21"/>
                <w:highlight w:val="none"/>
                <w:u w:val="single"/>
                <w:lang w:val="en-US" w:eastAsia="zh-CN"/>
              </w:rPr>
              <w:t>10</w:t>
            </w:r>
            <w:r>
              <w:rPr>
                <w:rFonts w:hint="eastAsia" w:ascii="宋体" w:hAnsi="宋体" w:cs="宋体"/>
                <w:color w:val="auto"/>
                <w:szCs w:val="21"/>
                <w:highlight w:val="none"/>
              </w:rPr>
              <w:t>月</w:t>
            </w:r>
            <w:r>
              <w:rPr>
                <w:rFonts w:hint="eastAsia" w:ascii="宋体" w:hAnsi="宋体" w:cs="宋体"/>
                <w:color w:val="auto"/>
                <w:szCs w:val="21"/>
                <w:highlight w:val="none"/>
                <w:u w:val="single"/>
                <w:lang w:val="en-US" w:eastAsia="zh-CN"/>
              </w:rPr>
              <w:t>19</w:t>
            </w:r>
            <w:r>
              <w:rPr>
                <w:rFonts w:ascii="宋体" w:hAnsi="宋体" w:cs="宋体"/>
                <w:color w:val="auto"/>
                <w:szCs w:val="21"/>
                <w:highlight w:val="none"/>
              </w:rPr>
              <w:t>日</w:t>
            </w:r>
            <w:r>
              <w:rPr>
                <w:rFonts w:ascii="宋体" w:hAnsi="宋体" w:cs="宋体"/>
                <w:color w:val="auto"/>
                <w:szCs w:val="21"/>
                <w:highlight w:val="none"/>
                <w:u w:val="single"/>
              </w:rPr>
              <w:t xml:space="preserve"> </w:t>
            </w:r>
            <w:r>
              <w:rPr>
                <w:rFonts w:hint="eastAsia" w:ascii="宋体" w:hAnsi="宋体" w:cs="宋体"/>
                <w:color w:val="auto"/>
                <w:szCs w:val="21"/>
                <w:highlight w:val="none"/>
                <w:u w:val="single"/>
                <w:lang w:val="en-US" w:eastAsia="zh-CN"/>
              </w:rPr>
              <w:t>17</w:t>
            </w:r>
            <w:r>
              <w:rPr>
                <w:rFonts w:ascii="宋体" w:hAnsi="宋体" w:cs="宋体"/>
                <w:color w:val="auto"/>
                <w:szCs w:val="21"/>
                <w:highlight w:val="none"/>
                <w:u w:val="single"/>
              </w:rPr>
              <w:t xml:space="preserve"> </w:t>
            </w:r>
            <w:r>
              <w:rPr>
                <w:rFonts w:hint="eastAsia" w:ascii="宋体" w:hAnsi="宋体" w:cs="宋体"/>
                <w:color w:val="auto"/>
                <w:szCs w:val="21"/>
                <w:highlight w:val="none"/>
              </w:rPr>
              <w:t>时</w:t>
            </w:r>
            <w:r>
              <w:rPr>
                <w:rFonts w:hint="eastAsia" w:ascii="宋体" w:hAnsi="宋体" w:cs="宋体"/>
                <w:color w:val="auto"/>
                <w:szCs w:val="21"/>
                <w:highlight w:val="none"/>
                <w:u w:val="single"/>
                <w:lang w:val="en-US" w:eastAsia="zh-CN"/>
              </w:rPr>
              <w:t>3</w:t>
            </w:r>
            <w:r>
              <w:rPr>
                <w:rFonts w:hint="eastAsia" w:ascii="宋体" w:hAnsi="宋体" w:cs="宋体"/>
                <w:color w:val="auto"/>
                <w:szCs w:val="21"/>
                <w:highlight w:val="none"/>
                <w:u w:val="single"/>
              </w:rPr>
              <w:t>0</w:t>
            </w:r>
            <w:r>
              <w:rPr>
                <w:rFonts w:hint="eastAsia" w:ascii="宋体" w:hAnsi="宋体" w:cs="宋体"/>
                <w:color w:val="auto"/>
                <w:szCs w:val="21"/>
                <w:highlight w:val="none"/>
              </w:rPr>
              <w:t>分</w:t>
            </w:r>
            <w:r>
              <w:rPr>
                <w:rFonts w:ascii="宋体" w:hAnsi="宋体" w:cs="宋体"/>
                <w:color w:val="auto"/>
                <w:szCs w:val="21"/>
                <w:highlight w:val="none"/>
              </w:rPr>
              <w:t>（北京时间）</w:t>
            </w:r>
            <w:r>
              <w:rPr>
                <w:rFonts w:hint="eastAsia" w:ascii="宋体" w:hAnsi="宋体" w:cs="宋体"/>
                <w:color w:val="auto"/>
                <w:szCs w:val="21"/>
                <w:highlight w:val="none"/>
              </w:rPr>
              <w:t>。</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提出澄清的方式：</w:t>
            </w:r>
            <w:r>
              <w:rPr>
                <w:rFonts w:hint="eastAsia" w:ascii="宋体" w:hAnsi="宋体"/>
                <w:color w:val="auto"/>
                <w:szCs w:val="21"/>
                <w:highlight w:val="none"/>
              </w:rPr>
              <w:t>参选</w:t>
            </w:r>
            <w:r>
              <w:rPr>
                <w:rFonts w:ascii="宋体" w:hAnsi="宋体"/>
                <w:color w:val="auto"/>
                <w:szCs w:val="21"/>
                <w:highlight w:val="none"/>
              </w:rPr>
              <w:t>人须通过平台进入本项目提出。“问题描述”填写限制为200个字符，如果内容较多，可提交“附件”上传。</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ascii="宋体" w:hAnsi="宋体" w:cs="宋体"/>
                <w:color w:val="auto"/>
                <w:szCs w:val="21"/>
                <w:highlight w:val="none"/>
              </w:rPr>
              <w:t>2.</w:t>
            </w:r>
            <w:r>
              <w:rPr>
                <w:rFonts w:hint="eastAsia" w:ascii="宋体" w:hAnsi="宋体" w:cs="宋体"/>
                <w:color w:val="auto"/>
                <w:szCs w:val="21"/>
                <w:highlight w:val="none"/>
              </w:rPr>
              <w:t>4.2</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比选人发出比选文件澄清或者修改的截止时间和方式</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s="宋体"/>
                <w:color w:val="auto"/>
                <w:szCs w:val="21"/>
                <w:highlight w:val="none"/>
              </w:rPr>
              <w:t>截止时间：参选文件</w:t>
            </w:r>
            <w:r>
              <w:rPr>
                <w:rFonts w:ascii="宋体" w:hAnsi="宋体" w:cs="宋体"/>
                <w:color w:val="auto"/>
                <w:szCs w:val="21"/>
                <w:highlight w:val="none"/>
              </w:rPr>
              <w:t>递交截止时间前2日，具体时间另行通知。</w:t>
            </w:r>
          </w:p>
          <w:p>
            <w:pPr>
              <w:autoSpaceDE w:val="0"/>
              <w:autoSpaceDN w:val="0"/>
              <w:rPr>
                <w:rFonts w:ascii="宋体" w:hAnsi="宋体" w:cs="宋体"/>
                <w:color w:val="auto"/>
                <w:szCs w:val="21"/>
                <w:highlight w:val="none"/>
              </w:rPr>
            </w:pPr>
            <w:r>
              <w:rPr>
                <w:rFonts w:hint="eastAsia"/>
                <w:color w:val="auto"/>
                <w:szCs w:val="21"/>
                <w:highlight w:val="none"/>
              </w:rPr>
              <w:t>比选</w:t>
            </w:r>
            <w:r>
              <w:rPr>
                <w:color w:val="auto"/>
                <w:szCs w:val="21"/>
                <w:highlight w:val="none"/>
              </w:rPr>
              <w:t>人/</w:t>
            </w:r>
            <w:r>
              <w:rPr>
                <w:rFonts w:hint="eastAsia"/>
                <w:color w:val="auto"/>
                <w:szCs w:val="21"/>
                <w:highlight w:val="none"/>
              </w:rPr>
              <w:t>比选</w:t>
            </w:r>
            <w:r>
              <w:rPr>
                <w:color w:val="auto"/>
                <w:szCs w:val="21"/>
                <w:highlight w:val="none"/>
              </w:rPr>
              <w:t>代理机构将通过平台向本项目</w:t>
            </w:r>
            <w:r>
              <w:rPr>
                <w:rFonts w:hint="eastAsia"/>
                <w:color w:val="auto"/>
                <w:szCs w:val="21"/>
                <w:highlight w:val="none"/>
              </w:rPr>
              <w:t>潜在参选</w:t>
            </w:r>
            <w:r>
              <w:rPr>
                <w:color w:val="auto"/>
                <w:szCs w:val="21"/>
                <w:highlight w:val="none"/>
              </w:rPr>
              <w:t>人发布</w:t>
            </w:r>
            <w:r>
              <w:rPr>
                <w:rFonts w:hint="eastAsia"/>
                <w:color w:val="auto"/>
                <w:szCs w:val="21"/>
                <w:highlight w:val="none"/>
              </w:rPr>
              <w:t>比选</w:t>
            </w:r>
            <w:r>
              <w:rPr>
                <w:color w:val="auto"/>
                <w:szCs w:val="21"/>
                <w:highlight w:val="none"/>
              </w:rPr>
              <w:t>文件的澄清或修改内容，如平台无法发布时，</w:t>
            </w:r>
            <w:r>
              <w:rPr>
                <w:rFonts w:hint="eastAsia"/>
                <w:color w:val="auto"/>
                <w:szCs w:val="21"/>
                <w:highlight w:val="none"/>
              </w:rPr>
              <w:t>比选</w:t>
            </w:r>
            <w:r>
              <w:rPr>
                <w:color w:val="auto"/>
                <w:szCs w:val="21"/>
                <w:highlight w:val="none"/>
              </w:rPr>
              <w:t>人/</w:t>
            </w:r>
            <w:r>
              <w:rPr>
                <w:rFonts w:hint="eastAsia"/>
                <w:color w:val="auto"/>
                <w:szCs w:val="21"/>
                <w:highlight w:val="none"/>
              </w:rPr>
              <w:t>比选</w:t>
            </w:r>
            <w:r>
              <w:rPr>
                <w:color w:val="auto"/>
                <w:szCs w:val="21"/>
                <w:highlight w:val="none"/>
              </w:rPr>
              <w:t>代理机构将通过邮件方式通知所有</w:t>
            </w:r>
            <w:r>
              <w:rPr>
                <w:rFonts w:hint="eastAsia"/>
                <w:color w:val="auto"/>
                <w:szCs w:val="21"/>
                <w:highlight w:val="none"/>
              </w:rPr>
              <w:t>潜在参选</w:t>
            </w:r>
            <w:r>
              <w:rPr>
                <w:color w:val="auto"/>
                <w:szCs w:val="21"/>
                <w:highlight w:val="none"/>
              </w:rPr>
              <w:t>人。</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2.4.4</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参选人确认收到澄清或者修改的时间和方式</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s="宋体"/>
                <w:color w:val="auto"/>
                <w:szCs w:val="21"/>
                <w:highlight w:val="none"/>
              </w:rPr>
              <w:t>确认收到澄清或者修改的时间：比选人发出之日</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确认收到澄清或者修改的方式：</w:t>
            </w:r>
            <w:r>
              <w:rPr>
                <w:rFonts w:hint="eastAsia" w:ascii="宋体" w:hAnsi="宋体"/>
                <w:color w:val="auto"/>
                <w:szCs w:val="21"/>
                <w:highlight w:val="none"/>
              </w:rPr>
              <w:t>潜在参选人须通过平台进入本项目下载有关比选文件的澄清或修改内容，如比选人/比选代理机构以邮件方式发布的，则以邮件内容为准。</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参选文件组成</w:t>
            </w:r>
          </w:p>
        </w:tc>
        <w:tc>
          <w:tcPr>
            <w:tcW w:w="6992" w:type="dxa"/>
            <w:vAlign w:val="center"/>
          </w:tcPr>
          <w:p>
            <w:pPr>
              <w:rPr>
                <w:rFonts w:ascii="宋体" w:hAnsi="宋体" w:cs="宋体"/>
                <w:color w:val="auto"/>
                <w:szCs w:val="21"/>
                <w:highlight w:val="none"/>
              </w:rPr>
            </w:pPr>
            <w:r>
              <w:rPr>
                <w:rFonts w:hint="eastAsia" w:ascii="宋体" w:hAnsi="宋体" w:cs="宋体"/>
                <w:color w:val="auto"/>
                <w:szCs w:val="21"/>
                <w:highlight w:val="none"/>
              </w:rPr>
              <w:t>参选文件必须按照以下顺序编制：</w:t>
            </w:r>
          </w:p>
          <w:p>
            <w:pPr>
              <w:pStyle w:val="45"/>
              <w:tabs>
                <w:tab w:val="left" w:pos="567"/>
                <w:tab w:val="left" w:pos="795"/>
              </w:tabs>
              <w:adjustRightInd w:val="0"/>
              <w:snapToGrid w:val="0"/>
              <w:ind w:firstLine="0" w:firstLineChars="0"/>
              <w:jc w:val="left"/>
              <w:rPr>
                <w:rFonts w:ascii="宋体" w:hAnsi="宋体"/>
                <w:b/>
                <w:color w:val="auto"/>
                <w:szCs w:val="21"/>
                <w:highlight w:val="none"/>
              </w:rPr>
            </w:pPr>
            <w:r>
              <w:rPr>
                <w:rFonts w:hint="eastAsia" w:ascii="宋体" w:hAnsi="宋体"/>
                <w:b/>
                <w:color w:val="auto"/>
                <w:szCs w:val="21"/>
                <w:highlight w:val="none"/>
              </w:rPr>
              <w:t>第一分册</w:t>
            </w:r>
            <w:r>
              <w:rPr>
                <w:rFonts w:ascii="宋体" w:hAnsi="宋体"/>
                <w:b/>
                <w:color w:val="auto"/>
                <w:szCs w:val="21"/>
                <w:highlight w:val="none"/>
              </w:rPr>
              <w:t xml:space="preserve"> </w:t>
            </w:r>
            <w:r>
              <w:rPr>
                <w:rFonts w:hint="eastAsia" w:ascii="宋体" w:hAnsi="宋体"/>
                <w:b/>
                <w:color w:val="auto"/>
                <w:szCs w:val="21"/>
                <w:highlight w:val="none"/>
              </w:rPr>
              <w:t>商务技术参选文件</w:t>
            </w:r>
            <w:r>
              <w:rPr>
                <w:rFonts w:hint="eastAsia" w:ascii="宋体" w:hAnsi="宋体"/>
                <w:b/>
                <w:color w:val="auto"/>
                <w:szCs w:val="21"/>
                <w:highlight w:val="none"/>
                <w:u w:val="single"/>
              </w:rPr>
              <w:t>（单独装订）</w:t>
            </w:r>
          </w:p>
          <w:p>
            <w:pPr>
              <w:tabs>
                <w:tab w:val="left" w:pos="567"/>
              </w:tabs>
              <w:adjustRightInd w:val="0"/>
              <w:snapToGrid w:val="0"/>
              <w:rPr>
                <w:rFonts w:ascii="宋体" w:hAnsi="宋体" w:cs="宋体"/>
                <w:color w:val="auto"/>
                <w:szCs w:val="21"/>
                <w:highlight w:val="none"/>
              </w:rPr>
            </w:pPr>
            <w:r>
              <w:rPr>
                <w:rFonts w:hint="eastAsia" w:ascii="宋体" w:hAnsi="宋体" w:cs="宋体"/>
                <w:color w:val="auto"/>
                <w:szCs w:val="21"/>
                <w:highlight w:val="none"/>
              </w:rPr>
              <w:t>商务技术参选文件封面</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商务技术评审索引表</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专用印章授权函（如有）</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参选函</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法定代表人（负责人）身份证明</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法定代表人（负责人）授权委托书</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廉洁参选承诺书</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联合体协议书（如有）</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参选人基本情况</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近年财务状况表</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近年完成的类似项目情况表</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商务规范书偏离表</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项目技术和服务要求点对点应答及偏离表</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项目管理团队承诺</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项目实施方案</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供应商承诺书</w:t>
            </w:r>
          </w:p>
          <w:p>
            <w:pPr>
              <w:pStyle w:val="45"/>
              <w:numPr>
                <w:ilvl w:val="0"/>
                <w:numId w:val="4"/>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要求参选人提供的其他文件</w:t>
            </w:r>
          </w:p>
          <w:p>
            <w:pPr>
              <w:tabs>
                <w:tab w:val="left" w:pos="567"/>
              </w:tabs>
              <w:adjustRightInd w:val="0"/>
              <w:snapToGrid w:val="0"/>
              <w:rPr>
                <w:rFonts w:ascii="宋体" w:hAnsi="宋体" w:cs="宋体"/>
                <w:b/>
                <w:color w:val="auto"/>
                <w:szCs w:val="21"/>
                <w:highlight w:val="none"/>
              </w:rPr>
            </w:pPr>
          </w:p>
          <w:p>
            <w:pPr>
              <w:pStyle w:val="45"/>
              <w:tabs>
                <w:tab w:val="left" w:pos="567"/>
                <w:tab w:val="left" w:pos="795"/>
              </w:tabs>
              <w:adjustRightInd w:val="0"/>
              <w:snapToGrid w:val="0"/>
              <w:ind w:firstLine="0" w:firstLineChars="0"/>
              <w:jc w:val="left"/>
              <w:rPr>
                <w:rFonts w:ascii="宋体" w:hAnsi="宋体" w:cs="宋体"/>
                <w:b/>
                <w:color w:val="auto"/>
                <w:szCs w:val="21"/>
                <w:highlight w:val="none"/>
              </w:rPr>
            </w:pPr>
            <w:r>
              <w:rPr>
                <w:rFonts w:hint="eastAsia" w:ascii="宋体" w:hAnsi="宋体" w:cs="宋体"/>
                <w:b/>
                <w:color w:val="auto"/>
                <w:szCs w:val="21"/>
                <w:highlight w:val="none"/>
              </w:rPr>
              <w:t>第二分册</w:t>
            </w:r>
            <w:r>
              <w:rPr>
                <w:rFonts w:ascii="宋体" w:hAnsi="宋体" w:cs="宋体"/>
                <w:b/>
                <w:color w:val="auto"/>
                <w:szCs w:val="21"/>
                <w:highlight w:val="none"/>
              </w:rPr>
              <w:t xml:space="preserve"> </w:t>
            </w:r>
            <w:r>
              <w:rPr>
                <w:rFonts w:hint="eastAsia" w:ascii="宋体" w:hAnsi="宋体" w:cs="宋体"/>
                <w:b/>
                <w:color w:val="auto"/>
                <w:szCs w:val="21"/>
                <w:highlight w:val="none"/>
              </w:rPr>
              <w:t>报价文件</w:t>
            </w:r>
            <w:r>
              <w:rPr>
                <w:rFonts w:hint="eastAsia" w:ascii="宋体" w:hAnsi="宋体"/>
                <w:b/>
                <w:color w:val="auto"/>
                <w:szCs w:val="21"/>
                <w:highlight w:val="none"/>
                <w:u w:val="single"/>
              </w:rPr>
              <w:t>（单独装订）</w:t>
            </w:r>
          </w:p>
          <w:p>
            <w:pPr>
              <w:tabs>
                <w:tab w:val="left" w:pos="567"/>
              </w:tabs>
              <w:adjustRightInd w:val="0"/>
              <w:snapToGrid w:val="0"/>
              <w:rPr>
                <w:rFonts w:ascii="宋体" w:hAnsi="宋体" w:cs="宋体"/>
                <w:color w:val="auto"/>
                <w:szCs w:val="21"/>
                <w:highlight w:val="none"/>
              </w:rPr>
            </w:pPr>
            <w:r>
              <w:rPr>
                <w:rFonts w:hint="eastAsia" w:ascii="宋体" w:hAnsi="宋体" w:cs="宋体"/>
                <w:color w:val="auto"/>
                <w:szCs w:val="21"/>
                <w:highlight w:val="none"/>
              </w:rPr>
              <w:t>报价文件封面</w:t>
            </w:r>
          </w:p>
          <w:p>
            <w:pPr>
              <w:pStyle w:val="45"/>
              <w:numPr>
                <w:ilvl w:val="0"/>
                <w:numId w:val="5"/>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参选一览表</w:t>
            </w:r>
          </w:p>
          <w:p>
            <w:pPr>
              <w:pStyle w:val="45"/>
              <w:numPr>
                <w:ilvl w:val="0"/>
                <w:numId w:val="5"/>
              </w:numPr>
              <w:tabs>
                <w:tab w:val="left" w:pos="567"/>
              </w:tabs>
              <w:adjustRightInd w:val="0"/>
              <w:snapToGrid w:val="0"/>
              <w:ind w:firstLineChars="0"/>
              <w:rPr>
                <w:rFonts w:ascii="宋体" w:hAnsi="宋体"/>
                <w:color w:val="auto"/>
                <w:szCs w:val="21"/>
                <w:highlight w:val="none"/>
              </w:rPr>
            </w:pPr>
            <w:r>
              <w:rPr>
                <w:rFonts w:hint="eastAsia" w:ascii="宋体" w:hAnsi="宋体" w:cs="宋体"/>
                <w:color w:val="auto"/>
                <w:szCs w:val="21"/>
                <w:highlight w:val="none"/>
              </w:rPr>
              <w:t>报价文件</w:t>
            </w:r>
          </w:p>
          <w:p>
            <w:pPr>
              <w:pStyle w:val="45"/>
              <w:numPr>
                <w:ilvl w:val="0"/>
                <w:numId w:val="5"/>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供应商税务资质信息表</w:t>
            </w:r>
          </w:p>
          <w:p>
            <w:pPr>
              <w:pStyle w:val="45"/>
              <w:numPr>
                <w:ilvl w:val="0"/>
                <w:numId w:val="5"/>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比选代理服务费支付同意函</w:t>
            </w:r>
          </w:p>
          <w:p>
            <w:pPr>
              <w:pStyle w:val="45"/>
              <w:numPr>
                <w:ilvl w:val="0"/>
                <w:numId w:val="5"/>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参选保证金凭证</w:t>
            </w:r>
          </w:p>
          <w:p>
            <w:pPr>
              <w:pStyle w:val="45"/>
              <w:numPr>
                <w:ilvl w:val="0"/>
                <w:numId w:val="5"/>
              </w:numPr>
              <w:tabs>
                <w:tab w:val="left" w:pos="567"/>
              </w:tabs>
              <w:adjustRightInd w:val="0"/>
              <w:snapToGrid w:val="0"/>
              <w:ind w:firstLineChars="0"/>
              <w:rPr>
                <w:rFonts w:ascii="宋体" w:hAnsi="宋体" w:cs="宋体"/>
                <w:color w:val="auto"/>
                <w:szCs w:val="21"/>
                <w:highlight w:val="none"/>
              </w:rPr>
            </w:pPr>
            <w:r>
              <w:rPr>
                <w:rFonts w:hint="eastAsia" w:ascii="宋体" w:hAnsi="宋体" w:cs="宋体"/>
                <w:color w:val="auto"/>
                <w:szCs w:val="21"/>
                <w:highlight w:val="none"/>
              </w:rPr>
              <w:t>中国人民银行颁发的基本账户开户证明</w:t>
            </w:r>
          </w:p>
          <w:p>
            <w:pPr>
              <w:pStyle w:val="45"/>
              <w:numPr>
                <w:ilvl w:val="0"/>
                <w:numId w:val="5"/>
              </w:numPr>
              <w:tabs>
                <w:tab w:val="left" w:pos="567"/>
              </w:tabs>
              <w:adjustRightInd w:val="0"/>
              <w:snapToGrid w:val="0"/>
              <w:ind w:firstLineChars="0"/>
              <w:rPr>
                <w:rFonts w:ascii="宋体" w:hAnsi="宋体" w:cs="宋体"/>
                <w:color w:val="auto"/>
                <w:szCs w:val="21"/>
                <w:highlight w:val="none"/>
              </w:rPr>
            </w:pPr>
            <w:r>
              <w:rPr>
                <w:rFonts w:hint="eastAsia" w:ascii="宋体" w:hAnsi="宋体" w:cs="宋体"/>
                <w:szCs w:val="21"/>
                <w:highlight w:val="none"/>
              </w:rPr>
              <w:t>中选意向承诺书（用于分标段且规定中选人中选标段数量的项目）</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3.2.2</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参选文件应答和编写</w:t>
            </w:r>
          </w:p>
        </w:tc>
        <w:tc>
          <w:tcPr>
            <w:tcW w:w="6992" w:type="dxa"/>
            <w:vAlign w:val="center"/>
          </w:tcPr>
          <w:p>
            <w:pPr>
              <w:autoSpaceDE w:val="0"/>
              <w:autoSpaceDN w:val="0"/>
              <w:rPr>
                <w:rFonts w:ascii="宋体" w:hAnsi="宋体" w:cs="宋体"/>
                <w:szCs w:val="21"/>
                <w:highlight w:val="none"/>
              </w:rPr>
            </w:pPr>
            <w:r>
              <w:rPr>
                <w:rFonts w:hint="eastAsia" w:ascii="宋体" w:hAnsi="宋体" w:cs="宋体"/>
                <w:szCs w:val="21"/>
                <w:highlight w:val="none"/>
              </w:rPr>
              <w:t>本条款增加以下规定：</w:t>
            </w:r>
          </w:p>
          <w:p>
            <w:pPr>
              <w:numPr>
                <w:ilvl w:val="0"/>
                <w:numId w:val="6"/>
              </w:numPr>
              <w:tabs>
                <w:tab w:val="left" w:pos="318"/>
              </w:tabs>
              <w:ind w:left="0" w:firstLine="0"/>
              <w:rPr>
                <w:rFonts w:ascii="宋体" w:hAnsi="宋体"/>
                <w:szCs w:val="21"/>
                <w:highlight w:val="none"/>
              </w:rPr>
            </w:pPr>
            <w:r>
              <w:rPr>
                <w:rFonts w:hint="eastAsia" w:ascii="宋体" w:hAnsi="宋体"/>
                <w:szCs w:val="21"/>
                <w:highlight w:val="none"/>
              </w:rPr>
              <w:t>参选人应</w:t>
            </w:r>
            <w:r>
              <w:rPr>
                <w:rFonts w:ascii="宋体" w:hAnsi="宋体"/>
                <w:szCs w:val="21"/>
                <w:highlight w:val="none"/>
              </w:rPr>
              <w:t>对比选文件中的</w:t>
            </w:r>
            <w:r>
              <w:rPr>
                <w:rFonts w:hint="eastAsia" w:ascii="宋体" w:hAnsi="宋体"/>
                <w:szCs w:val="21"/>
                <w:highlight w:val="none"/>
              </w:rPr>
              <w:t>第四章</w:t>
            </w:r>
            <w:r>
              <w:rPr>
                <w:rFonts w:ascii="宋体" w:hAnsi="宋体"/>
                <w:szCs w:val="21"/>
                <w:highlight w:val="none"/>
              </w:rPr>
              <w:t>“</w:t>
            </w:r>
            <w:r>
              <w:rPr>
                <w:rFonts w:hint="eastAsia" w:ascii="宋体" w:hAnsi="宋体"/>
                <w:szCs w:val="21"/>
                <w:highlight w:val="none"/>
              </w:rPr>
              <w:t>商务规范书</w:t>
            </w:r>
            <w:r>
              <w:rPr>
                <w:rFonts w:ascii="宋体" w:hAnsi="宋体"/>
                <w:szCs w:val="21"/>
                <w:highlight w:val="none"/>
              </w:rPr>
              <w:t>”</w:t>
            </w:r>
            <w:r>
              <w:rPr>
                <w:rFonts w:hint="eastAsia" w:ascii="宋体" w:hAnsi="宋体"/>
                <w:szCs w:val="21"/>
                <w:highlight w:val="none"/>
              </w:rPr>
              <w:t>和第七章“技术标准和要求”</w:t>
            </w:r>
            <w:r>
              <w:rPr>
                <w:rFonts w:ascii="宋体" w:hAnsi="宋体"/>
                <w:szCs w:val="21"/>
                <w:highlight w:val="none"/>
              </w:rPr>
              <w:t>进行点对点应答</w:t>
            </w:r>
            <w:r>
              <w:rPr>
                <w:rFonts w:hint="eastAsia" w:ascii="宋体" w:hAnsi="宋体"/>
                <w:szCs w:val="21"/>
                <w:highlight w:val="none"/>
              </w:rPr>
              <w:t>或填写偏离表。</w:t>
            </w:r>
            <w:r>
              <w:rPr>
                <w:rFonts w:hint="eastAsia" w:ascii="宋体" w:hAnsi="宋体"/>
                <w:b/>
                <w:szCs w:val="21"/>
                <w:highlight w:val="none"/>
              </w:rPr>
              <w:t>没有点对点应答且无填写偏离表将</w:t>
            </w:r>
            <w:r>
              <w:rPr>
                <w:rFonts w:ascii="宋体" w:hAnsi="宋体"/>
                <w:b/>
                <w:szCs w:val="21"/>
                <w:highlight w:val="none"/>
              </w:rPr>
              <w:t>导致其参选</w:t>
            </w:r>
            <w:r>
              <w:rPr>
                <w:rFonts w:hint="eastAsia" w:ascii="宋体" w:hAnsi="宋体"/>
                <w:b/>
                <w:szCs w:val="21"/>
                <w:highlight w:val="none"/>
              </w:rPr>
              <w:t>无效。</w:t>
            </w:r>
          </w:p>
          <w:p>
            <w:pPr>
              <w:numPr>
                <w:ilvl w:val="0"/>
                <w:numId w:val="6"/>
              </w:numPr>
              <w:tabs>
                <w:tab w:val="left" w:pos="318"/>
              </w:tabs>
              <w:ind w:left="0" w:firstLine="0"/>
              <w:rPr>
                <w:rFonts w:ascii="宋体" w:hAnsi="宋体"/>
                <w:szCs w:val="21"/>
                <w:highlight w:val="none"/>
              </w:rPr>
            </w:pPr>
            <w:r>
              <w:rPr>
                <w:rFonts w:hint="eastAsia" w:ascii="宋体" w:hAnsi="宋体" w:cs="宋体"/>
                <w:bCs/>
                <w:szCs w:val="21"/>
                <w:highlight w:val="none"/>
              </w:rPr>
              <w:t>参选人须对每一款作出明确答复</w:t>
            </w:r>
            <w:r>
              <w:rPr>
                <w:rFonts w:ascii="宋体" w:hAnsi="宋体" w:cs="宋体"/>
                <w:bCs/>
                <w:szCs w:val="21"/>
                <w:highlight w:val="none"/>
              </w:rPr>
              <w:t>(</w:t>
            </w:r>
            <w:r>
              <w:rPr>
                <w:rFonts w:hint="eastAsia" w:ascii="宋体" w:hAnsi="宋体" w:cs="宋体"/>
                <w:bCs/>
                <w:szCs w:val="21"/>
                <w:highlight w:val="none"/>
              </w:rPr>
              <w:t>如果需要，可给出详细的应答内容</w:t>
            </w:r>
            <w:r>
              <w:rPr>
                <w:rFonts w:ascii="宋体" w:hAnsi="宋体" w:cs="宋体"/>
                <w:bCs/>
                <w:szCs w:val="21"/>
                <w:highlight w:val="none"/>
              </w:rPr>
              <w:t>)</w:t>
            </w:r>
            <w:r>
              <w:rPr>
                <w:rFonts w:hint="eastAsia" w:ascii="宋体" w:hAnsi="宋体" w:cs="宋体"/>
                <w:bCs/>
                <w:szCs w:val="21"/>
                <w:highlight w:val="none"/>
              </w:rPr>
              <w:t>，否则将可能被视为放弃应答。诸如“已知”、“理解”、“明白”或“同意”等这样非确切的答复是不可接受的。</w:t>
            </w:r>
          </w:p>
          <w:p>
            <w:pPr>
              <w:autoSpaceDE w:val="0"/>
              <w:autoSpaceDN w:val="0"/>
              <w:rPr>
                <w:rFonts w:ascii="宋体" w:hAnsi="宋体" w:cs="宋体"/>
                <w:bCs/>
                <w:szCs w:val="21"/>
                <w:highlight w:val="none"/>
              </w:rPr>
            </w:pPr>
            <w:r>
              <w:rPr>
                <w:rFonts w:hint="eastAsia" w:ascii="宋体" w:hAnsi="宋体" w:cs="宋体"/>
                <w:bCs/>
                <w:szCs w:val="21"/>
                <w:highlight w:val="none"/>
              </w:rPr>
              <w:t>如比选文件中所列指标有具体要求、参数或指标要求的，参选文件中除回答“满足”、“部分满足”或“不满足”外，还须列出具体要求、参数或指标。</w:t>
            </w:r>
          </w:p>
          <w:p>
            <w:pPr>
              <w:autoSpaceDE w:val="0"/>
              <w:autoSpaceDN w:val="0"/>
              <w:rPr>
                <w:rFonts w:ascii="宋体" w:hAnsi="宋体" w:cs="宋体"/>
                <w:szCs w:val="21"/>
                <w:highlight w:val="none"/>
              </w:rPr>
            </w:pPr>
            <w:r>
              <w:rPr>
                <w:rFonts w:ascii="宋体" w:hAnsi="宋体" w:cs="宋体"/>
                <w:szCs w:val="21"/>
                <w:highlight w:val="none"/>
              </w:rPr>
              <w:t>3. 参选人所提供的资质文件、函件、应答等，必须正确、有效，如比选文件有提供格式的，应严格按比选文件提供的格式编制，否则可能影响评审委员会对参选文件的评审，由此引起的后果由参选人承担。</w:t>
            </w:r>
          </w:p>
          <w:p>
            <w:pPr>
              <w:pStyle w:val="93"/>
              <w:ind w:right="88" w:rightChars="42"/>
              <w:jc w:val="both"/>
              <w:rPr>
                <w:rFonts w:asciiTheme="minorEastAsia" w:hAnsiTheme="minorEastAsia" w:eastAsiaTheme="minorEastAsia"/>
                <w:color w:val="00B050"/>
                <w:sz w:val="21"/>
                <w:szCs w:val="21"/>
                <w:highlight w:val="none"/>
                <w:lang w:eastAsia="zh-CN"/>
              </w:rPr>
            </w:pPr>
            <w:r>
              <w:rPr>
                <w:rFonts w:asciiTheme="minorEastAsia" w:hAnsiTheme="minorEastAsia" w:eastAsiaTheme="minorEastAsia"/>
                <w:color w:val="00B050"/>
                <w:sz w:val="21"/>
                <w:szCs w:val="21"/>
                <w:highlight w:val="none"/>
                <w:lang w:eastAsia="zh-CN"/>
              </w:rPr>
              <w:t>4.电子</w:t>
            </w:r>
            <w:r>
              <w:rPr>
                <w:rFonts w:hint="eastAsia" w:asciiTheme="minorEastAsia" w:hAnsiTheme="minorEastAsia" w:eastAsiaTheme="minorEastAsia"/>
                <w:color w:val="00B050"/>
                <w:sz w:val="21"/>
                <w:szCs w:val="21"/>
                <w:highlight w:val="none"/>
                <w:lang w:eastAsia="zh-CN"/>
              </w:rPr>
              <w:t>参选</w:t>
            </w:r>
            <w:r>
              <w:rPr>
                <w:rFonts w:asciiTheme="minorEastAsia" w:hAnsiTheme="minorEastAsia" w:eastAsiaTheme="minorEastAsia"/>
                <w:color w:val="00B050"/>
                <w:sz w:val="21"/>
                <w:szCs w:val="21"/>
                <w:highlight w:val="none"/>
                <w:lang w:eastAsia="zh-CN"/>
              </w:rPr>
              <w:t>文件：</w:t>
            </w:r>
          </w:p>
          <w:p>
            <w:pPr>
              <w:widowControl/>
              <w:jc w:val="left"/>
              <w:rPr>
                <w:rFonts w:asciiTheme="minorEastAsia" w:hAnsiTheme="minorEastAsia" w:eastAsiaTheme="minorEastAsia"/>
                <w:color w:val="00B050"/>
                <w:szCs w:val="21"/>
                <w:highlight w:val="none"/>
              </w:rPr>
            </w:pPr>
            <w:r>
              <w:rPr>
                <w:rFonts w:hint="eastAsia" w:asciiTheme="minorEastAsia" w:hAnsiTheme="minorEastAsia" w:eastAsiaTheme="minorEastAsia"/>
                <w:color w:val="00B050"/>
                <w:szCs w:val="21"/>
                <w:highlight w:val="none"/>
              </w:rPr>
              <w:t>（1）电子参选文件需使用专用制作工具编制，参选人</w:t>
            </w:r>
            <w:r>
              <w:rPr>
                <w:rFonts w:hint="eastAsia"/>
                <w:bCs/>
                <w:color w:val="008000"/>
                <w:kern w:val="0"/>
                <w:szCs w:val="21"/>
                <w:highlight w:val="none"/>
              </w:rPr>
              <w:t>需登录中国电信供应链系统（</w:t>
            </w:r>
            <w:r>
              <w:rPr>
                <w:bCs/>
                <w:color w:val="008000"/>
                <w:kern w:val="0"/>
                <w:szCs w:val="21"/>
                <w:highlight w:val="none"/>
              </w:rPr>
              <w:t>CTSC</w:t>
            </w:r>
            <w:r>
              <w:rPr>
                <w:rFonts w:hint="eastAsia"/>
                <w:bCs/>
                <w:color w:val="008000"/>
                <w:kern w:val="0"/>
                <w:szCs w:val="21"/>
                <w:highlight w:val="none"/>
              </w:rPr>
              <w:t>）通过</w:t>
            </w:r>
            <w:r>
              <w:rPr>
                <w:bCs/>
                <w:color w:val="008000"/>
                <w:kern w:val="0"/>
                <w:szCs w:val="21"/>
                <w:highlight w:val="none"/>
              </w:rPr>
              <w:t>“</w:t>
            </w:r>
            <w:r>
              <w:rPr>
                <w:rFonts w:hint="eastAsia"/>
                <w:bCs/>
                <w:color w:val="008000"/>
                <w:kern w:val="0"/>
                <w:szCs w:val="21"/>
                <w:highlight w:val="none"/>
              </w:rPr>
              <w:t>工作台</w:t>
            </w:r>
            <w:r>
              <w:rPr>
                <w:bCs/>
                <w:color w:val="008000"/>
                <w:kern w:val="0"/>
                <w:szCs w:val="21"/>
                <w:highlight w:val="none"/>
              </w:rPr>
              <w:t>-</w:t>
            </w:r>
            <w:r>
              <w:rPr>
                <w:rFonts w:hint="eastAsia"/>
                <w:bCs/>
                <w:color w:val="008000"/>
                <w:kern w:val="0"/>
                <w:szCs w:val="21"/>
                <w:highlight w:val="none"/>
              </w:rPr>
              <w:t>在线投标</w:t>
            </w:r>
            <w:r>
              <w:rPr>
                <w:bCs/>
                <w:color w:val="008000"/>
                <w:kern w:val="0"/>
                <w:szCs w:val="21"/>
                <w:highlight w:val="none"/>
              </w:rPr>
              <w:t>”</w:t>
            </w:r>
            <w:r>
              <w:rPr>
                <w:rFonts w:hint="eastAsia"/>
                <w:bCs/>
                <w:color w:val="008000"/>
                <w:kern w:val="0"/>
                <w:szCs w:val="21"/>
                <w:highlight w:val="none"/>
              </w:rPr>
              <w:t>模块跳转至“中国电信电子采购系统”</w:t>
            </w:r>
            <w:r>
              <w:rPr>
                <w:rFonts w:hint="eastAsia" w:ascii="宋体" w:hAnsi="宋体" w:cs="宋体"/>
                <w:kern w:val="0"/>
                <w:sz w:val="24"/>
                <w:highlight w:val="none"/>
              </w:rPr>
              <w:t xml:space="preserve"> </w:t>
            </w:r>
            <w:r>
              <w:rPr>
                <w:rFonts w:hint="eastAsia" w:asciiTheme="minorEastAsia" w:hAnsiTheme="minorEastAsia" w:eastAsiaTheme="minorEastAsia"/>
                <w:color w:val="00B050"/>
                <w:szCs w:val="21"/>
                <w:highlight w:val="none"/>
              </w:rPr>
              <w:t>后在“操作手册”模块下载并安装“中国电信电子采购系统V2.1投标制作工具”。</w:t>
            </w:r>
          </w:p>
          <w:p>
            <w:pPr>
              <w:pStyle w:val="93"/>
              <w:ind w:right="88" w:rightChars="42"/>
              <w:rPr>
                <w:rFonts w:asciiTheme="minorEastAsia" w:hAnsiTheme="minorEastAsia" w:eastAsiaTheme="minorEastAsia"/>
                <w:color w:val="00B050"/>
                <w:sz w:val="21"/>
                <w:szCs w:val="21"/>
                <w:highlight w:val="none"/>
                <w:lang w:eastAsia="zh-CN"/>
              </w:rPr>
            </w:pPr>
            <w:r>
              <w:rPr>
                <w:rFonts w:hint="eastAsia" w:asciiTheme="minorEastAsia" w:hAnsiTheme="minorEastAsia" w:eastAsiaTheme="minorEastAsia"/>
                <w:color w:val="00B050"/>
                <w:sz w:val="21"/>
                <w:szCs w:val="21"/>
                <w:highlight w:val="none"/>
                <w:lang w:eastAsia="zh-CN"/>
              </w:rPr>
              <w:t>（2）参选文件需按照组成部分分别完成编制，单个组成部分大小不超过50Mb，总容量不超过500Mb。</w:t>
            </w:r>
          </w:p>
          <w:p>
            <w:pPr>
              <w:pStyle w:val="93"/>
              <w:ind w:right="88" w:rightChars="42"/>
              <w:rPr>
                <w:rFonts w:asciiTheme="minorEastAsia" w:hAnsiTheme="minorEastAsia" w:eastAsiaTheme="minorEastAsia"/>
                <w:color w:val="00B050"/>
                <w:sz w:val="21"/>
                <w:szCs w:val="21"/>
                <w:highlight w:val="none"/>
                <w:lang w:eastAsia="zh-CN"/>
              </w:rPr>
            </w:pPr>
            <w:r>
              <w:rPr>
                <w:rFonts w:hint="eastAsia" w:asciiTheme="minorEastAsia" w:hAnsiTheme="minorEastAsia" w:eastAsiaTheme="minorEastAsia"/>
                <w:color w:val="00B050"/>
                <w:sz w:val="21"/>
                <w:szCs w:val="21"/>
                <w:highlight w:val="none"/>
                <w:lang w:eastAsia="zh-CN"/>
              </w:rPr>
              <w:t>（3）电子参选文件以及相关证明文件均须清晰可读，明确要求的内容不得遮盖、隐藏，否则视为未提供。</w:t>
            </w:r>
          </w:p>
          <w:p>
            <w:pPr>
              <w:widowControl/>
              <w:jc w:val="left"/>
              <w:rPr>
                <w:rFonts w:asciiTheme="minorEastAsia" w:hAnsiTheme="minorEastAsia" w:eastAsiaTheme="minorEastAsia"/>
                <w:color w:val="00B050"/>
                <w:sz w:val="21"/>
                <w:szCs w:val="21"/>
                <w:highlight w:val="none"/>
                <w:lang w:eastAsia="zh-CN"/>
              </w:rPr>
            </w:pPr>
            <w:r>
              <w:rPr>
                <w:rFonts w:hint="eastAsia" w:ascii="宋体" w:hAnsi="宋体"/>
                <w:bCs/>
                <w:color w:val="008000"/>
                <w:kern w:val="0"/>
                <w:szCs w:val="21"/>
                <w:highlight w:val="none"/>
              </w:rPr>
              <w:t>（4）根据中国电信CA密钥升级的通知，一章到底升级后密钥中存储的章样将替换为中国电信统一格式的章样：“xx(申请人名称)业务专业章(序号)”，供应商通过CA密钥在电子标书中生成的章样为“xx(申请人名称)业务专业章”，无须再单独提供业务专用章备案证明及授权函。</w:t>
            </w:r>
            <w:r>
              <w:rPr>
                <w:rFonts w:hint="eastAsia" w:ascii="宋体" w:hAnsi="宋体" w:cs="宋体"/>
                <w:kern w:val="0"/>
                <w:sz w:val="24"/>
                <w:highlight w:val="none"/>
              </w:rPr>
              <w:t xml:space="preserve"> </w:t>
            </w:r>
          </w:p>
          <w:p>
            <w:pPr>
              <w:autoSpaceDE w:val="0"/>
              <w:autoSpaceDN w:val="0"/>
              <w:rPr>
                <w:rFonts w:ascii="宋体" w:hAnsi="宋体" w:cs="宋体"/>
                <w:color w:val="auto"/>
                <w:szCs w:val="21"/>
                <w:highlight w:val="none"/>
              </w:rPr>
            </w:pPr>
            <w:r>
              <w:rPr>
                <w:rFonts w:asciiTheme="minorEastAsia" w:hAnsiTheme="minorEastAsia" w:eastAsiaTheme="minorEastAsia"/>
                <w:color w:val="00B050"/>
                <w:szCs w:val="21"/>
                <w:highlight w:val="none"/>
              </w:rPr>
              <w:t>5</w:t>
            </w:r>
            <w:r>
              <w:rPr>
                <w:rFonts w:hint="eastAsia" w:asciiTheme="minorEastAsia" w:hAnsiTheme="minorEastAsia" w:eastAsiaTheme="minorEastAsia"/>
                <w:color w:val="00B050"/>
                <w:szCs w:val="21"/>
                <w:highlight w:val="none"/>
              </w:rPr>
              <w:t>.联合体参选的</w:t>
            </w:r>
            <w:r>
              <w:rPr>
                <w:rFonts w:hint="eastAsia" w:asciiTheme="minorEastAsia" w:hAnsiTheme="minorEastAsia" w:eastAsiaTheme="minorEastAsia"/>
                <w:color w:val="00B050"/>
                <w:szCs w:val="21"/>
                <w:highlight w:val="none"/>
                <w:lang w:val="en-US" w:eastAsia="zh-CN"/>
              </w:rPr>
              <w:t>(如有)</w:t>
            </w:r>
            <w:r>
              <w:rPr>
                <w:rFonts w:hint="eastAsia" w:asciiTheme="minorEastAsia" w:hAnsiTheme="minorEastAsia" w:eastAsiaTheme="minorEastAsia"/>
                <w:color w:val="00B050"/>
                <w:szCs w:val="21"/>
                <w:highlight w:val="none"/>
              </w:rPr>
              <w:t>，除涉及联合体各成员专业分工的应答内容外，其他要求提供的资质文件，联合体每一成员均应各自提供。否则可能影响评审委员会对参选文件的评审，由此引起的后果由参选人承担。</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3.2.4（A）</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b/>
                <w:color w:val="auto"/>
                <w:szCs w:val="21"/>
                <w:highlight w:val="none"/>
              </w:rPr>
              <w:t>※</w:t>
            </w:r>
            <w:r>
              <w:rPr>
                <w:rFonts w:hint="eastAsia" w:ascii="宋体" w:hAnsi="宋体" w:cs="宋体"/>
                <w:b/>
                <w:color w:val="auto"/>
                <w:szCs w:val="21"/>
                <w:highlight w:val="none"/>
              </w:rPr>
              <w:t>参选文件的盖章或者签字</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s="宋体"/>
                <w:color w:val="auto"/>
                <w:szCs w:val="21"/>
                <w:highlight w:val="none"/>
              </w:rPr>
              <w:t>本条款增加以下规定：参选文件签字或盖章要求（适用于以纸质参选文件为准的情况）</w:t>
            </w:r>
          </w:p>
          <w:p>
            <w:pPr>
              <w:numPr>
                <w:ilvl w:val="0"/>
                <w:numId w:val="7"/>
              </w:numPr>
              <w:rPr>
                <w:rFonts w:ascii="宋体" w:hAnsi="宋体"/>
                <w:b/>
                <w:color w:val="auto"/>
                <w:szCs w:val="21"/>
                <w:highlight w:val="none"/>
              </w:rPr>
            </w:pPr>
            <w:r>
              <w:rPr>
                <w:rFonts w:hint="eastAsia" w:ascii="宋体" w:hAnsi="宋体"/>
                <w:b/>
                <w:color w:val="auto"/>
                <w:szCs w:val="21"/>
                <w:highlight w:val="none"/>
              </w:rPr>
              <w:t>参选文件中凡出现单位名称和法定代表人/负责人或其委托代理人签字落款的地方均须：逐页加盖单位公章并由法定代表人/负责人逐页手签或盖人名章；或者逐页加盖单位公章并由法定代表人/负责人授权的委托代理人逐页手签，如使用依照国家行政部门要求已备案的投标专用章、业务专用章的，应提供所使用印章的合法备案证明。</w:t>
            </w:r>
          </w:p>
          <w:p>
            <w:pPr>
              <w:ind w:left="360"/>
              <w:rPr>
                <w:rFonts w:ascii="宋体" w:hAnsi="宋体"/>
                <w:b/>
                <w:color w:val="auto"/>
                <w:szCs w:val="21"/>
                <w:highlight w:val="none"/>
              </w:rPr>
            </w:pPr>
            <w:r>
              <w:rPr>
                <w:rFonts w:hint="eastAsia" w:ascii="宋体" w:hAnsi="宋体"/>
                <w:b/>
                <w:color w:val="auto"/>
                <w:szCs w:val="21"/>
                <w:highlight w:val="none"/>
              </w:rPr>
              <w:t>法定代表人/负责人授权委托代理人签字的，应提供法定代表人/负责人授权委托书。法定代表人/负责人授权委托书应逐页加盖单位公章，并由法定代表人/负责人逐页手签或盖人名章、委托代理人逐页手签。</w:t>
            </w:r>
          </w:p>
          <w:p>
            <w:pPr>
              <w:numPr>
                <w:ilvl w:val="0"/>
                <w:numId w:val="7"/>
              </w:numPr>
              <w:rPr>
                <w:rFonts w:ascii="宋体" w:hAnsi="宋体"/>
                <w:color w:val="auto"/>
                <w:szCs w:val="21"/>
                <w:highlight w:val="none"/>
              </w:rPr>
            </w:pPr>
            <w:r>
              <w:rPr>
                <w:rFonts w:hint="eastAsia" w:ascii="宋体" w:hAnsi="宋体"/>
                <w:color w:val="auto"/>
                <w:szCs w:val="21"/>
                <w:highlight w:val="none"/>
              </w:rPr>
              <w:t>同时参选文件签字盖章必须符合以下其中一种：</w:t>
            </w:r>
          </w:p>
          <w:p>
            <w:pPr>
              <w:numPr>
                <w:ilvl w:val="0"/>
                <w:numId w:val="8"/>
              </w:numPr>
              <w:rPr>
                <w:rFonts w:ascii="宋体" w:hAnsi="宋体"/>
                <w:color w:val="auto"/>
                <w:szCs w:val="21"/>
                <w:highlight w:val="none"/>
              </w:rPr>
            </w:pPr>
            <w:r>
              <w:rPr>
                <w:rFonts w:hint="eastAsia" w:ascii="宋体" w:hAnsi="宋体"/>
                <w:color w:val="auto"/>
                <w:szCs w:val="21"/>
                <w:highlight w:val="none"/>
              </w:rPr>
              <w:t>参选人的法定代表人/负责人逐页手签或盖人名章，或者由法定代表人/负责人委托代理人逐页手签法定代表人（负责人）或其授权的代理人逐页签字；</w:t>
            </w:r>
          </w:p>
          <w:p>
            <w:pPr>
              <w:numPr>
                <w:ilvl w:val="0"/>
                <w:numId w:val="8"/>
              </w:numPr>
              <w:ind w:left="381" w:hanging="381"/>
              <w:rPr>
                <w:rFonts w:ascii="宋体" w:hAnsi="宋体"/>
                <w:color w:val="auto"/>
                <w:szCs w:val="21"/>
                <w:highlight w:val="none"/>
              </w:rPr>
            </w:pPr>
            <w:r>
              <w:rPr>
                <w:rFonts w:hint="eastAsia" w:ascii="宋体" w:hAnsi="宋体"/>
                <w:color w:val="auto"/>
                <w:szCs w:val="21"/>
                <w:highlight w:val="none"/>
              </w:rPr>
              <w:t>加盖参选人单位骑缝章；</w:t>
            </w:r>
          </w:p>
          <w:p>
            <w:pPr>
              <w:numPr>
                <w:ilvl w:val="0"/>
                <w:numId w:val="8"/>
              </w:numPr>
              <w:ind w:left="381" w:hanging="381"/>
              <w:rPr>
                <w:rFonts w:ascii="宋体" w:hAnsi="宋体"/>
                <w:color w:val="auto"/>
                <w:szCs w:val="21"/>
                <w:highlight w:val="none"/>
              </w:rPr>
            </w:pPr>
            <w:r>
              <w:rPr>
                <w:rFonts w:hint="eastAsia" w:ascii="宋体" w:hAnsi="宋体"/>
                <w:color w:val="auto"/>
                <w:szCs w:val="21"/>
                <w:highlight w:val="none"/>
              </w:rPr>
              <w:t>逐页加盖参选人单位印章。</w:t>
            </w:r>
            <w:r>
              <w:rPr>
                <w:rFonts w:ascii="宋体" w:hAnsi="宋体"/>
                <w:color w:val="auto"/>
                <w:szCs w:val="21"/>
                <w:highlight w:val="none"/>
              </w:rPr>
              <w:t xml:space="preserve"> </w:t>
            </w:r>
          </w:p>
          <w:p>
            <w:pPr>
              <w:numPr>
                <w:ilvl w:val="0"/>
                <w:numId w:val="7"/>
              </w:numPr>
              <w:rPr>
                <w:rFonts w:ascii="宋体" w:hAnsi="宋体"/>
                <w:b/>
                <w:color w:val="auto"/>
                <w:szCs w:val="21"/>
                <w:highlight w:val="none"/>
              </w:rPr>
            </w:pPr>
            <w:r>
              <w:rPr>
                <w:rFonts w:hint="eastAsia" w:ascii="宋体" w:hAnsi="宋体"/>
                <w:b/>
                <w:color w:val="auto"/>
                <w:szCs w:val="21"/>
                <w:highlight w:val="none"/>
              </w:rPr>
              <w:t>请按上述要求制作参选文件，否则其参选将被否决。</w:t>
            </w:r>
          </w:p>
          <w:p>
            <w:pPr>
              <w:numPr>
                <w:ilvl w:val="0"/>
                <w:numId w:val="7"/>
              </w:numPr>
              <w:rPr>
                <w:rFonts w:ascii="宋体" w:hAnsi="宋体" w:cs="宋体"/>
                <w:color w:val="auto"/>
                <w:szCs w:val="21"/>
                <w:highlight w:val="none"/>
              </w:rPr>
            </w:pPr>
            <w:r>
              <w:rPr>
                <w:rFonts w:hint="eastAsia" w:ascii="宋体" w:hAnsi="宋体" w:cs="宋体"/>
                <w:color w:val="auto"/>
                <w:szCs w:val="21"/>
                <w:highlight w:val="none"/>
              </w:rPr>
              <w:t>参选人为联合体的，参选文件除按照上述规定签署外，还应遵守以下要求：</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1）“联合体协议书”由联合体各方共同签字并盖章；</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2）“法定代表人/负责人身份证明”由联合体各方分别提供，分别盖章；</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3）“廉洁参选承诺书”由联合体各方分别提供，分别签字并盖章；</w:t>
            </w:r>
          </w:p>
          <w:p>
            <w:pPr>
              <w:autoSpaceDE w:val="0"/>
              <w:autoSpaceDN w:val="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4）其他参选文件组成部分可由牵头方负责签字、盖章。</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3.2.4（B）</w:t>
            </w:r>
          </w:p>
        </w:tc>
        <w:tc>
          <w:tcPr>
            <w:tcW w:w="1843" w:type="dxa"/>
            <w:vAlign w:val="center"/>
          </w:tcPr>
          <w:p>
            <w:pPr>
              <w:autoSpaceDE w:val="0"/>
              <w:autoSpaceDN w:val="0"/>
              <w:jc w:val="center"/>
              <w:rPr>
                <w:rFonts w:ascii="宋体" w:hAnsi="宋体"/>
                <w:b/>
                <w:color w:val="auto"/>
                <w:szCs w:val="21"/>
                <w:highlight w:val="none"/>
              </w:rPr>
            </w:pPr>
            <w:r>
              <w:rPr>
                <w:rFonts w:hint="eastAsia" w:ascii="宋体" w:hAnsi="宋体"/>
                <w:b/>
                <w:color w:val="auto"/>
                <w:szCs w:val="21"/>
                <w:highlight w:val="none"/>
              </w:rPr>
              <w:t>※</w:t>
            </w:r>
            <w:r>
              <w:rPr>
                <w:rFonts w:hint="eastAsia" w:ascii="宋体" w:hAnsi="宋体" w:cs="宋体"/>
                <w:b/>
                <w:color w:val="auto"/>
                <w:szCs w:val="21"/>
                <w:highlight w:val="none"/>
              </w:rPr>
              <w:t>参选文件的盖章或者签字</w:t>
            </w:r>
          </w:p>
        </w:tc>
        <w:tc>
          <w:tcPr>
            <w:tcW w:w="6992" w:type="dxa"/>
            <w:vAlign w:val="center"/>
          </w:tcPr>
          <w:p>
            <w:pPr>
              <w:pStyle w:val="93"/>
              <w:jc w:val="both"/>
              <w:rPr>
                <w:b/>
                <w:color w:val="0070C0"/>
                <w:sz w:val="21"/>
                <w:szCs w:val="21"/>
                <w:highlight w:val="none"/>
                <w:lang w:eastAsia="zh-CN"/>
              </w:rPr>
            </w:pPr>
            <w:r>
              <w:rPr>
                <w:rFonts w:hint="eastAsia"/>
                <w:color w:val="0070C0"/>
                <w:sz w:val="21"/>
                <w:szCs w:val="21"/>
                <w:highlight w:val="none"/>
                <w:lang w:eastAsia="zh-CN"/>
              </w:rPr>
              <w:t>参选文件签字或盖章要求</w:t>
            </w:r>
            <w:r>
              <w:rPr>
                <w:rFonts w:hint="eastAsia"/>
                <w:b/>
                <w:color w:val="0070C0"/>
                <w:sz w:val="21"/>
                <w:szCs w:val="21"/>
                <w:highlight w:val="none"/>
                <w:lang w:eastAsia="zh-CN"/>
              </w:rPr>
              <w:t>（适用于以电子参选文件为准的情况）</w:t>
            </w:r>
          </w:p>
          <w:p>
            <w:pPr>
              <w:pStyle w:val="93"/>
              <w:ind w:right="88" w:rightChars="42"/>
              <w:jc w:val="both"/>
              <w:rPr>
                <w:color w:val="0070C0"/>
                <w:sz w:val="21"/>
                <w:szCs w:val="21"/>
                <w:highlight w:val="none"/>
                <w:lang w:eastAsia="zh-CN"/>
              </w:rPr>
            </w:pPr>
            <w:r>
              <w:rPr>
                <w:rFonts w:hint="eastAsia"/>
                <w:color w:val="0070C0"/>
                <w:sz w:val="21"/>
                <w:szCs w:val="21"/>
                <w:highlight w:val="none"/>
                <w:lang w:eastAsia="zh-CN"/>
              </w:rPr>
              <w:t>1．电子参选文件须使用参选人CA数字证书签章和加密，并通过专用制作工具生成加密和不加密电子参选文件一对。未按规定签章和加密的电子参选文件无法上传。</w:t>
            </w:r>
          </w:p>
          <w:p>
            <w:pPr>
              <w:pStyle w:val="93"/>
              <w:ind w:right="88" w:rightChars="42"/>
              <w:jc w:val="both"/>
              <w:rPr>
                <w:color w:val="0070C0"/>
                <w:sz w:val="21"/>
                <w:szCs w:val="21"/>
                <w:highlight w:val="none"/>
                <w:lang w:eastAsia="zh-CN"/>
              </w:rPr>
            </w:pPr>
            <w:r>
              <w:rPr>
                <w:rFonts w:hint="eastAsia"/>
                <w:color w:val="0070C0"/>
                <w:sz w:val="21"/>
                <w:szCs w:val="21"/>
                <w:highlight w:val="none"/>
                <w:lang w:eastAsia="zh-CN"/>
              </w:rPr>
              <w:t>2．</w:t>
            </w:r>
            <w:r>
              <w:rPr>
                <w:color w:val="0070C0"/>
                <w:sz w:val="21"/>
                <w:szCs w:val="21"/>
                <w:highlight w:val="none"/>
                <w:lang w:eastAsia="zh-CN"/>
              </w:rPr>
              <w:t>需要第三方签字盖章确认的文件，如制造商</w:t>
            </w:r>
            <w:r>
              <w:rPr>
                <w:rFonts w:hint="eastAsia"/>
                <w:color w:val="0070C0"/>
                <w:sz w:val="21"/>
                <w:szCs w:val="21"/>
                <w:highlight w:val="none"/>
                <w:lang w:eastAsia="zh-CN"/>
              </w:rPr>
              <w:t>授权函</w:t>
            </w:r>
            <w:r>
              <w:rPr>
                <w:color w:val="0070C0"/>
                <w:sz w:val="21"/>
                <w:szCs w:val="21"/>
                <w:highlight w:val="none"/>
                <w:lang w:eastAsia="zh-CN"/>
              </w:rPr>
              <w:t>等，</w:t>
            </w:r>
            <w:r>
              <w:rPr>
                <w:rFonts w:hint="eastAsia"/>
                <w:color w:val="0070C0"/>
                <w:sz w:val="21"/>
                <w:szCs w:val="21"/>
                <w:highlight w:val="none"/>
                <w:lang w:eastAsia="zh-CN"/>
              </w:rPr>
              <w:t>参选人应在参选文件正文上传签字盖章后的扫描件</w:t>
            </w:r>
            <w:r>
              <w:rPr>
                <w:color w:val="0070C0"/>
                <w:sz w:val="21"/>
                <w:szCs w:val="21"/>
                <w:highlight w:val="none"/>
                <w:lang w:eastAsia="zh-CN"/>
              </w:rPr>
              <w:t>。</w:t>
            </w:r>
          </w:p>
          <w:p>
            <w:pPr>
              <w:autoSpaceDE w:val="0"/>
              <w:autoSpaceDN w:val="0"/>
              <w:rPr>
                <w:rFonts w:ascii="宋体" w:hAnsi="宋体" w:cs="宋体"/>
                <w:color w:val="auto"/>
                <w:szCs w:val="21"/>
                <w:highlight w:val="none"/>
              </w:rPr>
            </w:pPr>
            <w:r>
              <w:rPr>
                <w:color w:val="0070C0"/>
                <w:szCs w:val="21"/>
                <w:highlight w:val="none"/>
              </w:rPr>
              <w:t>3.请按上述要求制作</w:t>
            </w:r>
            <w:r>
              <w:rPr>
                <w:rFonts w:hint="eastAsia"/>
                <w:color w:val="0070C0"/>
                <w:szCs w:val="21"/>
                <w:highlight w:val="none"/>
              </w:rPr>
              <w:t>参选</w:t>
            </w:r>
            <w:r>
              <w:rPr>
                <w:color w:val="0070C0"/>
                <w:szCs w:val="21"/>
                <w:highlight w:val="none"/>
              </w:rPr>
              <w:t>文件，否则其</w:t>
            </w:r>
            <w:r>
              <w:rPr>
                <w:rFonts w:hint="eastAsia"/>
                <w:color w:val="0070C0"/>
                <w:szCs w:val="21"/>
                <w:highlight w:val="none"/>
              </w:rPr>
              <w:t>参选</w:t>
            </w:r>
            <w:r>
              <w:rPr>
                <w:color w:val="0070C0"/>
                <w:szCs w:val="21"/>
                <w:highlight w:val="none"/>
              </w:rPr>
              <w:t>将被否决。</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3.3.3</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b/>
                <w:color w:val="auto"/>
                <w:szCs w:val="21"/>
                <w:highlight w:val="none"/>
              </w:rPr>
              <w:t>※最高参选限价或者其计算方法</w:t>
            </w:r>
          </w:p>
        </w:tc>
        <w:tc>
          <w:tcPr>
            <w:tcW w:w="6992" w:type="dxa"/>
            <w:vAlign w:val="center"/>
          </w:tcPr>
          <w:p>
            <w:pPr>
              <w:autoSpaceDE w:val="0"/>
              <w:autoSpaceDN w:val="0"/>
              <w:rPr>
                <w:rFonts w:hint="eastAsia" w:ascii="宋体" w:hAnsi="宋体" w:eastAsia="宋体" w:cs="宋体"/>
                <w:color w:val="auto"/>
                <w:szCs w:val="21"/>
                <w:highlight w:val="none"/>
                <w:u w:val="single"/>
                <w:lang w:eastAsia="zh-CN"/>
              </w:rPr>
            </w:pPr>
            <w:r>
              <w:rPr>
                <w:rFonts w:hint="eastAsia" w:ascii="宋体" w:hAnsi="宋体" w:cs="宋体"/>
                <w:color w:val="auto"/>
                <w:szCs w:val="21"/>
                <w:highlight w:val="none"/>
              </w:rPr>
              <w:t>设置最高参选限价，最高参选限价详见</w:t>
            </w:r>
            <w:r>
              <w:rPr>
                <w:rFonts w:hint="eastAsia" w:ascii="宋体" w:hAnsi="宋体"/>
                <w:color w:val="auto"/>
                <w:szCs w:val="21"/>
                <w:highlight w:val="none"/>
              </w:rPr>
              <w:t>比选</w:t>
            </w:r>
            <w:r>
              <w:rPr>
                <w:rFonts w:ascii="宋体" w:hAnsi="宋体"/>
                <w:color w:val="auto"/>
                <w:szCs w:val="21"/>
                <w:highlight w:val="none"/>
              </w:rPr>
              <w:t>文件</w:t>
            </w:r>
            <w:r>
              <w:rPr>
                <w:rFonts w:hint="eastAsia" w:ascii="宋体" w:hAnsi="宋体"/>
                <w:color w:val="auto"/>
                <w:szCs w:val="21"/>
                <w:highlight w:val="none"/>
              </w:rPr>
              <w:t>第一章比选公告“</w:t>
            </w:r>
            <w:r>
              <w:rPr>
                <w:rFonts w:ascii="宋体" w:hAnsi="宋体"/>
                <w:color w:val="auto"/>
                <w:szCs w:val="21"/>
                <w:highlight w:val="none"/>
              </w:rPr>
              <w:t>1.项目概况与采购内容”1.3条款。</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3.3.5</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参选报价</w:t>
            </w:r>
            <w:r>
              <w:rPr>
                <w:rFonts w:hint="eastAsia" w:ascii="宋体" w:hAnsi="宋体"/>
                <w:color w:val="auto"/>
                <w:szCs w:val="21"/>
                <w:highlight w:val="none"/>
              </w:rPr>
              <w:t>优惠条件</w:t>
            </w:r>
          </w:p>
        </w:tc>
        <w:tc>
          <w:tcPr>
            <w:tcW w:w="6992" w:type="dxa"/>
            <w:vAlign w:val="center"/>
          </w:tcPr>
          <w:p>
            <w:pPr>
              <w:autoSpaceDE w:val="0"/>
              <w:autoSpaceDN w:val="0"/>
              <w:rPr>
                <w:rFonts w:hint="eastAsia" w:ascii="宋体" w:hAnsi="宋体" w:eastAsia="宋体" w:cs="宋体"/>
                <w:color w:val="auto"/>
                <w:szCs w:val="21"/>
                <w:highlight w:val="none"/>
                <w:u w:val="single"/>
                <w:lang w:eastAsia="zh-CN"/>
              </w:rPr>
            </w:pPr>
            <w:r>
              <w:rPr>
                <w:rFonts w:hint="eastAsia" w:ascii="宋体" w:hAnsi="宋体" w:cs="宋体"/>
                <w:color w:val="auto"/>
                <w:szCs w:val="21"/>
                <w:highlight w:val="none"/>
              </w:rPr>
              <w:t>不接受报优惠价</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3.3.6</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参选报价具体要求</w:t>
            </w:r>
          </w:p>
        </w:tc>
        <w:tc>
          <w:tcPr>
            <w:tcW w:w="6992" w:type="dxa"/>
            <w:vAlign w:val="center"/>
          </w:tcPr>
          <w:p>
            <w:pPr>
              <w:autoSpaceDE w:val="0"/>
              <w:autoSpaceDN w:val="0"/>
              <w:rPr>
                <w:rFonts w:ascii="宋体" w:hAnsi="宋体" w:cs="宋体"/>
                <w:szCs w:val="21"/>
                <w:highlight w:val="none"/>
              </w:rPr>
            </w:pPr>
            <w:r>
              <w:rPr>
                <w:rFonts w:hint="eastAsia" w:ascii="宋体" w:hAnsi="宋体" w:cs="宋体"/>
                <w:szCs w:val="21"/>
                <w:highlight w:val="none"/>
              </w:rPr>
              <w:t>本条款增加规定：</w:t>
            </w:r>
          </w:p>
          <w:p>
            <w:pPr>
              <w:autoSpaceDE w:val="0"/>
              <w:autoSpaceDN w:val="0"/>
              <w:rPr>
                <w:rFonts w:ascii="宋体" w:hAnsi="宋体" w:cs="宋体"/>
                <w:szCs w:val="21"/>
                <w:highlight w:val="none"/>
              </w:rPr>
            </w:pPr>
            <w:r>
              <w:rPr>
                <w:rFonts w:ascii="宋体" w:hAnsi="宋体" w:cs="宋体"/>
                <w:szCs w:val="21"/>
                <w:highlight w:val="none"/>
              </w:rPr>
              <w:t>1.</w:t>
            </w:r>
            <w:r>
              <w:rPr>
                <w:rFonts w:hint="eastAsia" w:ascii="宋体" w:hAnsi="宋体" w:cs="宋体"/>
                <w:szCs w:val="21"/>
                <w:highlight w:val="none"/>
              </w:rPr>
              <w:t>本项目采用价税分离的报价方式，参选人须按照第六章第二部分《报价文件部分》格式填写报价表。参选报价为实质性条款，参选人不允许修改及调整表格的设置，参选人漏报、少报的视为不满足实质性条款，其参选将被否决。</w:t>
            </w:r>
          </w:p>
          <w:p>
            <w:pPr>
              <w:autoSpaceDE w:val="0"/>
              <w:autoSpaceDN w:val="0"/>
              <w:rPr>
                <w:rFonts w:ascii="宋体" w:hAnsi="宋体" w:cs="宋体"/>
                <w:szCs w:val="21"/>
                <w:highlight w:val="none"/>
              </w:rPr>
            </w:pPr>
            <w:r>
              <w:rPr>
                <w:rFonts w:ascii="宋体" w:hAnsi="宋体" w:cs="宋体"/>
                <w:szCs w:val="21"/>
                <w:highlight w:val="none"/>
              </w:rPr>
              <w:t>2.</w:t>
            </w:r>
            <w:r>
              <w:rPr>
                <w:rFonts w:hint="eastAsia" w:ascii="宋体" w:hAnsi="宋体" w:cs="宋体"/>
                <w:szCs w:val="21"/>
                <w:highlight w:val="none"/>
              </w:rPr>
              <w:t>※参选人须提供增值税专用发票，否则将作否决参选处理。</w:t>
            </w:r>
          </w:p>
          <w:p>
            <w:pPr>
              <w:autoSpaceDE w:val="0"/>
              <w:autoSpaceDN w:val="0"/>
              <w:rPr>
                <w:rFonts w:ascii="宋体" w:hAnsi="宋体" w:cs="宋体"/>
                <w:szCs w:val="21"/>
                <w:highlight w:val="none"/>
              </w:rPr>
            </w:pPr>
            <w:r>
              <w:rPr>
                <w:rFonts w:hint="eastAsia" w:ascii="宋体" w:hAnsi="宋体" w:cs="宋体"/>
                <w:szCs w:val="21"/>
                <w:highlight w:val="none"/>
              </w:rPr>
              <w:t>本项目开具的发票类型为</w:t>
            </w:r>
            <w:r>
              <w:rPr>
                <w:rFonts w:hint="eastAsia" w:ascii="宋体" w:hAnsi="宋体" w:cs="宋体"/>
                <w:szCs w:val="21"/>
                <w:highlight w:val="none"/>
                <w:u w:val="single"/>
                <w:lang w:val="en-US" w:eastAsia="zh-CN"/>
              </w:rPr>
              <w:t>技术服务</w:t>
            </w:r>
            <w:r>
              <w:rPr>
                <w:rFonts w:hint="eastAsia" w:ascii="宋体" w:hAnsi="宋体" w:cs="宋体"/>
                <w:szCs w:val="21"/>
                <w:highlight w:val="none"/>
              </w:rPr>
              <w:t>类型。</w:t>
            </w:r>
          </w:p>
          <w:p>
            <w:pPr>
              <w:autoSpaceDE w:val="0"/>
              <w:autoSpaceDN w:val="0"/>
              <w:rPr>
                <w:rFonts w:ascii="宋体" w:hAnsi="宋体" w:cs="宋体"/>
                <w:szCs w:val="21"/>
                <w:highlight w:val="none"/>
              </w:rPr>
            </w:pPr>
            <w:r>
              <w:rPr>
                <w:rFonts w:hint="eastAsia" w:ascii="宋体" w:hAnsi="宋体"/>
                <w:b/>
                <w:szCs w:val="21"/>
                <w:highlight w:val="none"/>
              </w:rPr>
              <w:t>※</w:t>
            </w:r>
            <w:r>
              <w:rPr>
                <w:rFonts w:hint="eastAsia" w:ascii="宋体" w:hAnsi="宋体" w:cs="宋体"/>
                <w:szCs w:val="21"/>
                <w:highlight w:val="none"/>
              </w:rPr>
              <w:t>3.</w:t>
            </w:r>
            <w:r>
              <w:rPr>
                <w:rFonts w:hint="eastAsia"/>
                <w:highlight w:val="none"/>
              </w:rPr>
              <w:t xml:space="preserve"> </w:t>
            </w:r>
            <w:r>
              <w:rPr>
                <w:rFonts w:hint="eastAsia" w:ascii="宋体" w:hAnsi="宋体" w:cs="宋体"/>
                <w:b/>
                <w:szCs w:val="21"/>
                <w:highlight w:val="none"/>
              </w:rPr>
              <w:t>报价要求：本项目分别报各服务子项综合单价（</w:t>
            </w:r>
            <w:r>
              <w:rPr>
                <w:rFonts w:hint="eastAsia" w:ascii="宋体" w:hAnsi="宋体" w:cs="宋体"/>
                <w:b/>
                <w:szCs w:val="21"/>
                <w:highlight w:val="none"/>
                <w:lang w:val="en-US" w:eastAsia="zh-CN"/>
              </w:rPr>
              <w:t>不</w:t>
            </w:r>
            <w:r>
              <w:rPr>
                <w:rFonts w:hint="eastAsia" w:ascii="宋体" w:hAnsi="宋体" w:cs="宋体"/>
                <w:b/>
                <w:szCs w:val="21"/>
                <w:highlight w:val="none"/>
              </w:rPr>
              <w:t>含税）、项目总价（含税），其中各服务子项单价（</w:t>
            </w:r>
            <w:r>
              <w:rPr>
                <w:rFonts w:hint="eastAsia" w:ascii="宋体" w:hAnsi="宋体" w:cs="宋体"/>
                <w:b/>
                <w:szCs w:val="21"/>
                <w:highlight w:val="none"/>
                <w:lang w:val="en-US" w:eastAsia="zh-CN"/>
              </w:rPr>
              <w:t>不</w:t>
            </w:r>
            <w:r>
              <w:rPr>
                <w:rFonts w:hint="eastAsia" w:ascii="宋体" w:hAnsi="宋体" w:cs="宋体"/>
                <w:b/>
                <w:szCs w:val="21"/>
                <w:highlight w:val="none"/>
              </w:rPr>
              <w:t>含税）必须低于其对应的最高限价（</w:t>
            </w:r>
            <w:r>
              <w:rPr>
                <w:rFonts w:hint="eastAsia" w:ascii="宋体" w:hAnsi="宋体" w:cs="宋体"/>
                <w:b/>
                <w:szCs w:val="21"/>
                <w:highlight w:val="none"/>
                <w:lang w:val="en-US" w:eastAsia="zh-CN"/>
              </w:rPr>
              <w:t>不</w:t>
            </w:r>
            <w:r>
              <w:rPr>
                <w:rFonts w:hint="eastAsia" w:ascii="宋体" w:hAnsi="宋体" w:cs="宋体"/>
                <w:b/>
                <w:szCs w:val="21"/>
                <w:highlight w:val="none"/>
              </w:rPr>
              <w:t>含税）（最高限价具体详见分项报价表），项目总价（含税）必须低于预算金额，若经修正后的参选报价大于或等于参选最高限价的，将作否决参选处理。</w:t>
            </w:r>
          </w:p>
          <w:p>
            <w:pPr>
              <w:autoSpaceDE w:val="0"/>
              <w:autoSpaceDN w:val="0"/>
              <w:rPr>
                <w:rFonts w:ascii="宋体" w:hAnsi="宋体" w:cs="宋体"/>
                <w:szCs w:val="21"/>
                <w:highlight w:val="none"/>
              </w:rPr>
            </w:pPr>
            <w:r>
              <w:rPr>
                <w:rFonts w:ascii="宋体" w:hAnsi="宋体" w:cs="宋体"/>
                <w:szCs w:val="21"/>
                <w:highlight w:val="none"/>
              </w:rPr>
              <w:t>4</w:t>
            </w:r>
            <w:r>
              <w:rPr>
                <w:rFonts w:hint="eastAsia" w:ascii="宋体" w:hAnsi="宋体" w:cs="宋体"/>
                <w:szCs w:val="21"/>
                <w:highlight w:val="none"/>
              </w:rPr>
              <w:t>.参选报价包括但不限于相关税费、所有材料、业务服务人工类成本、利润、培训费、日常运营费用、客户服务过程中产生的交通费等。不接受总价折扣或优惠的报价方式。参选人在合同条款及格式和项目要求应答中承诺满足的功能、服务等，都应在报价中列出价格，否则视为报价中已包含或免费提供。</w:t>
            </w:r>
          </w:p>
          <w:p>
            <w:pPr>
              <w:autoSpaceDE w:val="0"/>
              <w:autoSpaceDN w:val="0"/>
              <w:rPr>
                <w:rFonts w:ascii="宋体" w:hAnsi="宋体" w:cs="宋体"/>
                <w:szCs w:val="21"/>
                <w:highlight w:val="none"/>
              </w:rPr>
            </w:pPr>
            <w:r>
              <w:rPr>
                <w:rFonts w:ascii="宋体" w:hAnsi="宋体" w:cs="宋体"/>
                <w:szCs w:val="21"/>
                <w:highlight w:val="none"/>
              </w:rPr>
              <w:t>5</w:t>
            </w:r>
            <w:r>
              <w:rPr>
                <w:rFonts w:hint="eastAsia" w:ascii="宋体" w:hAnsi="宋体" w:cs="宋体"/>
                <w:szCs w:val="21"/>
                <w:highlight w:val="none"/>
              </w:rPr>
              <w:t>. 参选一览表填写的项目总价（含税）应与分项报价表的项目总价（含税）保持一致，如不一致，将按照分项报价表中填写的单价（含税）为准修正项目总价（含税）。</w:t>
            </w:r>
          </w:p>
          <w:p>
            <w:pPr>
              <w:autoSpaceDE w:val="0"/>
              <w:autoSpaceDN w:val="0"/>
              <w:rPr>
                <w:rFonts w:ascii="宋体" w:hAnsi="宋体" w:cs="宋体"/>
                <w:szCs w:val="21"/>
                <w:highlight w:val="none"/>
              </w:rPr>
            </w:pPr>
            <w:r>
              <w:rPr>
                <w:rFonts w:ascii="宋体" w:hAnsi="宋体" w:cs="宋体"/>
                <w:szCs w:val="21"/>
                <w:highlight w:val="none"/>
              </w:rPr>
              <w:t>6</w:t>
            </w:r>
            <w:r>
              <w:rPr>
                <w:rFonts w:hint="eastAsia" w:ascii="宋体" w:hAnsi="宋体" w:cs="宋体"/>
                <w:szCs w:val="21"/>
                <w:highlight w:val="none"/>
              </w:rPr>
              <w:t>.分项报价表为《参选一览表》的报价明细表，如有缺项、漏项，视为参选报价中已包含相关费用，比选人无须另外支付任何费用；</w:t>
            </w:r>
          </w:p>
          <w:p>
            <w:pPr>
              <w:autoSpaceDE w:val="0"/>
              <w:autoSpaceDN w:val="0"/>
              <w:rPr>
                <w:rFonts w:ascii="宋体" w:hAnsi="宋体" w:cs="宋体"/>
                <w:color w:val="auto"/>
                <w:szCs w:val="21"/>
                <w:highlight w:val="none"/>
              </w:rPr>
            </w:pPr>
            <w:r>
              <w:rPr>
                <w:rFonts w:ascii="宋体" w:hAnsi="宋体" w:cs="宋体"/>
                <w:szCs w:val="21"/>
                <w:highlight w:val="none"/>
              </w:rPr>
              <w:t>7</w:t>
            </w:r>
            <w:r>
              <w:rPr>
                <w:rFonts w:hint="eastAsia" w:ascii="宋体" w:hAnsi="宋体" w:cs="宋体"/>
                <w:szCs w:val="21"/>
                <w:highlight w:val="none"/>
              </w:rPr>
              <w:t>. 参选人应按增值税票中的税率如实填写上表中的“增值税税率”。如参选人报价中“增值税税率”有误，比选人将根据参选人自身纳税人类型修正“增值税税率”（比选人以“单价（含税）”为计算依据和实际的“增值税税率”修正“项目总价合计”）。</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3.4.1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b/>
                <w:color w:val="auto"/>
                <w:szCs w:val="21"/>
                <w:highlight w:val="none"/>
              </w:rPr>
              <w:t>※</w:t>
            </w:r>
            <w:r>
              <w:rPr>
                <w:rFonts w:hint="eastAsia" w:ascii="宋体" w:hAnsi="宋体" w:cs="宋体"/>
                <w:color w:val="auto"/>
                <w:szCs w:val="21"/>
                <w:highlight w:val="none"/>
              </w:rPr>
              <w:t>参选有效期</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s="宋体"/>
                <w:color w:val="auto"/>
                <w:szCs w:val="21"/>
                <w:highlight w:val="none"/>
              </w:rPr>
              <w:t>参选有效期：</w:t>
            </w:r>
            <w:r>
              <w:rPr>
                <w:rFonts w:ascii="宋体" w:hAnsi="宋体"/>
                <w:color w:val="auto"/>
                <w:szCs w:val="21"/>
                <w:highlight w:val="none"/>
              </w:rPr>
              <w:t>90</w:t>
            </w:r>
            <w:r>
              <w:rPr>
                <w:rFonts w:hint="eastAsia" w:ascii="宋体" w:hAnsi="宋体"/>
                <w:b/>
                <w:color w:val="auto"/>
                <w:szCs w:val="21"/>
                <w:highlight w:val="none"/>
              </w:rPr>
              <w:t>天</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3.5.1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b/>
                <w:color w:val="auto"/>
                <w:szCs w:val="21"/>
                <w:highlight w:val="none"/>
              </w:rPr>
              <w:t>※</w:t>
            </w:r>
            <w:r>
              <w:rPr>
                <w:rFonts w:hint="eastAsia" w:ascii="宋体" w:hAnsi="宋体" w:cs="宋体"/>
                <w:b/>
                <w:color w:val="auto"/>
                <w:szCs w:val="21"/>
                <w:highlight w:val="none"/>
              </w:rPr>
              <w:t>参选保证金提交要求和金额</w:t>
            </w:r>
          </w:p>
        </w:tc>
        <w:tc>
          <w:tcPr>
            <w:tcW w:w="6992" w:type="dxa"/>
            <w:vAlign w:val="center"/>
          </w:tcPr>
          <w:p>
            <w:pPr>
              <w:autoSpaceDE w:val="0"/>
              <w:autoSpaceDN w:val="0"/>
              <w:jc w:val="left"/>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要求提交参选保证金，参选保证金金额：</w:t>
            </w:r>
            <w:r>
              <w:rPr>
                <w:rFonts w:hint="eastAsia" w:ascii="宋体" w:hAnsi="宋体"/>
                <w:color w:val="auto"/>
                <w:szCs w:val="21"/>
                <w:highlight w:val="none"/>
                <w:u w:val="single"/>
                <w:lang w:val="en-US" w:eastAsia="zh-CN"/>
              </w:rPr>
              <w:t>13000</w:t>
            </w:r>
            <w:r>
              <w:rPr>
                <w:rFonts w:hint="eastAsia" w:ascii="宋体" w:hAnsi="宋体" w:cs="宋体"/>
                <w:color w:val="auto"/>
                <w:szCs w:val="21"/>
                <w:highlight w:val="none"/>
              </w:rPr>
              <w:t>元人民币</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3.5</w:t>
            </w:r>
            <w:r>
              <w:rPr>
                <w:rFonts w:ascii="宋体" w:hAnsi="宋体" w:cs="宋体"/>
                <w:color w:val="auto"/>
                <w:szCs w:val="21"/>
                <w:highlight w:val="none"/>
              </w:rPr>
              <w:t>.</w:t>
            </w:r>
            <w:r>
              <w:rPr>
                <w:rFonts w:hint="eastAsia" w:ascii="宋体" w:hAnsi="宋体" w:cs="宋体"/>
                <w:color w:val="auto"/>
                <w:szCs w:val="21"/>
                <w:highlight w:val="none"/>
              </w:rPr>
              <w:t>2</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参选保证金形式</w:t>
            </w:r>
          </w:p>
        </w:tc>
        <w:tc>
          <w:tcPr>
            <w:tcW w:w="6992" w:type="dxa"/>
            <w:vAlign w:val="center"/>
          </w:tcPr>
          <w:p>
            <w:pPr>
              <w:autoSpaceDE w:val="0"/>
              <w:autoSpaceDN w:val="0"/>
              <w:rPr>
                <w:rFonts w:ascii="宋体" w:hAnsi="宋体"/>
                <w:color w:val="auto"/>
                <w:szCs w:val="21"/>
                <w:highlight w:val="none"/>
              </w:rPr>
            </w:pPr>
            <w:r>
              <w:rPr>
                <w:rFonts w:ascii="宋体" w:hAnsi="宋体"/>
                <w:color w:val="auto"/>
                <w:szCs w:val="21"/>
                <w:highlight w:val="none"/>
              </w:rPr>
              <w:t>1</w:t>
            </w:r>
            <w:r>
              <w:rPr>
                <w:rFonts w:hint="eastAsia" w:ascii="宋体" w:hAnsi="宋体"/>
                <w:color w:val="auto"/>
                <w:szCs w:val="21"/>
                <w:highlight w:val="none"/>
              </w:rPr>
              <w:t>、参选保证金的形式：银行电汇或</w:t>
            </w:r>
            <w:r>
              <w:rPr>
                <w:rFonts w:hint="eastAsia"/>
                <w:color w:val="auto"/>
                <w:szCs w:val="21"/>
                <w:highlight w:val="none"/>
              </w:rPr>
              <w:t>银行保函或支票</w:t>
            </w:r>
          </w:p>
          <w:p>
            <w:pPr>
              <w:autoSpaceDE w:val="0"/>
              <w:autoSpaceDN w:val="0"/>
              <w:rPr>
                <w:rFonts w:ascii="宋体" w:hAnsi="宋体"/>
                <w:b/>
                <w:color w:val="auto"/>
                <w:szCs w:val="21"/>
                <w:highlight w:val="none"/>
              </w:rPr>
            </w:pPr>
            <w:r>
              <w:rPr>
                <w:rFonts w:hint="eastAsia" w:ascii="宋体" w:hAnsi="宋体"/>
                <w:color w:val="auto"/>
                <w:szCs w:val="21"/>
                <w:highlight w:val="none"/>
              </w:rPr>
              <w:t>（1）</w:t>
            </w:r>
            <w:r>
              <w:rPr>
                <w:rFonts w:hint="eastAsia" w:ascii="宋体" w:hAnsi="宋体"/>
                <w:b/>
                <w:color w:val="auto"/>
                <w:szCs w:val="21"/>
                <w:highlight w:val="none"/>
              </w:rPr>
              <w:t>※如采用银行电汇方式的，参选保证金必须从参选人的基本账户转出，并提供中国人民银行颁发的基本账户开户证明复印件或“基本账户信息”说明材料等。</w:t>
            </w:r>
          </w:p>
          <w:p>
            <w:pPr>
              <w:autoSpaceDE w:val="0"/>
              <w:autoSpaceDN w:val="0"/>
              <w:rPr>
                <w:rFonts w:ascii="宋体" w:hAnsi="宋体"/>
                <w:b/>
                <w:color w:val="auto"/>
                <w:szCs w:val="21"/>
                <w:highlight w:val="none"/>
              </w:rPr>
            </w:pPr>
            <w:r>
              <w:rPr>
                <w:rFonts w:hint="eastAsia" w:ascii="宋体" w:hAnsi="宋体"/>
                <w:bCs/>
                <w:color w:val="auto"/>
                <w:szCs w:val="21"/>
                <w:highlight w:val="none"/>
              </w:rPr>
              <w:t>（2）</w:t>
            </w:r>
            <w:r>
              <w:rPr>
                <w:rFonts w:hint="eastAsia" w:ascii="宋体" w:hAnsi="宋体"/>
                <w:b/>
                <w:color w:val="auto"/>
                <w:szCs w:val="21"/>
                <w:highlight w:val="none"/>
              </w:rPr>
              <w:t>※如采用纸质银行保函方式的或支票的，纸质银行保函或支票需提供原件，银行保函的并按照比选文件第六章“参选文件格式”中的担保内容提供有效的银行保函。</w:t>
            </w:r>
          </w:p>
          <w:p>
            <w:pPr>
              <w:autoSpaceDE w:val="0"/>
              <w:autoSpaceDN w:val="0"/>
              <w:rPr>
                <w:rFonts w:ascii="宋体" w:hAnsi="宋体" w:cs="宋体"/>
                <w:color w:val="auto"/>
                <w:szCs w:val="21"/>
                <w:highlight w:val="none"/>
              </w:rPr>
            </w:pPr>
            <w:r>
              <w:rPr>
                <w:rFonts w:ascii="宋体" w:hAnsi="宋体"/>
                <w:color w:val="auto"/>
                <w:szCs w:val="21"/>
                <w:highlight w:val="none"/>
              </w:rPr>
              <w:t>2</w:t>
            </w:r>
            <w:r>
              <w:rPr>
                <w:rFonts w:hint="eastAsia" w:ascii="宋体" w:hAnsi="宋体"/>
                <w:color w:val="auto"/>
                <w:szCs w:val="21"/>
                <w:highlight w:val="none"/>
              </w:rPr>
              <w:t>、</w:t>
            </w:r>
            <w:r>
              <w:rPr>
                <w:rFonts w:hint="eastAsia" w:ascii="宋体" w:hAnsi="宋体"/>
                <w:color w:val="auto"/>
                <w:kern w:val="0"/>
                <w:szCs w:val="21"/>
                <w:highlight w:val="none"/>
              </w:rPr>
              <w:t>采用电汇方式的，还须提供加盖参选人公章的电汇底单复印件，电汇凭证的备注栏须注明：参选保证金（比选代理机构编号）。</w:t>
            </w:r>
            <w:r>
              <w:rPr>
                <w:rFonts w:hint="eastAsia" w:ascii="宋体" w:hAnsi="宋体"/>
                <w:color w:val="auto"/>
                <w:szCs w:val="21"/>
                <w:highlight w:val="none"/>
              </w:rPr>
              <w:t>唱价同时将公开展示参选保证金凭证。</w:t>
            </w:r>
          </w:p>
          <w:p>
            <w:pPr>
              <w:autoSpaceDE w:val="0"/>
              <w:autoSpaceDN w:val="0"/>
              <w:rPr>
                <w:rFonts w:ascii="宋体" w:hAnsi="宋体" w:cs="宋体"/>
                <w:color w:val="auto"/>
                <w:szCs w:val="21"/>
                <w:highlight w:val="none"/>
              </w:rPr>
            </w:pPr>
            <w:r>
              <w:rPr>
                <w:rFonts w:ascii="宋体" w:hAnsi="宋体" w:cs="宋体"/>
                <w:color w:val="auto"/>
                <w:szCs w:val="21"/>
                <w:highlight w:val="none"/>
              </w:rPr>
              <w:t>3</w:t>
            </w:r>
            <w:r>
              <w:rPr>
                <w:rFonts w:hint="eastAsia" w:ascii="宋体" w:hAnsi="宋体" w:cs="宋体"/>
                <w:color w:val="auto"/>
                <w:szCs w:val="21"/>
                <w:highlight w:val="none"/>
              </w:rPr>
              <w:t>、参选保证金有效期与参选有效期一致。</w:t>
            </w:r>
          </w:p>
          <w:p>
            <w:pPr>
              <w:rPr>
                <w:rFonts w:ascii="宋体" w:hAnsi="宋体"/>
                <w:color w:val="auto"/>
                <w:szCs w:val="21"/>
                <w:highlight w:val="none"/>
              </w:rPr>
            </w:pPr>
            <w:r>
              <w:rPr>
                <w:rFonts w:ascii="宋体" w:hAnsi="宋体"/>
                <w:color w:val="auto"/>
                <w:szCs w:val="21"/>
                <w:highlight w:val="none"/>
              </w:rPr>
              <w:t>4</w:t>
            </w:r>
            <w:r>
              <w:rPr>
                <w:rFonts w:hint="eastAsia" w:ascii="宋体" w:hAnsi="宋体"/>
                <w:color w:val="auto"/>
                <w:szCs w:val="21"/>
                <w:highlight w:val="none"/>
              </w:rPr>
              <w:t>、提交参选保证金帐户信息：</w:t>
            </w:r>
          </w:p>
          <w:p>
            <w:pPr>
              <w:rPr>
                <w:rFonts w:hint="eastAsia" w:ascii="宋体" w:hAnsi="宋体" w:eastAsia="宋体"/>
                <w:color w:val="auto"/>
                <w:szCs w:val="21"/>
                <w:highlight w:val="none"/>
                <w:lang w:eastAsia="zh-CN"/>
              </w:rPr>
            </w:pPr>
            <w:r>
              <w:rPr>
                <w:rFonts w:hint="eastAsia" w:ascii="宋体" w:hAnsi="宋体"/>
                <w:color w:val="auto"/>
                <w:szCs w:val="21"/>
                <w:highlight w:val="none"/>
              </w:rPr>
              <w:t>开户名：</w:t>
            </w:r>
            <w:r>
              <w:rPr>
                <w:rFonts w:ascii="宋体" w:hAnsi="宋体"/>
                <w:color w:val="auto"/>
                <w:szCs w:val="21"/>
                <w:highlight w:val="none"/>
              </w:rPr>
              <w:t xml:space="preserve"> </w:t>
            </w:r>
            <w:r>
              <w:rPr>
                <w:rFonts w:hint="eastAsia" w:ascii="宋体" w:hAnsi="宋体" w:cs="宋体"/>
                <w:color w:val="auto"/>
                <w:szCs w:val="21"/>
                <w:highlight w:val="none"/>
              </w:rPr>
              <w:t>中捷通信有限公司</w:t>
            </w:r>
          </w:p>
          <w:p>
            <w:pPr>
              <w:rPr>
                <w:rFonts w:hint="eastAsia" w:ascii="宋体" w:hAnsi="宋体" w:eastAsia="宋体"/>
                <w:color w:val="auto"/>
                <w:szCs w:val="21"/>
                <w:highlight w:val="none"/>
                <w:lang w:eastAsia="zh-CN"/>
              </w:rPr>
            </w:pPr>
            <w:r>
              <w:rPr>
                <w:rFonts w:hint="eastAsia" w:ascii="宋体" w:hAnsi="宋体"/>
                <w:color w:val="auto"/>
                <w:szCs w:val="21"/>
                <w:highlight w:val="none"/>
              </w:rPr>
              <w:t>开户银行：</w:t>
            </w:r>
            <w:r>
              <w:rPr>
                <w:rFonts w:ascii="宋体" w:hAnsi="宋体"/>
                <w:color w:val="auto"/>
                <w:szCs w:val="21"/>
                <w:highlight w:val="none"/>
              </w:rPr>
              <w:t xml:space="preserve"> </w:t>
            </w:r>
            <w:r>
              <w:rPr>
                <w:rFonts w:hint="eastAsia" w:ascii="宋体" w:hAnsi="宋体" w:cs="宋体"/>
                <w:color w:val="auto"/>
                <w:szCs w:val="21"/>
                <w:highlight w:val="none"/>
              </w:rPr>
              <w:t>中信银行广州花园支行</w:t>
            </w:r>
          </w:p>
          <w:p>
            <w:pPr>
              <w:autoSpaceDE w:val="0"/>
              <w:autoSpaceDN w:val="0"/>
              <w:rPr>
                <w:rFonts w:hint="eastAsia" w:ascii="宋体" w:hAnsi="宋体" w:eastAsia="宋体" w:cs="宋体"/>
                <w:color w:val="auto"/>
                <w:szCs w:val="21"/>
                <w:highlight w:val="none"/>
                <w:lang w:eastAsia="zh-CN"/>
              </w:rPr>
            </w:pPr>
            <w:r>
              <w:rPr>
                <w:rFonts w:hint="eastAsia" w:ascii="宋体" w:hAnsi="宋体"/>
                <w:color w:val="auto"/>
                <w:szCs w:val="21"/>
                <w:highlight w:val="none"/>
              </w:rPr>
              <w:t>账号：</w:t>
            </w:r>
            <w:r>
              <w:rPr>
                <w:rFonts w:hint="eastAsia" w:ascii="宋体" w:hAnsi="宋体"/>
                <w:color w:val="auto"/>
                <w:highlight w:val="none"/>
                <w:lang w:eastAsia="zh-CN"/>
              </w:rPr>
              <w:t>3110910043850015024</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3.5.4</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参选保证金不予退还的其他规定</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s="宋体"/>
                <w:color w:val="auto"/>
                <w:szCs w:val="21"/>
                <w:highlight w:val="none"/>
              </w:rPr>
              <w:t>参选人相互串通参选或者与比选人串通参选，或以他人名义参选或者以其它方式弄虚作假骗的，参选保证金不予退还；如中选的，则中选无效；给比选人造成损失的，依法承担赔偿责任；构成犯罪的，依法追究刑事责任。</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参选人有以上所列行为尚未构成犯罪，但情节严重的，取消其一年至三年内参加广东电信依法必须招标范围以外采购项目的资格并予以公告。</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3.6.1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b/>
                <w:color w:val="auto"/>
                <w:szCs w:val="21"/>
                <w:highlight w:val="none"/>
              </w:rPr>
              <w:t>※</w:t>
            </w:r>
            <w:r>
              <w:rPr>
                <w:rFonts w:hint="eastAsia" w:ascii="宋体" w:hAnsi="宋体" w:cs="宋体"/>
                <w:b/>
                <w:color w:val="auto"/>
                <w:szCs w:val="21"/>
                <w:highlight w:val="none"/>
              </w:rPr>
              <w:t>备选参选方案</w:t>
            </w:r>
          </w:p>
        </w:tc>
        <w:tc>
          <w:tcPr>
            <w:tcW w:w="6992" w:type="dxa"/>
            <w:vAlign w:val="center"/>
          </w:tcPr>
          <w:p>
            <w:pPr>
              <w:autoSpaceDE w:val="0"/>
              <w:autoSpaceDN w:val="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不允许</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3.7.1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参选文件份数</w:t>
            </w:r>
          </w:p>
        </w:tc>
        <w:tc>
          <w:tcPr>
            <w:tcW w:w="6992" w:type="dxa"/>
            <w:vAlign w:val="center"/>
          </w:tcPr>
          <w:p>
            <w:pPr>
              <w:autoSpaceDE w:val="0"/>
              <w:autoSpaceDN w:val="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适用于纸质参选</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参选文件副本份数：正本一份，副本一份，电子版一份（</w:t>
            </w:r>
            <w:r>
              <w:rPr>
                <w:rFonts w:ascii="宋体" w:hAnsi="宋体" w:cs="宋体"/>
                <w:color w:val="auto"/>
                <w:szCs w:val="21"/>
                <w:highlight w:val="none"/>
              </w:rPr>
              <w:t>U盘）</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是否要求提交电子版文件：</w:t>
            </w:r>
            <w:r>
              <w:rPr>
                <w:rFonts w:ascii="宋体" w:hAnsi="宋体" w:cs="宋体"/>
                <w:color w:val="auto"/>
                <w:szCs w:val="21"/>
                <w:highlight w:val="none"/>
              </w:rPr>
              <w:t xml:space="preserve"> 是</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其他要求：参选文件（含商务技术参选文件及经济参选文件）</w:t>
            </w:r>
            <w:r>
              <w:rPr>
                <w:rFonts w:ascii="宋体" w:hAnsi="宋体" w:cs="宋体"/>
                <w:color w:val="auto"/>
                <w:szCs w:val="21"/>
                <w:highlight w:val="none"/>
              </w:rPr>
              <w:t>1式3份，如有分标段，各标段的</w:t>
            </w:r>
            <w:r>
              <w:rPr>
                <w:rFonts w:hint="eastAsia" w:ascii="宋体" w:hAnsi="宋体" w:cs="宋体"/>
                <w:color w:val="auto"/>
                <w:szCs w:val="21"/>
                <w:highlight w:val="none"/>
              </w:rPr>
              <w:t>参选</w:t>
            </w:r>
            <w:r>
              <w:rPr>
                <w:rFonts w:ascii="宋体" w:hAnsi="宋体" w:cs="宋体"/>
                <w:color w:val="auto"/>
                <w:szCs w:val="21"/>
                <w:highlight w:val="none"/>
              </w:rPr>
              <w:t>文件可同拷在一个U盘里，U盘内容需与</w:t>
            </w:r>
            <w:r>
              <w:rPr>
                <w:rFonts w:hint="eastAsia" w:ascii="宋体" w:hAnsi="宋体" w:cs="宋体"/>
                <w:color w:val="auto"/>
                <w:szCs w:val="21"/>
                <w:highlight w:val="none"/>
              </w:rPr>
              <w:t>参选</w:t>
            </w:r>
            <w:r>
              <w:rPr>
                <w:rFonts w:ascii="宋体" w:hAnsi="宋体" w:cs="宋体"/>
                <w:color w:val="auto"/>
                <w:szCs w:val="21"/>
                <w:highlight w:val="none"/>
              </w:rPr>
              <w:t>文件纸质内容一致，且必须在</w:t>
            </w:r>
            <w:r>
              <w:rPr>
                <w:rFonts w:hint="eastAsia" w:ascii="宋体" w:hAnsi="宋体" w:cs="宋体"/>
                <w:color w:val="auto"/>
                <w:szCs w:val="21"/>
                <w:highlight w:val="none"/>
              </w:rPr>
              <w:t>参选</w:t>
            </w:r>
            <w:r>
              <w:rPr>
                <w:rFonts w:ascii="宋体" w:hAnsi="宋体" w:cs="宋体"/>
                <w:color w:val="auto"/>
                <w:szCs w:val="21"/>
                <w:highlight w:val="none"/>
              </w:rPr>
              <w:t>文件封面上标注适用于哪些标段。</w:t>
            </w:r>
          </w:p>
          <w:p>
            <w:pPr>
              <w:autoSpaceDE w:val="0"/>
              <w:autoSpaceDN w:val="0"/>
              <w:rPr>
                <w:rFonts w:ascii="宋体" w:hAnsi="宋体" w:cs="宋体"/>
                <w:b/>
                <w:color w:val="auto"/>
                <w:szCs w:val="21"/>
                <w:highlight w:val="none"/>
              </w:rPr>
            </w:pPr>
            <w:r>
              <w:rPr>
                <w:rFonts w:hint="eastAsia" w:ascii="宋体" w:hAnsi="宋体" w:cs="宋体"/>
                <w:color w:val="auto"/>
                <w:szCs w:val="21"/>
                <w:highlight w:val="none"/>
              </w:rPr>
              <w:t>※必须提供正本，如无提供正本的，则参选将被否决。</w:t>
            </w:r>
          </w:p>
          <w:p>
            <w:pPr>
              <w:autoSpaceDE w:val="0"/>
              <w:autoSpaceDN w:val="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适用于电子比选参选</w:t>
            </w:r>
          </w:p>
          <w:p>
            <w:pPr>
              <w:autoSpaceDE w:val="0"/>
              <w:autoSpaceDN w:val="0"/>
              <w:rPr>
                <w:rFonts w:ascii="宋体" w:hAnsi="宋体" w:cs="宋体"/>
                <w:color w:val="auto"/>
                <w:szCs w:val="21"/>
                <w:highlight w:val="none"/>
              </w:rPr>
            </w:pPr>
            <w:r>
              <w:rPr>
                <w:rFonts w:ascii="宋体" w:hAnsi="宋体" w:cs="宋体"/>
                <w:color w:val="auto"/>
                <w:szCs w:val="21"/>
                <w:highlight w:val="none"/>
              </w:rPr>
              <w:t>1、经平台上传成功的加密</w:t>
            </w:r>
            <w:r>
              <w:rPr>
                <w:rFonts w:hint="eastAsia" w:ascii="宋体" w:hAnsi="宋体" w:cs="宋体"/>
                <w:color w:val="auto"/>
                <w:szCs w:val="21"/>
                <w:highlight w:val="none"/>
              </w:rPr>
              <w:t>电子参选</w:t>
            </w:r>
            <w:r>
              <w:rPr>
                <w:rFonts w:ascii="宋体" w:hAnsi="宋体" w:cs="宋体"/>
                <w:color w:val="auto"/>
                <w:szCs w:val="21"/>
                <w:highlight w:val="none"/>
              </w:rPr>
              <w:t>文件一份。</w:t>
            </w:r>
          </w:p>
          <w:p>
            <w:pPr>
              <w:autoSpaceDE w:val="0"/>
              <w:autoSpaceDN w:val="0"/>
              <w:rPr>
                <w:rFonts w:ascii="宋体" w:hAnsi="宋体" w:cs="宋体"/>
                <w:color w:val="auto"/>
                <w:szCs w:val="21"/>
                <w:highlight w:val="none"/>
              </w:rPr>
            </w:pPr>
            <w:r>
              <w:rPr>
                <w:rFonts w:ascii="宋体" w:hAnsi="宋体" w:cs="宋体"/>
                <w:color w:val="auto"/>
                <w:szCs w:val="21"/>
                <w:highlight w:val="none"/>
              </w:rPr>
              <w:t>2、与上传成功的加密电子</w:t>
            </w:r>
            <w:r>
              <w:rPr>
                <w:rFonts w:hint="eastAsia" w:ascii="宋体" w:hAnsi="宋体" w:cs="宋体"/>
                <w:color w:val="auto"/>
                <w:szCs w:val="21"/>
                <w:highlight w:val="none"/>
              </w:rPr>
              <w:t>参选</w:t>
            </w:r>
            <w:r>
              <w:rPr>
                <w:rFonts w:ascii="宋体" w:hAnsi="宋体" w:cs="宋体"/>
                <w:color w:val="auto"/>
                <w:szCs w:val="21"/>
                <w:highlight w:val="none"/>
              </w:rPr>
              <w:t>文件同时生成的非加密电子</w:t>
            </w:r>
            <w:r>
              <w:rPr>
                <w:rFonts w:hint="eastAsia" w:ascii="宋体" w:hAnsi="宋体" w:cs="宋体"/>
                <w:color w:val="auto"/>
                <w:szCs w:val="21"/>
                <w:highlight w:val="none"/>
              </w:rPr>
              <w:t>参选</w:t>
            </w:r>
            <w:r>
              <w:rPr>
                <w:rFonts w:ascii="宋体" w:hAnsi="宋体" w:cs="宋体"/>
                <w:color w:val="auto"/>
                <w:szCs w:val="21"/>
                <w:highlight w:val="none"/>
              </w:rPr>
              <w:t xml:space="preserve">文件一份（U盘）。 </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非加密电子参选文件须存储在</w:t>
            </w:r>
            <w:r>
              <w:rPr>
                <w:rFonts w:ascii="宋体" w:hAnsi="宋体" w:cs="宋体"/>
                <w:color w:val="auto"/>
                <w:szCs w:val="21"/>
                <w:highlight w:val="none"/>
              </w:rPr>
              <w:t>USB移动存储介质中，单独密封包装，并于包装上清楚地标记“非加密电子投标文件”字样。</w:t>
            </w:r>
          </w:p>
          <w:p>
            <w:pPr>
              <w:autoSpaceDE w:val="0"/>
              <w:autoSpaceDN w:val="0"/>
              <w:rPr>
                <w:rFonts w:ascii="宋体" w:hAnsi="宋体" w:cs="宋体"/>
                <w:color w:val="auto"/>
                <w:szCs w:val="21"/>
                <w:highlight w:val="none"/>
              </w:rPr>
            </w:pPr>
            <w:r>
              <w:rPr>
                <w:rFonts w:ascii="宋体" w:hAnsi="宋体" w:cs="宋体"/>
                <w:color w:val="auto"/>
                <w:szCs w:val="21"/>
                <w:highlight w:val="none"/>
              </w:rPr>
              <w:t>3、纸质</w:t>
            </w:r>
            <w:r>
              <w:rPr>
                <w:rFonts w:hint="eastAsia" w:ascii="宋体" w:hAnsi="宋体" w:cs="宋体"/>
                <w:color w:val="auto"/>
                <w:szCs w:val="21"/>
                <w:highlight w:val="none"/>
              </w:rPr>
              <w:t>参选</w:t>
            </w:r>
            <w:r>
              <w:rPr>
                <w:rFonts w:ascii="宋体" w:hAnsi="宋体" w:cs="宋体"/>
                <w:color w:val="auto"/>
                <w:szCs w:val="21"/>
                <w:highlight w:val="none"/>
              </w:rPr>
              <w:t>文件：正本一份，副本</w:t>
            </w:r>
            <w:r>
              <w:rPr>
                <w:rFonts w:hint="eastAsia" w:ascii="宋体" w:hAnsi="宋体" w:cs="宋体"/>
                <w:color w:val="auto"/>
                <w:szCs w:val="21"/>
                <w:highlight w:val="none"/>
              </w:rPr>
              <w:t>一</w:t>
            </w:r>
            <w:r>
              <w:rPr>
                <w:rFonts w:ascii="宋体" w:hAnsi="宋体" w:cs="宋体"/>
                <w:color w:val="auto"/>
                <w:szCs w:val="21"/>
                <w:highlight w:val="none"/>
              </w:rPr>
              <w:t>份，业绩证明材料</w:t>
            </w:r>
            <w:r>
              <w:rPr>
                <w:rFonts w:hint="eastAsia" w:ascii="宋体" w:hAnsi="宋体" w:cs="宋体"/>
                <w:color w:val="auto"/>
                <w:szCs w:val="21"/>
                <w:highlight w:val="none"/>
              </w:rPr>
              <w:t>、参选保证金纸质银行保函会支票（如有）</w:t>
            </w:r>
            <w:r>
              <w:rPr>
                <w:rFonts w:ascii="宋体" w:hAnsi="宋体" w:cs="宋体"/>
                <w:color w:val="auto"/>
                <w:szCs w:val="21"/>
                <w:highlight w:val="none"/>
              </w:rPr>
              <w:t>应单独封装。</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※递交纸质参选文件的，必须提供正本，如无提供正本的，且属于比选文件“第一章</w:t>
            </w:r>
            <w:r>
              <w:rPr>
                <w:rFonts w:ascii="宋体" w:hAnsi="宋体" w:cs="宋体"/>
                <w:color w:val="auto"/>
                <w:szCs w:val="21"/>
                <w:highlight w:val="none"/>
              </w:rPr>
              <w:t xml:space="preserve"> </w:t>
            </w:r>
            <w:r>
              <w:rPr>
                <w:rFonts w:hint="eastAsia" w:ascii="宋体" w:hAnsi="宋体" w:cs="宋体"/>
                <w:color w:val="auto"/>
                <w:szCs w:val="21"/>
                <w:highlight w:val="none"/>
              </w:rPr>
              <w:t>参选</w:t>
            </w:r>
            <w:r>
              <w:rPr>
                <w:rFonts w:ascii="宋体" w:hAnsi="宋体" w:cs="宋体"/>
                <w:color w:val="auto"/>
                <w:szCs w:val="21"/>
                <w:highlight w:val="none"/>
              </w:rPr>
              <w:t>文件的优先级”</w:t>
            </w:r>
            <w:r>
              <w:rPr>
                <w:rFonts w:hint="eastAsia" w:ascii="宋体" w:hAnsi="宋体" w:cs="宋体"/>
                <w:color w:val="auto"/>
                <w:szCs w:val="21"/>
                <w:highlight w:val="none"/>
              </w:rPr>
              <w:t xml:space="preserve"> 参选</w:t>
            </w:r>
            <w:r>
              <w:rPr>
                <w:rFonts w:ascii="宋体" w:hAnsi="宋体" w:cs="宋体"/>
                <w:color w:val="auto"/>
                <w:szCs w:val="21"/>
                <w:highlight w:val="none"/>
              </w:rPr>
              <w:t>文件以纸质</w:t>
            </w:r>
            <w:r>
              <w:rPr>
                <w:rFonts w:hint="eastAsia" w:ascii="宋体" w:hAnsi="宋体" w:cs="宋体"/>
                <w:color w:val="auto"/>
                <w:szCs w:val="21"/>
                <w:highlight w:val="none"/>
              </w:rPr>
              <w:t>参选</w:t>
            </w:r>
            <w:r>
              <w:rPr>
                <w:rFonts w:ascii="宋体" w:hAnsi="宋体" w:cs="宋体"/>
                <w:color w:val="auto"/>
                <w:szCs w:val="21"/>
                <w:highlight w:val="none"/>
              </w:rPr>
              <w:t>文件为准的情形，其</w:t>
            </w:r>
            <w:r>
              <w:rPr>
                <w:rFonts w:hint="eastAsia" w:ascii="宋体" w:hAnsi="宋体" w:cs="宋体"/>
                <w:color w:val="auto"/>
                <w:szCs w:val="21"/>
                <w:highlight w:val="none"/>
              </w:rPr>
              <w:t>参选</w:t>
            </w:r>
            <w:r>
              <w:rPr>
                <w:rFonts w:ascii="宋体" w:hAnsi="宋体" w:cs="宋体"/>
                <w:color w:val="auto"/>
                <w:szCs w:val="21"/>
                <w:highlight w:val="none"/>
              </w:rPr>
              <w:t>将被否决。</w:t>
            </w:r>
          </w:p>
          <w:p>
            <w:pPr>
              <w:autoSpaceDE w:val="0"/>
              <w:autoSpaceDN w:val="0"/>
              <w:rPr>
                <w:rFonts w:ascii="宋体" w:hAnsi="宋体" w:cs="宋体"/>
                <w:color w:val="auto"/>
                <w:szCs w:val="21"/>
                <w:highlight w:val="none"/>
              </w:rPr>
            </w:pPr>
            <w:r>
              <w:rPr>
                <w:rFonts w:ascii="宋体" w:hAnsi="宋体" w:cs="宋体"/>
                <w:color w:val="auto"/>
                <w:szCs w:val="21"/>
                <w:highlight w:val="none"/>
              </w:rPr>
              <w:t>4、</w:t>
            </w:r>
            <w:r>
              <w:rPr>
                <w:rFonts w:hint="eastAsia" w:ascii="宋体" w:hAnsi="宋体" w:cs="宋体"/>
                <w:color w:val="auto"/>
                <w:szCs w:val="21"/>
                <w:highlight w:val="none"/>
              </w:rPr>
              <w:t>参选</w:t>
            </w:r>
            <w:r>
              <w:rPr>
                <w:rFonts w:ascii="宋体" w:hAnsi="宋体" w:cs="宋体"/>
                <w:color w:val="auto"/>
                <w:szCs w:val="21"/>
                <w:highlight w:val="none"/>
              </w:rPr>
              <w:t>文件的优先级：详见</w:t>
            </w:r>
            <w:r>
              <w:rPr>
                <w:rFonts w:hint="eastAsia" w:ascii="宋体" w:hAnsi="宋体" w:cs="宋体"/>
                <w:color w:val="auto"/>
                <w:szCs w:val="21"/>
                <w:highlight w:val="none"/>
              </w:rPr>
              <w:t>比选</w:t>
            </w:r>
            <w:r>
              <w:rPr>
                <w:rFonts w:ascii="宋体" w:hAnsi="宋体" w:cs="宋体"/>
                <w:color w:val="auto"/>
                <w:szCs w:val="21"/>
                <w:highlight w:val="none"/>
              </w:rPr>
              <w:t>文件第一章。</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3.7.4</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参选文件的外层包封</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olor w:val="auto"/>
                <w:szCs w:val="21"/>
                <w:highlight w:val="none"/>
              </w:rPr>
              <w:t>本条款增加以下规定：</w:t>
            </w:r>
            <w:r>
              <w:rPr>
                <w:rFonts w:ascii="宋体" w:hAnsi="宋体"/>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3.7.6（A）</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参选文件的密封和标记要求</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s="宋体"/>
                <w:color w:val="auto"/>
                <w:szCs w:val="21"/>
                <w:highlight w:val="none"/>
              </w:rPr>
              <w:t>本条款增加规定：</w:t>
            </w:r>
          </w:p>
          <w:p>
            <w:pPr>
              <w:rPr>
                <w:rFonts w:ascii="宋体" w:hAnsi="宋体" w:cs="宋体"/>
                <w:color w:val="auto"/>
                <w:szCs w:val="21"/>
                <w:highlight w:val="none"/>
              </w:rPr>
            </w:pPr>
            <w:r>
              <w:rPr>
                <w:rFonts w:ascii="宋体" w:hAnsi="宋体" w:cs="宋体"/>
                <w:color w:val="auto"/>
                <w:szCs w:val="21"/>
                <w:highlight w:val="none"/>
              </w:rPr>
              <w:t>1）商务技术参选文件及</w:t>
            </w:r>
            <w:r>
              <w:rPr>
                <w:rFonts w:hint="eastAsia" w:ascii="宋体" w:hAnsi="宋体" w:cs="宋体"/>
                <w:color w:val="auto"/>
                <w:szCs w:val="21"/>
                <w:highlight w:val="none"/>
              </w:rPr>
              <w:t>报价参选文件应分别装订，密封后，加贴封条，在封口处加盖骑缝章</w:t>
            </w:r>
            <w:r>
              <w:rPr>
                <w:rFonts w:hint="eastAsia" w:ascii="宋体" w:hAnsi="宋体"/>
                <w:color w:val="auto"/>
                <w:szCs w:val="21"/>
                <w:highlight w:val="none"/>
              </w:rPr>
              <w:t>或者由参选人的法定代表人或其委托代理人签字</w:t>
            </w:r>
            <w:r>
              <w:rPr>
                <w:rFonts w:hint="eastAsia" w:ascii="宋体" w:hAnsi="宋体" w:cs="宋体"/>
                <w:color w:val="auto"/>
                <w:szCs w:val="21"/>
                <w:highlight w:val="none"/>
              </w:rPr>
              <w:t>。</w:t>
            </w:r>
          </w:p>
          <w:p>
            <w:pPr>
              <w:rPr>
                <w:rFonts w:ascii="宋体" w:hAnsi="宋体" w:cs="宋体"/>
                <w:color w:val="auto"/>
                <w:szCs w:val="21"/>
                <w:highlight w:val="none"/>
              </w:rPr>
            </w:pPr>
            <w:r>
              <w:rPr>
                <w:rFonts w:ascii="宋体" w:hAnsi="宋体" w:cs="宋体"/>
                <w:color w:val="auto"/>
                <w:szCs w:val="21"/>
                <w:highlight w:val="none"/>
              </w:rPr>
              <w:t>2）商务技术参选文件里不能含有任何有关参选报价信息。</w:t>
            </w:r>
          </w:p>
          <w:p>
            <w:pPr>
              <w:rPr>
                <w:rFonts w:ascii="宋体" w:hAnsi="宋体" w:cs="宋体"/>
                <w:color w:val="auto"/>
                <w:szCs w:val="21"/>
                <w:highlight w:val="none"/>
              </w:rPr>
            </w:pPr>
            <w:r>
              <w:rPr>
                <w:rFonts w:ascii="宋体" w:hAnsi="宋体" w:cs="宋体"/>
                <w:color w:val="auto"/>
                <w:szCs w:val="21"/>
                <w:highlight w:val="none"/>
              </w:rPr>
              <w:t>3</w:t>
            </w:r>
            <w:r>
              <w:rPr>
                <w:rFonts w:hint="eastAsia" w:ascii="宋体" w:hAnsi="宋体" w:cs="宋体"/>
                <w:color w:val="auto"/>
                <w:szCs w:val="21"/>
                <w:highlight w:val="none"/>
              </w:rPr>
              <w:t>）参选文件</w:t>
            </w:r>
            <w:r>
              <w:rPr>
                <w:rFonts w:hint="eastAsia" w:ascii="宋体" w:hAnsi="宋体"/>
                <w:color w:val="auto"/>
                <w:szCs w:val="21"/>
                <w:highlight w:val="none"/>
              </w:rPr>
              <w:t>外层包封</w:t>
            </w:r>
            <w:r>
              <w:rPr>
                <w:rFonts w:hint="eastAsia" w:ascii="宋体" w:hAnsi="宋体" w:cs="宋体"/>
                <w:color w:val="auto"/>
                <w:szCs w:val="21"/>
                <w:highlight w:val="none"/>
              </w:rPr>
              <w:t>上应写明的内容如下：</w:t>
            </w:r>
          </w:p>
          <w:p>
            <w:pPr>
              <w:rPr>
                <w:rFonts w:ascii="宋体" w:hAnsi="宋体"/>
                <w:b/>
                <w:color w:val="auto"/>
                <w:szCs w:val="21"/>
                <w:highlight w:val="none"/>
              </w:rPr>
            </w:pPr>
            <w:r>
              <w:rPr>
                <w:rFonts w:hint="eastAsia" w:ascii="宋体" w:hAnsi="宋体"/>
                <w:b/>
                <w:color w:val="auto"/>
                <w:szCs w:val="21"/>
                <w:highlight w:val="none"/>
              </w:rPr>
              <w:t>比选人名称：</w:t>
            </w:r>
            <w:r>
              <w:rPr>
                <w:rFonts w:ascii="宋体" w:hAnsi="宋体"/>
                <w:b/>
                <w:color w:val="auto"/>
                <w:szCs w:val="21"/>
                <w:highlight w:val="none"/>
              </w:rPr>
              <w:t xml:space="preserve"> </w:t>
            </w:r>
          </w:p>
          <w:p>
            <w:pPr>
              <w:rPr>
                <w:rFonts w:ascii="宋体" w:hAnsi="宋体"/>
                <w:b/>
                <w:color w:val="auto"/>
                <w:szCs w:val="21"/>
                <w:highlight w:val="none"/>
              </w:rPr>
            </w:pPr>
            <w:r>
              <w:rPr>
                <w:rFonts w:hint="eastAsia" w:ascii="宋体" w:hAnsi="宋体"/>
                <w:b/>
                <w:color w:val="auto"/>
                <w:szCs w:val="21"/>
                <w:highlight w:val="none"/>
              </w:rPr>
              <w:t>比选代理机构名称：</w:t>
            </w:r>
          </w:p>
          <w:p>
            <w:pPr>
              <w:rPr>
                <w:rFonts w:ascii="宋体" w:hAnsi="宋体"/>
                <w:b/>
                <w:color w:val="auto"/>
                <w:szCs w:val="21"/>
                <w:highlight w:val="none"/>
              </w:rPr>
            </w:pPr>
            <w:r>
              <w:rPr>
                <w:rFonts w:hint="eastAsia" w:ascii="宋体" w:hAnsi="宋体"/>
                <w:b/>
                <w:color w:val="auto"/>
                <w:szCs w:val="21"/>
                <w:highlight w:val="none"/>
              </w:rPr>
              <w:t>递交参选文件地址：</w:t>
            </w:r>
          </w:p>
          <w:p>
            <w:pPr>
              <w:rPr>
                <w:rFonts w:ascii="宋体" w:hAnsi="宋体"/>
                <w:b/>
                <w:color w:val="auto"/>
                <w:szCs w:val="21"/>
                <w:highlight w:val="none"/>
              </w:rPr>
            </w:pPr>
            <w:r>
              <w:rPr>
                <w:rFonts w:ascii="宋体" w:hAnsi="宋体"/>
                <w:b/>
                <w:color w:val="auto"/>
                <w:szCs w:val="21"/>
                <w:highlight w:val="none"/>
                <w:u w:val="single"/>
              </w:rPr>
              <w:t xml:space="preserve">            </w:t>
            </w:r>
            <w:r>
              <w:rPr>
                <w:rFonts w:hint="eastAsia" w:ascii="宋体" w:hAnsi="宋体"/>
                <w:b/>
                <w:color w:val="auto"/>
                <w:szCs w:val="21"/>
                <w:highlight w:val="none"/>
              </w:rPr>
              <w:t>（项目名称）</w:t>
            </w:r>
            <w:r>
              <w:rPr>
                <w:rFonts w:ascii="宋体" w:hAnsi="宋体"/>
                <w:b/>
                <w:color w:val="auto"/>
                <w:szCs w:val="21"/>
                <w:highlight w:val="none"/>
              </w:rPr>
              <w:t xml:space="preserve">   </w:t>
            </w:r>
            <w:r>
              <w:rPr>
                <w:rFonts w:hint="eastAsia" w:ascii="宋体" w:hAnsi="宋体"/>
                <w:b/>
                <w:color w:val="auto"/>
                <w:szCs w:val="21"/>
                <w:highlight w:val="none"/>
              </w:rPr>
              <w:t>（标段）参选文件</w:t>
            </w:r>
          </w:p>
          <w:p>
            <w:pPr>
              <w:rPr>
                <w:rFonts w:ascii="宋体" w:hAnsi="宋体"/>
                <w:b/>
                <w:color w:val="auto"/>
                <w:szCs w:val="21"/>
                <w:highlight w:val="none"/>
              </w:rPr>
            </w:pPr>
            <w:r>
              <w:rPr>
                <w:rFonts w:hint="eastAsia" w:ascii="宋体" w:hAnsi="宋体"/>
                <w:b/>
                <w:color w:val="auto"/>
                <w:szCs w:val="21"/>
                <w:highlight w:val="none"/>
              </w:rPr>
              <w:t>参选人名称：</w:t>
            </w:r>
          </w:p>
          <w:p>
            <w:pPr>
              <w:rPr>
                <w:rFonts w:ascii="宋体" w:hAnsi="宋体"/>
                <w:b/>
                <w:color w:val="auto"/>
                <w:szCs w:val="21"/>
                <w:highlight w:val="none"/>
              </w:rPr>
            </w:pPr>
            <w:r>
              <w:rPr>
                <w:rFonts w:hint="eastAsia" w:ascii="宋体" w:hAnsi="宋体"/>
                <w:b/>
                <w:color w:val="auto"/>
                <w:szCs w:val="21"/>
                <w:highlight w:val="none"/>
              </w:rPr>
              <w:t>联系人：</w:t>
            </w:r>
          </w:p>
          <w:p>
            <w:pPr>
              <w:rPr>
                <w:rFonts w:ascii="宋体" w:hAnsi="宋体"/>
                <w:b/>
                <w:color w:val="auto"/>
                <w:szCs w:val="21"/>
                <w:highlight w:val="none"/>
              </w:rPr>
            </w:pPr>
            <w:r>
              <w:rPr>
                <w:rFonts w:hint="eastAsia" w:ascii="宋体" w:hAnsi="宋体"/>
                <w:b/>
                <w:color w:val="auto"/>
                <w:szCs w:val="21"/>
                <w:highlight w:val="none"/>
              </w:rPr>
              <w:t>联系方式：</w:t>
            </w:r>
          </w:p>
          <w:p>
            <w:pPr>
              <w:autoSpaceDE w:val="0"/>
              <w:autoSpaceDN w:val="0"/>
              <w:rPr>
                <w:rFonts w:ascii="宋体" w:hAnsi="宋体" w:cs="宋体"/>
                <w:color w:val="auto"/>
                <w:szCs w:val="21"/>
                <w:highlight w:val="none"/>
              </w:rPr>
            </w:pPr>
            <w:r>
              <w:rPr>
                <w:rFonts w:hint="eastAsia" w:ascii="宋体" w:hAnsi="宋体"/>
                <w:b/>
                <w:color w:val="auto"/>
                <w:szCs w:val="21"/>
                <w:highlight w:val="none"/>
              </w:rPr>
              <w:t>在</w:t>
            </w:r>
            <w:r>
              <w:rPr>
                <w:rFonts w:ascii="宋体" w:hAnsi="宋体"/>
                <w:b/>
                <w:color w:val="auto"/>
                <w:szCs w:val="21"/>
                <w:highlight w:val="none"/>
                <w:u w:val="single"/>
              </w:rPr>
              <w:t xml:space="preserve">  </w:t>
            </w:r>
            <w:r>
              <w:rPr>
                <w:rFonts w:hint="eastAsia" w:ascii="宋体" w:hAnsi="宋体"/>
                <w:b/>
                <w:color w:val="auto"/>
                <w:szCs w:val="21"/>
                <w:highlight w:val="none"/>
              </w:rPr>
              <w:t>年</w:t>
            </w:r>
            <w:r>
              <w:rPr>
                <w:rFonts w:ascii="宋体" w:hAnsi="宋体"/>
                <w:b/>
                <w:color w:val="auto"/>
                <w:szCs w:val="21"/>
                <w:highlight w:val="none"/>
                <w:u w:val="single"/>
              </w:rPr>
              <w:t xml:space="preserve">  </w:t>
            </w:r>
            <w:r>
              <w:rPr>
                <w:rFonts w:hint="eastAsia" w:ascii="宋体" w:hAnsi="宋体"/>
                <w:b/>
                <w:color w:val="auto"/>
                <w:szCs w:val="21"/>
                <w:highlight w:val="none"/>
              </w:rPr>
              <w:t>月</w:t>
            </w:r>
            <w:r>
              <w:rPr>
                <w:rFonts w:ascii="宋体" w:hAnsi="宋体"/>
                <w:b/>
                <w:color w:val="auto"/>
                <w:szCs w:val="21"/>
                <w:highlight w:val="none"/>
                <w:u w:val="single"/>
              </w:rPr>
              <w:t xml:space="preserve">  </w:t>
            </w:r>
            <w:r>
              <w:rPr>
                <w:rFonts w:hint="eastAsia" w:ascii="宋体" w:hAnsi="宋体"/>
                <w:b/>
                <w:color w:val="auto"/>
                <w:szCs w:val="21"/>
                <w:highlight w:val="none"/>
              </w:rPr>
              <w:t>日</w:t>
            </w:r>
            <w:r>
              <w:rPr>
                <w:rFonts w:ascii="宋体" w:hAnsi="宋体"/>
                <w:b/>
                <w:color w:val="auto"/>
                <w:szCs w:val="21"/>
                <w:highlight w:val="none"/>
                <w:u w:val="single"/>
              </w:rPr>
              <w:t xml:space="preserve">  </w:t>
            </w:r>
            <w:r>
              <w:rPr>
                <w:rFonts w:hint="eastAsia" w:ascii="宋体" w:hAnsi="宋体"/>
                <w:b/>
                <w:color w:val="auto"/>
                <w:szCs w:val="21"/>
                <w:highlight w:val="none"/>
              </w:rPr>
              <w:t>时</w:t>
            </w:r>
            <w:r>
              <w:rPr>
                <w:rFonts w:ascii="宋体" w:hAnsi="宋体"/>
                <w:b/>
                <w:color w:val="auto"/>
                <w:szCs w:val="21"/>
                <w:highlight w:val="none"/>
                <w:u w:val="single"/>
              </w:rPr>
              <w:t xml:space="preserve">  </w:t>
            </w:r>
            <w:r>
              <w:rPr>
                <w:rFonts w:hint="eastAsia" w:ascii="宋体" w:hAnsi="宋体"/>
                <w:b/>
                <w:color w:val="auto"/>
                <w:szCs w:val="21"/>
                <w:highlight w:val="none"/>
              </w:rPr>
              <w:t>分前不得开启</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3.7.6（B）</w:t>
            </w:r>
          </w:p>
        </w:tc>
        <w:tc>
          <w:tcPr>
            <w:tcW w:w="1843" w:type="dxa"/>
            <w:vAlign w:val="center"/>
          </w:tcPr>
          <w:p>
            <w:pPr>
              <w:autoSpaceDE w:val="0"/>
              <w:autoSpaceDN w:val="0"/>
              <w:jc w:val="center"/>
              <w:rPr>
                <w:rFonts w:ascii="宋体" w:hAnsi="宋体" w:cs="宋体"/>
                <w:color w:val="auto"/>
                <w:szCs w:val="21"/>
                <w:highlight w:val="none"/>
              </w:rPr>
            </w:pPr>
            <w:r>
              <w:rPr>
                <w:rFonts w:hint="eastAsia"/>
                <w:color w:val="auto"/>
                <w:szCs w:val="21"/>
                <w:highlight w:val="none"/>
              </w:rPr>
              <w:t>参选</w:t>
            </w:r>
            <w:r>
              <w:rPr>
                <w:color w:val="auto"/>
                <w:szCs w:val="21"/>
                <w:highlight w:val="none"/>
              </w:rPr>
              <w:t>文件加密要求</w:t>
            </w:r>
          </w:p>
        </w:tc>
        <w:tc>
          <w:tcPr>
            <w:tcW w:w="6992" w:type="dxa"/>
            <w:vAlign w:val="center"/>
          </w:tcPr>
          <w:p>
            <w:pPr>
              <w:autoSpaceDE w:val="0"/>
              <w:autoSpaceDN w:val="0"/>
              <w:rPr>
                <w:rFonts w:ascii="宋体" w:hAnsi="宋体" w:cs="宋体"/>
                <w:color w:val="auto"/>
                <w:szCs w:val="21"/>
                <w:highlight w:val="none"/>
              </w:rPr>
            </w:pPr>
            <w:r>
              <w:rPr>
                <w:rFonts w:hint="eastAsia"/>
                <w:color w:val="auto"/>
                <w:szCs w:val="21"/>
                <w:highlight w:val="none"/>
              </w:rPr>
              <w:t>详见比选文件第二章“参选人须知”第</w:t>
            </w:r>
            <w:r>
              <w:rPr>
                <w:color w:val="auto"/>
                <w:szCs w:val="21"/>
                <w:highlight w:val="none"/>
              </w:rPr>
              <w:t>3.7.</w:t>
            </w:r>
            <w:r>
              <w:rPr>
                <w:rFonts w:hint="eastAsia"/>
                <w:color w:val="auto"/>
                <w:szCs w:val="21"/>
                <w:highlight w:val="none"/>
              </w:rPr>
              <w:t>6</w:t>
            </w:r>
            <w:r>
              <w:rPr>
                <w:color w:val="auto"/>
                <w:szCs w:val="21"/>
                <w:highlight w:val="none"/>
              </w:rPr>
              <w:t>（B）</w:t>
            </w:r>
            <w:r>
              <w:rPr>
                <w:rFonts w:hint="eastAsia"/>
                <w:color w:val="auto"/>
                <w:szCs w:val="21"/>
                <w:highlight w:val="none"/>
              </w:rPr>
              <w:t>条款</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4.1.1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olor w:val="auto"/>
                <w:szCs w:val="21"/>
                <w:highlight w:val="none"/>
              </w:rPr>
              <w:t>参选文件递交截止时间</w:t>
            </w:r>
          </w:p>
        </w:tc>
        <w:tc>
          <w:tcPr>
            <w:tcW w:w="6992" w:type="dxa"/>
            <w:vAlign w:val="center"/>
          </w:tcPr>
          <w:p>
            <w:pPr>
              <w:autoSpaceDE w:val="0"/>
              <w:autoSpaceDN w:val="0"/>
              <w:rPr>
                <w:rFonts w:ascii="宋体" w:hAnsi="宋体"/>
                <w:color w:val="auto"/>
                <w:szCs w:val="21"/>
                <w:highlight w:val="none"/>
              </w:rPr>
            </w:pPr>
            <w:r>
              <w:rPr>
                <w:rFonts w:hint="eastAsia" w:ascii="宋体" w:hAnsi="宋体" w:cs="宋体"/>
                <w:color w:val="auto"/>
                <w:szCs w:val="21"/>
                <w:highlight w:val="none"/>
              </w:rPr>
              <w:t>详见</w:t>
            </w:r>
            <w:r>
              <w:rPr>
                <w:rFonts w:hint="eastAsia" w:ascii="宋体" w:hAnsi="宋体"/>
                <w:color w:val="auto"/>
                <w:szCs w:val="21"/>
                <w:highlight w:val="none"/>
              </w:rPr>
              <w:t>比选</w:t>
            </w:r>
            <w:r>
              <w:rPr>
                <w:rFonts w:ascii="宋体" w:hAnsi="宋体"/>
                <w:color w:val="auto"/>
                <w:szCs w:val="21"/>
                <w:highlight w:val="none"/>
              </w:rPr>
              <w:t>文件</w:t>
            </w:r>
            <w:r>
              <w:rPr>
                <w:rFonts w:hint="eastAsia" w:ascii="宋体" w:hAnsi="宋体" w:cs="宋体"/>
                <w:color w:val="auto"/>
                <w:szCs w:val="21"/>
                <w:highlight w:val="none"/>
              </w:rPr>
              <w:t>第一章</w:t>
            </w:r>
            <w:r>
              <w:rPr>
                <w:rFonts w:hint="eastAsia" w:ascii="宋体" w:hAnsi="宋体"/>
                <w:color w:val="auto"/>
                <w:szCs w:val="21"/>
                <w:highlight w:val="none"/>
              </w:rPr>
              <w:t>比选公告</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4.1.2</w:t>
            </w:r>
          </w:p>
        </w:tc>
        <w:tc>
          <w:tcPr>
            <w:tcW w:w="1843" w:type="dxa"/>
            <w:vAlign w:val="center"/>
          </w:tcPr>
          <w:p>
            <w:pPr>
              <w:autoSpaceDE w:val="0"/>
              <w:autoSpaceDN w:val="0"/>
              <w:jc w:val="center"/>
              <w:rPr>
                <w:rFonts w:ascii="宋体" w:hAnsi="宋体"/>
                <w:color w:val="auto"/>
                <w:szCs w:val="21"/>
                <w:highlight w:val="none"/>
              </w:rPr>
            </w:pPr>
            <w:r>
              <w:rPr>
                <w:rFonts w:hint="eastAsia" w:ascii="宋体" w:hAnsi="宋体"/>
                <w:color w:val="auto"/>
                <w:szCs w:val="21"/>
                <w:highlight w:val="none"/>
              </w:rPr>
              <w:t>参选文件递交地点</w:t>
            </w:r>
          </w:p>
        </w:tc>
        <w:tc>
          <w:tcPr>
            <w:tcW w:w="6992" w:type="dxa"/>
            <w:vAlign w:val="center"/>
          </w:tcPr>
          <w:p>
            <w:pPr>
              <w:autoSpaceDE w:val="0"/>
              <w:autoSpaceDN w:val="0"/>
              <w:rPr>
                <w:rFonts w:ascii="宋体" w:hAnsi="宋体"/>
                <w:color w:val="auto"/>
                <w:szCs w:val="21"/>
                <w:highlight w:val="none"/>
              </w:rPr>
            </w:pPr>
            <w:r>
              <w:rPr>
                <w:rFonts w:hint="eastAsia" w:ascii="宋体" w:hAnsi="宋体" w:cs="宋体"/>
                <w:color w:val="auto"/>
                <w:szCs w:val="21"/>
                <w:highlight w:val="none"/>
              </w:rPr>
              <w:t>详见</w:t>
            </w:r>
            <w:r>
              <w:rPr>
                <w:rFonts w:hint="eastAsia" w:ascii="宋体" w:hAnsi="宋体"/>
                <w:color w:val="auto"/>
                <w:szCs w:val="21"/>
                <w:highlight w:val="none"/>
              </w:rPr>
              <w:t>比选</w:t>
            </w:r>
            <w:r>
              <w:rPr>
                <w:rFonts w:ascii="宋体" w:hAnsi="宋体"/>
                <w:color w:val="auto"/>
                <w:szCs w:val="21"/>
                <w:highlight w:val="none"/>
              </w:rPr>
              <w:t>文件</w:t>
            </w:r>
            <w:r>
              <w:rPr>
                <w:rFonts w:hint="eastAsia" w:ascii="宋体" w:hAnsi="宋体" w:cs="宋体"/>
                <w:color w:val="auto"/>
                <w:szCs w:val="21"/>
                <w:highlight w:val="none"/>
              </w:rPr>
              <w:t>第一章</w:t>
            </w:r>
            <w:r>
              <w:rPr>
                <w:rFonts w:hint="eastAsia" w:ascii="宋体" w:hAnsi="宋体"/>
                <w:color w:val="auto"/>
                <w:szCs w:val="21"/>
                <w:highlight w:val="none"/>
              </w:rPr>
              <w:t>比选公告</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4.1.4</w:t>
            </w:r>
          </w:p>
        </w:tc>
        <w:tc>
          <w:tcPr>
            <w:tcW w:w="1843" w:type="dxa"/>
            <w:vAlign w:val="center"/>
          </w:tcPr>
          <w:p>
            <w:pPr>
              <w:autoSpaceDE w:val="0"/>
              <w:autoSpaceDN w:val="0"/>
              <w:jc w:val="center"/>
              <w:rPr>
                <w:rFonts w:ascii="宋体" w:hAnsi="宋体"/>
                <w:color w:val="auto"/>
                <w:szCs w:val="21"/>
                <w:highlight w:val="none"/>
              </w:rPr>
            </w:pPr>
            <w:r>
              <w:rPr>
                <w:rFonts w:hint="eastAsia" w:ascii="宋体" w:hAnsi="宋体"/>
                <w:color w:val="auto"/>
                <w:szCs w:val="21"/>
                <w:highlight w:val="none"/>
              </w:rPr>
              <w:t>参选文件退还</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s="宋体"/>
                <w:color w:val="auto"/>
                <w:szCs w:val="21"/>
                <w:highlight w:val="none"/>
              </w:rPr>
              <w:t>不退还</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4.1.6</w:t>
            </w:r>
          </w:p>
        </w:tc>
        <w:tc>
          <w:tcPr>
            <w:tcW w:w="1843" w:type="dxa"/>
            <w:vAlign w:val="center"/>
          </w:tcPr>
          <w:p>
            <w:pPr>
              <w:autoSpaceDE w:val="0"/>
              <w:autoSpaceDN w:val="0"/>
              <w:jc w:val="center"/>
              <w:rPr>
                <w:rFonts w:ascii="宋体" w:hAnsi="宋体"/>
                <w:color w:val="auto"/>
                <w:szCs w:val="21"/>
                <w:highlight w:val="none"/>
              </w:rPr>
            </w:pPr>
            <w:r>
              <w:rPr>
                <w:rFonts w:hint="eastAsia" w:ascii="宋体" w:hAnsi="宋体"/>
                <w:color w:val="auto"/>
                <w:szCs w:val="21"/>
                <w:highlight w:val="none"/>
              </w:rPr>
              <w:t>递交参选文件的参选人不足三家的处理原则</w:t>
            </w:r>
          </w:p>
        </w:tc>
        <w:tc>
          <w:tcPr>
            <w:tcW w:w="6992" w:type="dxa"/>
            <w:vAlign w:val="center"/>
          </w:tcPr>
          <w:p>
            <w:pPr>
              <w:autoSpaceDE w:val="0"/>
              <w:autoSpaceDN w:val="0"/>
              <w:rPr>
                <w:rFonts w:ascii="宋体" w:hAnsi="宋体"/>
                <w:b/>
                <w:szCs w:val="21"/>
                <w:highlight w:val="none"/>
              </w:rPr>
            </w:pPr>
            <w:r>
              <w:rPr>
                <w:rFonts w:hint="eastAsia" w:ascii="宋体" w:hAnsi="宋体"/>
                <w:b/>
                <w:szCs w:val="21"/>
                <w:highlight w:val="none"/>
                <w:lang w:eastAsia="zh-CN"/>
              </w:rPr>
              <w:t>（</w:t>
            </w:r>
            <w:r>
              <w:rPr>
                <w:rFonts w:hint="eastAsia" w:ascii="宋体" w:hAnsi="宋体"/>
                <w:b/>
                <w:szCs w:val="21"/>
                <w:highlight w:val="none"/>
                <w:lang w:val="en-US" w:eastAsia="zh-CN"/>
              </w:rPr>
              <w:t>各标段</w:t>
            </w:r>
            <w:r>
              <w:rPr>
                <w:rFonts w:hint="eastAsia" w:ascii="宋体" w:hAnsi="宋体"/>
                <w:b/>
                <w:szCs w:val="21"/>
                <w:highlight w:val="none"/>
                <w:lang w:eastAsia="zh-CN"/>
              </w:rPr>
              <w:t>）</w:t>
            </w:r>
            <w:r>
              <w:rPr>
                <w:rFonts w:hint="eastAsia" w:ascii="宋体" w:hAnsi="宋体"/>
                <w:b/>
                <w:szCs w:val="21"/>
                <w:highlight w:val="none"/>
              </w:rPr>
              <w:t>在比选文件购买截止时间前已购买比选文件的潜在参选人不足3家，或递交参选文件的参选人不足3家，或通过资格后审的参选人不足3家的，可对2家参选人继续组织唱价、评选，如只有1家或无合格的参选人，则该次比选失败。</w:t>
            </w:r>
          </w:p>
          <w:p>
            <w:pPr>
              <w:autoSpaceDE w:val="0"/>
              <w:autoSpaceDN w:val="0"/>
              <w:rPr>
                <w:rFonts w:ascii="宋体" w:hAnsi="宋体" w:cs="宋体"/>
                <w:color w:val="auto"/>
                <w:szCs w:val="21"/>
                <w:highlight w:val="none"/>
              </w:rPr>
            </w:pPr>
            <w:r>
              <w:rPr>
                <w:rFonts w:hint="eastAsia" w:ascii="宋体" w:hAnsi="宋体"/>
                <w:b/>
                <w:szCs w:val="21"/>
                <w:highlight w:val="none"/>
              </w:rPr>
              <w:t>通过资格后审的参选人不足3家且明显缺乏竞争的，评选委员会应当否决全部参选，评选委员会未否决全部参选的，应当在评选报告中说明理由。</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5.1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唱价时间和地点</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s="宋体"/>
                <w:color w:val="auto"/>
                <w:szCs w:val="21"/>
                <w:highlight w:val="none"/>
              </w:rPr>
              <w:t>同参选文件递交截止时间和地点。</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 xml:space="preserve">6.4 </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中选候选人推荐原则</w:t>
            </w:r>
          </w:p>
        </w:tc>
        <w:tc>
          <w:tcPr>
            <w:tcW w:w="6992" w:type="dxa"/>
            <w:vAlign w:val="center"/>
          </w:tcPr>
          <w:p>
            <w:pPr>
              <w:autoSpaceDE w:val="0"/>
              <w:autoSpaceDN w:val="0"/>
              <w:rPr>
                <w:rFonts w:ascii="宋体" w:hAnsi="宋体" w:cs="宋体"/>
                <w:color w:val="auto"/>
                <w:kern w:val="0"/>
                <w:szCs w:val="21"/>
                <w:highlight w:val="none"/>
              </w:rPr>
            </w:pPr>
            <w:bookmarkStart w:id="42" w:name="_Toc346159396"/>
            <w:r>
              <w:rPr>
                <w:rFonts w:hint="eastAsia" w:ascii="宋体" w:hAnsi="宋体" w:cs="宋体"/>
                <w:color w:val="auto"/>
                <w:kern w:val="0"/>
                <w:szCs w:val="21"/>
                <w:highlight w:val="none"/>
              </w:rPr>
              <w:t>按照第三章“评选办法”规定的评分标准进行打分，</w:t>
            </w:r>
            <w:r>
              <w:rPr>
                <w:rFonts w:hint="eastAsia" w:ascii="宋体" w:hAnsi="宋体"/>
                <w:szCs w:val="21"/>
                <w:highlight w:val="none"/>
                <w:lang w:eastAsia="zh-CN"/>
              </w:rPr>
              <w:t>（</w:t>
            </w:r>
            <w:r>
              <w:rPr>
                <w:rFonts w:hint="eastAsia" w:ascii="宋体" w:hAnsi="宋体"/>
                <w:szCs w:val="21"/>
                <w:highlight w:val="none"/>
                <w:lang w:val="en-US" w:eastAsia="zh-CN"/>
              </w:rPr>
              <w:t>各标段</w:t>
            </w:r>
            <w:r>
              <w:rPr>
                <w:rFonts w:hint="eastAsia" w:ascii="宋体" w:hAnsi="宋体"/>
                <w:szCs w:val="21"/>
                <w:highlight w:val="none"/>
                <w:lang w:eastAsia="zh-CN"/>
              </w:rPr>
              <w:t>）</w:t>
            </w:r>
            <w:r>
              <w:rPr>
                <w:rFonts w:hint="eastAsia" w:ascii="宋体" w:hAnsi="宋体" w:cs="宋体"/>
                <w:color w:val="auto"/>
                <w:kern w:val="0"/>
                <w:szCs w:val="21"/>
                <w:highlight w:val="none"/>
              </w:rPr>
              <w:t>按综合得分由高到低的顺序推荐</w:t>
            </w:r>
            <w:r>
              <w:rPr>
                <w:rFonts w:ascii="宋体" w:hAnsi="宋体" w:cs="宋体"/>
                <w:color w:val="auto"/>
                <w:kern w:val="0"/>
                <w:szCs w:val="21"/>
                <w:highlight w:val="none"/>
                <w:u w:val="single"/>
              </w:rPr>
              <w:t>1</w:t>
            </w:r>
            <w:r>
              <w:rPr>
                <w:rFonts w:hint="eastAsia" w:ascii="宋体" w:hAnsi="宋体" w:cs="宋体"/>
                <w:color w:val="auto"/>
                <w:kern w:val="0"/>
                <w:szCs w:val="21"/>
                <w:highlight w:val="none"/>
              </w:rPr>
              <w:t>名中选候选人。</w:t>
            </w:r>
            <w:bookmarkEnd w:id="42"/>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ascii="宋体" w:hAnsi="宋体" w:cs="宋体"/>
                <w:color w:val="auto"/>
                <w:szCs w:val="21"/>
                <w:highlight w:val="none"/>
              </w:rPr>
              <w:t>7.</w:t>
            </w:r>
            <w:r>
              <w:rPr>
                <w:rFonts w:hint="eastAsia" w:ascii="宋体" w:hAnsi="宋体" w:cs="宋体"/>
                <w:color w:val="auto"/>
                <w:szCs w:val="21"/>
                <w:highlight w:val="none"/>
              </w:rPr>
              <w:t>1</w:t>
            </w:r>
            <w:r>
              <w:rPr>
                <w:rFonts w:ascii="宋体" w:hAnsi="宋体" w:cs="宋体"/>
                <w:color w:val="auto"/>
                <w:szCs w:val="21"/>
                <w:highlight w:val="none"/>
              </w:rPr>
              <w:t>.1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中选人数量</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olor w:val="auto"/>
                <w:szCs w:val="21"/>
                <w:highlight w:val="none"/>
              </w:rPr>
              <w:t>中选人数量：</w:t>
            </w:r>
            <w:r>
              <w:rPr>
                <w:rFonts w:hint="eastAsia" w:ascii="宋体" w:hAnsi="宋体"/>
                <w:szCs w:val="21"/>
                <w:highlight w:val="none"/>
                <w:lang w:eastAsia="zh-CN"/>
              </w:rPr>
              <w:t>（</w:t>
            </w:r>
            <w:r>
              <w:rPr>
                <w:rFonts w:hint="eastAsia" w:ascii="宋体" w:hAnsi="宋体"/>
                <w:szCs w:val="21"/>
                <w:highlight w:val="none"/>
                <w:lang w:val="en-US" w:eastAsia="zh-CN"/>
              </w:rPr>
              <w:t>各标段</w:t>
            </w:r>
            <w:r>
              <w:rPr>
                <w:rFonts w:hint="eastAsia" w:ascii="宋体" w:hAnsi="宋体"/>
                <w:szCs w:val="21"/>
                <w:highlight w:val="none"/>
                <w:lang w:eastAsia="zh-CN"/>
              </w:rPr>
              <w:t>）</w:t>
            </w:r>
            <w:r>
              <w:rPr>
                <w:rFonts w:ascii="宋体" w:hAnsi="宋体"/>
                <w:color w:val="auto"/>
                <w:szCs w:val="21"/>
                <w:highlight w:val="none"/>
              </w:rPr>
              <w:t>1</w:t>
            </w:r>
            <w:r>
              <w:rPr>
                <w:rFonts w:hint="eastAsia" w:ascii="宋体" w:hAnsi="宋体" w:cs="宋体"/>
                <w:color w:val="auto"/>
                <w:szCs w:val="21"/>
                <w:highlight w:val="none"/>
              </w:rPr>
              <w:t>人。</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ascii="宋体" w:hAnsi="宋体" w:cs="宋体"/>
                <w:color w:val="auto"/>
                <w:szCs w:val="21"/>
                <w:highlight w:val="none"/>
              </w:rPr>
              <w:t>7.</w:t>
            </w:r>
            <w:r>
              <w:rPr>
                <w:rFonts w:hint="eastAsia" w:ascii="宋体" w:hAnsi="宋体" w:cs="宋体"/>
                <w:color w:val="auto"/>
                <w:szCs w:val="21"/>
                <w:highlight w:val="none"/>
              </w:rPr>
              <w:t>1</w:t>
            </w:r>
            <w:r>
              <w:rPr>
                <w:rFonts w:ascii="宋体" w:hAnsi="宋体" w:cs="宋体"/>
                <w:color w:val="auto"/>
                <w:szCs w:val="21"/>
                <w:highlight w:val="none"/>
              </w:rPr>
              <w:t>.2</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中选原则</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szCs w:val="21"/>
                <w:highlight w:val="none"/>
                <w:lang w:eastAsia="zh-CN"/>
              </w:rPr>
              <w:t>（</w:t>
            </w:r>
            <w:r>
              <w:rPr>
                <w:rFonts w:hint="eastAsia" w:ascii="宋体" w:hAnsi="宋体"/>
                <w:szCs w:val="21"/>
                <w:highlight w:val="none"/>
                <w:lang w:val="en-US" w:eastAsia="zh-CN"/>
              </w:rPr>
              <w:t>各标段</w:t>
            </w:r>
            <w:r>
              <w:rPr>
                <w:rFonts w:hint="eastAsia" w:ascii="宋体" w:hAnsi="宋体"/>
                <w:szCs w:val="21"/>
                <w:highlight w:val="none"/>
                <w:lang w:eastAsia="zh-CN"/>
              </w:rPr>
              <w:t>）</w:t>
            </w:r>
            <w:r>
              <w:rPr>
                <w:rFonts w:hint="eastAsia" w:ascii="宋体" w:hAnsi="宋体" w:cs="宋体"/>
                <w:color w:val="auto"/>
                <w:szCs w:val="21"/>
                <w:highlight w:val="none"/>
              </w:rPr>
              <w:t>比选人根据评选委员会推荐的中选候选人确定综合评分由高到低排名第1名的中选候选人为中标人。</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参选人在企业的经营活动中存在重大违法行为、被依法列为失信被执行人、违反比选人规定纳入特殊供应商（D类）的，违反比选人规定纳入特殊供应商（D类）的公司与参选人存在控股关系（即控股股东/投资人在参选人的持股比例达到50%及以上）”的，比选人有权根据评审委员会推荐的中选候选人名单顺序依次确定其他中选候选人为中选人或重新组织采购，且比选人无需承担任何责任。</w:t>
            </w:r>
          </w:p>
          <w:p>
            <w:pPr>
              <w:autoSpaceDE w:val="0"/>
              <w:autoSpaceDN w:val="0"/>
              <w:rPr>
                <w:rFonts w:ascii="宋体" w:hAnsi="宋体"/>
                <w:color w:val="auto"/>
                <w:szCs w:val="21"/>
                <w:highlight w:val="none"/>
              </w:rPr>
            </w:pPr>
            <w:r>
              <w:rPr>
                <w:rFonts w:hint="eastAsia" w:ascii="宋体" w:hAnsi="宋体" w:cs="宋体"/>
                <w:color w:val="auto"/>
                <w:szCs w:val="21"/>
                <w:highlight w:val="none"/>
              </w:rPr>
              <w:t>上述所称的重大违法行为指因违法经营受到刑事处罚或者责令停产停业、吊销许可证或者执照、较大数额罚款（较大数额罚款是指对法人或者其他组织处以</w:t>
            </w:r>
            <w:r>
              <w:rPr>
                <w:rFonts w:hint="eastAsia" w:ascii="宋体" w:hAnsi="宋体" w:cs="宋体"/>
                <w:color w:val="auto"/>
                <w:szCs w:val="21"/>
                <w:highlight w:val="none"/>
                <w:lang w:val="en-US" w:eastAsia="zh-CN"/>
              </w:rPr>
              <w:t>200</w:t>
            </w:r>
            <w:r>
              <w:rPr>
                <w:rFonts w:hint="eastAsia" w:ascii="宋体" w:hAnsi="宋体" w:cs="宋体"/>
                <w:color w:val="auto"/>
                <w:szCs w:val="21"/>
                <w:highlight w:val="none"/>
              </w:rPr>
              <w:t>万元以上罚款）等行政处罚。</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7.1.3</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确定中选人的特殊情形</w:t>
            </w:r>
          </w:p>
        </w:tc>
        <w:tc>
          <w:tcPr>
            <w:tcW w:w="6992" w:type="dxa"/>
            <w:vAlign w:val="center"/>
          </w:tcPr>
          <w:p>
            <w:pPr>
              <w:autoSpaceDE w:val="0"/>
              <w:autoSpaceDN w:val="0"/>
              <w:rPr>
                <w:rFonts w:ascii="Arial" w:hAnsi="Arial" w:cs="Arial"/>
                <w:color w:val="auto"/>
                <w:szCs w:val="21"/>
                <w:highlight w:val="none"/>
              </w:rPr>
            </w:pPr>
            <w:r>
              <w:rPr>
                <w:rFonts w:hint="eastAsia" w:ascii="宋体" w:hAnsi="宋体"/>
                <w:color w:val="auto"/>
                <w:highlight w:val="none"/>
              </w:rPr>
              <w:t>在签订合同之前，中选人放弃中选、因不可抗力提出不能履行合同、不按照比选文件要求在规定的时间内提交履约保证金、被查实存在影响中选结果的违法行为等情形</w:t>
            </w:r>
            <w:r>
              <w:rPr>
                <w:rFonts w:hint="eastAsia" w:ascii="Arial" w:hAnsi="Arial" w:cs="Arial"/>
                <w:color w:val="auto"/>
                <w:szCs w:val="21"/>
                <w:highlight w:val="none"/>
              </w:rPr>
              <w:t>按照《中国电信供应商不良行为管理规则》及处理结果应对参选人及产品品类在本项目中执行禁止采购处理措施</w:t>
            </w:r>
            <w:r>
              <w:rPr>
                <w:rFonts w:hint="eastAsia" w:ascii="宋体" w:hAnsi="宋体"/>
                <w:color w:val="auto"/>
                <w:szCs w:val="21"/>
                <w:highlight w:val="none"/>
              </w:rPr>
              <w:t>、</w:t>
            </w:r>
            <w:r>
              <w:rPr>
                <w:rFonts w:hint="eastAsia" w:ascii="Arial" w:hAnsi="Arial" w:cs="Arial"/>
                <w:color w:val="auto"/>
                <w:szCs w:val="21"/>
                <w:highlight w:val="none"/>
              </w:rPr>
              <w:t>或未通过</w:t>
            </w:r>
            <w:r>
              <w:rPr>
                <w:rFonts w:hint="eastAsia" w:cs="Helvetica"/>
                <w:color w:val="auto"/>
                <w:szCs w:val="21"/>
                <w:highlight w:val="none"/>
              </w:rPr>
              <w:t>网络安全审查的</w:t>
            </w:r>
            <w:r>
              <w:rPr>
                <w:rFonts w:hint="eastAsia" w:ascii="Arial" w:hAnsi="Arial" w:cs="Arial"/>
                <w:color w:val="auto"/>
                <w:szCs w:val="21"/>
                <w:highlight w:val="none"/>
              </w:rPr>
              <w:t>，比选人按评选委员会提出的排名顺序依次确定其他中选候选人或参选人为中选人，或重新比选。</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723"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8.1.</w:t>
            </w:r>
            <w:r>
              <w:rPr>
                <w:rFonts w:ascii="宋体" w:hAnsi="宋体" w:cs="宋体"/>
                <w:color w:val="auto"/>
                <w:szCs w:val="21"/>
                <w:highlight w:val="none"/>
              </w:rPr>
              <w:t>1</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履约保证金金额和形式</w:t>
            </w:r>
          </w:p>
        </w:tc>
        <w:tc>
          <w:tcPr>
            <w:tcW w:w="6992" w:type="dxa"/>
            <w:vAlign w:val="center"/>
          </w:tcPr>
          <w:p>
            <w:pPr>
              <w:autoSpaceDE w:val="0"/>
              <w:autoSpaceDN w:val="0"/>
              <w:jc w:val="left"/>
              <w:rPr>
                <w:rFonts w:ascii="宋体" w:hAnsi="宋体" w:cs="宋体"/>
                <w:color w:val="auto"/>
                <w:szCs w:val="21"/>
                <w:highlight w:val="none"/>
              </w:rPr>
            </w:pPr>
            <w:r>
              <w:rPr>
                <w:rFonts w:hint="eastAsia" w:ascii="MS Mincho" w:hAnsi="MS Mincho" w:eastAsia="MS Mincho" w:cs="MS Mincho"/>
                <w:color w:val="auto"/>
                <w:szCs w:val="21"/>
                <w:highlight w:val="none"/>
              </w:rPr>
              <w:t>☑</w:t>
            </w:r>
            <w:r>
              <w:rPr>
                <w:rFonts w:hint="eastAsia" w:ascii="宋体" w:hAnsi="宋体" w:cs="宋体"/>
                <w:color w:val="auto"/>
                <w:szCs w:val="21"/>
                <w:highlight w:val="none"/>
              </w:rPr>
              <w:t>不收取履约保证金</w:t>
            </w:r>
          </w:p>
          <w:p>
            <w:pPr>
              <w:autoSpaceDE w:val="0"/>
              <w:autoSpaceDN w:val="0"/>
              <w:jc w:val="left"/>
              <w:rPr>
                <w:rFonts w:ascii="宋体" w:hAnsi="宋体"/>
                <w:color w:val="auto"/>
                <w:szCs w:val="21"/>
                <w:highlight w:val="none"/>
              </w:rPr>
            </w:pPr>
            <w:r>
              <w:rPr>
                <w:rFonts w:hint="eastAsia" w:ascii="宋体" w:hAnsi="宋体"/>
                <w:color w:val="auto"/>
                <w:szCs w:val="21"/>
                <w:highlight w:val="none"/>
              </w:rPr>
              <w:t>□收取履约保证金，</w:t>
            </w:r>
            <w:r>
              <w:rPr>
                <w:rFonts w:hint="eastAsia" w:ascii="宋体" w:hAnsi="宋体" w:cs="宋体"/>
                <w:color w:val="auto"/>
                <w:szCs w:val="21"/>
                <w:highlight w:val="none"/>
              </w:rPr>
              <w:t>履约保证金金额：合同金额的</w:t>
            </w:r>
            <w:r>
              <w:rPr>
                <w:rFonts w:ascii="宋体" w:hAnsi="宋体"/>
                <w:color w:val="auto"/>
                <w:szCs w:val="21"/>
                <w:highlight w:val="none"/>
                <w:u w:val="single"/>
              </w:rPr>
              <w:t xml:space="preserve">  </w:t>
            </w:r>
            <w:r>
              <w:rPr>
                <w:rFonts w:ascii="宋体" w:hAnsi="宋体" w:cs="宋体"/>
                <w:color w:val="auto"/>
                <w:szCs w:val="21"/>
                <w:highlight w:val="none"/>
              </w:rPr>
              <w:t>%/或具体金额[不应超过合同金额的10%]</w:t>
            </w:r>
          </w:p>
          <w:p>
            <w:pPr>
              <w:autoSpaceDE w:val="0"/>
              <w:autoSpaceDN w:val="0"/>
              <w:jc w:val="left"/>
              <w:rPr>
                <w:rFonts w:ascii="宋体" w:hAnsi="宋体" w:cs="宋体"/>
                <w:color w:val="auto"/>
                <w:szCs w:val="21"/>
                <w:highlight w:val="none"/>
              </w:rPr>
            </w:pPr>
            <w:r>
              <w:rPr>
                <w:rFonts w:hint="eastAsia" w:ascii="宋体" w:hAnsi="宋体" w:cs="宋体"/>
                <w:color w:val="auto"/>
                <w:szCs w:val="21"/>
                <w:highlight w:val="none"/>
              </w:rPr>
              <w:t>币种：人民币</w:t>
            </w:r>
          </w:p>
          <w:p>
            <w:pPr>
              <w:autoSpaceDE w:val="0"/>
              <w:autoSpaceDN w:val="0"/>
              <w:jc w:val="left"/>
              <w:rPr>
                <w:rFonts w:ascii="宋体" w:hAnsi="宋体" w:cs="宋体"/>
                <w:color w:val="auto"/>
                <w:szCs w:val="21"/>
                <w:highlight w:val="none"/>
              </w:rPr>
            </w:pPr>
            <w:r>
              <w:rPr>
                <w:rFonts w:hint="eastAsia" w:ascii="宋体" w:hAnsi="宋体" w:cs="宋体"/>
                <w:color w:val="auto"/>
                <w:szCs w:val="21"/>
                <w:highlight w:val="none"/>
              </w:rPr>
              <w:t>履约保证金形式：以[    ]（银行转账/电汇/与保修期期限一致的银行保函等方式）支付</w:t>
            </w:r>
          </w:p>
          <w:p>
            <w:pPr>
              <w:autoSpaceDE w:val="0"/>
              <w:autoSpaceDN w:val="0"/>
              <w:jc w:val="left"/>
              <w:rPr>
                <w:rFonts w:ascii="宋体" w:hAnsi="宋体" w:cs="宋体"/>
                <w:color w:val="auto"/>
                <w:szCs w:val="21"/>
                <w:highlight w:val="none"/>
              </w:rPr>
            </w:pPr>
            <w:r>
              <w:rPr>
                <w:rFonts w:hint="eastAsia" w:ascii="宋体" w:hAnsi="宋体" w:cs="宋体"/>
                <w:color w:val="auto"/>
                <w:szCs w:val="21"/>
                <w:highlight w:val="none"/>
              </w:rPr>
              <w:t>时间：在本合同签订前缴纳。</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9</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比选代理服务费金额、交纳方式和时限</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s="宋体"/>
                <w:color w:val="auto"/>
                <w:szCs w:val="21"/>
                <w:highlight w:val="none"/>
              </w:rPr>
              <w:t>本条款增加如下规定：</w:t>
            </w:r>
          </w:p>
          <w:p>
            <w:pPr>
              <w:autoSpaceDE w:val="0"/>
              <w:autoSpaceDN w:val="0"/>
              <w:rPr>
                <w:rFonts w:ascii="宋体" w:hAnsi="宋体" w:cs="宋体"/>
                <w:color w:val="auto"/>
                <w:szCs w:val="21"/>
                <w:highlight w:val="none"/>
              </w:rPr>
            </w:pPr>
            <w:r>
              <w:rPr>
                <w:rFonts w:hint="eastAsia" w:ascii="宋体" w:hAnsi="宋体"/>
                <w:color w:val="auto"/>
                <w:szCs w:val="21"/>
                <w:highlight w:val="none"/>
              </w:rPr>
              <w:t>代理费用的计算方式及价格，请见附录《比选代理服务费的计算方式及价格》。</w:t>
            </w:r>
            <w:r>
              <w:rPr>
                <w:rFonts w:ascii="宋体" w:hAnsi="宋体"/>
                <w:b/>
                <w:color w:val="auto"/>
                <w:szCs w:val="21"/>
                <w:highlight w:val="none"/>
              </w:rPr>
              <w:t>/比选代理服务费的金额：</w:t>
            </w:r>
            <w:r>
              <w:rPr>
                <w:rFonts w:hint="eastAsia" w:ascii="宋体" w:hAnsi="宋体"/>
                <w:b/>
                <w:color w:val="auto"/>
                <w:szCs w:val="21"/>
                <w:highlight w:val="none"/>
                <w:u w:val="single"/>
              </w:rPr>
              <w:t>根据中选金额计算</w:t>
            </w:r>
            <w:r>
              <w:rPr>
                <w:rFonts w:hint="eastAsia" w:ascii="宋体" w:hAnsi="宋体"/>
                <w:b/>
                <w:color w:val="auto"/>
                <w:szCs w:val="21"/>
                <w:highlight w:val="none"/>
              </w:rPr>
              <w:t>。</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交纳方式：</w:t>
            </w:r>
            <w:r>
              <w:rPr>
                <w:rFonts w:hint="eastAsia" w:ascii="宋体" w:hAnsi="宋体" w:cs="宋体"/>
                <w:color w:val="auto"/>
                <w:szCs w:val="21"/>
                <w:highlight w:val="none"/>
                <w:u w:val="single"/>
              </w:rPr>
              <w:t>详见比选文件第六章参选文件格式</w:t>
            </w:r>
          </w:p>
          <w:p>
            <w:pPr>
              <w:autoSpaceDE w:val="0"/>
              <w:autoSpaceDN w:val="0"/>
              <w:rPr>
                <w:rFonts w:ascii="宋体" w:hAnsi="宋体" w:cs="宋体"/>
                <w:color w:val="auto"/>
                <w:szCs w:val="21"/>
                <w:highlight w:val="none"/>
              </w:rPr>
            </w:pPr>
            <w:r>
              <w:rPr>
                <w:rFonts w:hint="eastAsia" w:ascii="宋体" w:hAnsi="宋体" w:cs="宋体"/>
                <w:color w:val="auto"/>
                <w:szCs w:val="21"/>
                <w:highlight w:val="none"/>
              </w:rPr>
              <w:t>交纳时限：</w:t>
            </w:r>
            <w:r>
              <w:rPr>
                <w:rFonts w:hint="eastAsia" w:ascii="宋体" w:hAnsi="宋体" w:cs="宋体"/>
                <w:color w:val="auto"/>
                <w:szCs w:val="21"/>
                <w:highlight w:val="none"/>
                <w:u w:val="single"/>
              </w:rPr>
              <w:t>详见比选文件第六章参选文件格式</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hint="eastAsia"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0</w:t>
            </w:r>
          </w:p>
        </w:tc>
        <w:tc>
          <w:tcPr>
            <w:tcW w:w="1843" w:type="dxa"/>
            <w:vAlign w:val="center"/>
          </w:tcPr>
          <w:p>
            <w:pPr>
              <w:autoSpaceDE w:val="0"/>
              <w:autoSpaceDN w:val="0"/>
              <w:rPr>
                <w:rFonts w:hint="eastAsia" w:ascii="宋体" w:hAnsi="宋体" w:cs="宋体"/>
                <w:color w:val="auto"/>
                <w:szCs w:val="21"/>
                <w:highlight w:val="none"/>
              </w:rPr>
            </w:pPr>
            <w:r>
              <w:rPr>
                <w:rFonts w:hint="eastAsia" w:ascii="宋体" w:hAnsi="宋体"/>
                <w:b/>
                <w:color w:val="auto"/>
                <w:szCs w:val="21"/>
                <w:highlight w:val="none"/>
              </w:rPr>
              <w:t>※关于串通</w:t>
            </w:r>
            <w:r>
              <w:rPr>
                <w:rFonts w:hint="eastAsia" w:ascii="宋体" w:hAnsi="宋体"/>
                <w:b/>
                <w:color w:val="auto"/>
                <w:szCs w:val="21"/>
                <w:highlight w:val="none"/>
                <w:lang w:val="en-US" w:eastAsia="zh-CN"/>
              </w:rPr>
              <w:t>参选</w:t>
            </w:r>
            <w:r>
              <w:rPr>
                <w:rFonts w:hint="eastAsia" w:ascii="宋体" w:hAnsi="宋体"/>
                <w:b/>
                <w:color w:val="auto"/>
                <w:szCs w:val="21"/>
                <w:highlight w:val="none"/>
              </w:rPr>
              <w:t>的确定</w:t>
            </w:r>
          </w:p>
        </w:tc>
        <w:tc>
          <w:tcPr>
            <w:tcW w:w="6992" w:type="dxa"/>
            <w:vAlign w:val="center"/>
          </w:tcPr>
          <w:p>
            <w:pPr>
              <w:autoSpaceDE w:val="0"/>
              <w:autoSpaceDN w:val="0"/>
              <w:rPr>
                <w:rFonts w:hint="eastAsia" w:ascii="宋体" w:hAnsi="宋体" w:cs="宋体"/>
                <w:color w:val="auto"/>
                <w:szCs w:val="21"/>
                <w:highlight w:val="none"/>
              </w:rPr>
            </w:pPr>
            <w:r>
              <w:rPr>
                <w:rFonts w:hint="eastAsia" w:ascii="宋体" w:hAnsi="宋体" w:cs="宋体"/>
                <w:color w:val="auto"/>
                <w:szCs w:val="21"/>
                <w:highlight w:val="none"/>
              </w:rPr>
              <w:t>如</w:t>
            </w:r>
            <w:r>
              <w:rPr>
                <w:rFonts w:hint="eastAsia" w:ascii="宋体" w:hAnsi="宋体" w:cs="宋体"/>
                <w:color w:val="auto"/>
                <w:szCs w:val="21"/>
                <w:highlight w:val="none"/>
                <w:lang w:val="en-US" w:eastAsia="zh-CN"/>
              </w:rPr>
              <w:t>参选</w:t>
            </w:r>
            <w:r>
              <w:rPr>
                <w:rFonts w:hint="eastAsia" w:ascii="宋体" w:hAnsi="宋体" w:cs="宋体"/>
                <w:color w:val="auto"/>
                <w:szCs w:val="21"/>
                <w:highlight w:val="none"/>
              </w:rPr>
              <w:t>人出现《招标投标法实施条例》第三十九条、四十条所规定情形的评标委员会应确定投标人相互串通投标(不同</w:t>
            </w:r>
            <w:r>
              <w:rPr>
                <w:rFonts w:hint="eastAsia" w:ascii="宋体" w:hAnsi="宋体" w:cs="宋体"/>
                <w:color w:val="auto"/>
                <w:szCs w:val="21"/>
                <w:highlight w:val="none"/>
                <w:lang w:val="en-US" w:eastAsia="zh-CN"/>
              </w:rPr>
              <w:t>参选</w:t>
            </w:r>
            <w:r>
              <w:rPr>
                <w:rFonts w:hint="eastAsia" w:ascii="宋体" w:hAnsi="宋体" w:cs="宋体"/>
                <w:color w:val="auto"/>
                <w:szCs w:val="21"/>
                <w:highlight w:val="none"/>
              </w:rPr>
              <w:t>人的电子投标文件的</w:t>
            </w:r>
            <w:r>
              <w:rPr>
                <w:rFonts w:hint="eastAsia"/>
                <w:szCs w:val="21"/>
                <w:highlight w:val="none"/>
              </w:rPr>
              <w:t>文件制作机器码/</w:t>
            </w:r>
            <w:r>
              <w:rPr>
                <w:szCs w:val="21"/>
                <w:highlight w:val="none"/>
              </w:rPr>
              <w:t>文件创建标识码</w:t>
            </w:r>
            <w:r>
              <w:rPr>
                <w:rFonts w:hint="eastAsia" w:ascii="宋体" w:hAnsi="宋体" w:cs="宋体"/>
                <w:color w:val="auto"/>
                <w:szCs w:val="21"/>
                <w:highlight w:val="none"/>
              </w:rPr>
              <w:t>一致的。则视为不同</w:t>
            </w:r>
            <w:r>
              <w:rPr>
                <w:rFonts w:hint="eastAsia" w:ascii="宋体" w:hAnsi="宋体" w:cs="宋体"/>
                <w:color w:val="auto"/>
                <w:szCs w:val="21"/>
                <w:highlight w:val="none"/>
                <w:lang w:val="en-US" w:eastAsia="zh-CN"/>
              </w:rPr>
              <w:t>参选</w:t>
            </w:r>
            <w:r>
              <w:rPr>
                <w:rFonts w:hint="eastAsia" w:ascii="宋体" w:hAnsi="宋体" w:cs="宋体"/>
                <w:color w:val="auto"/>
                <w:szCs w:val="21"/>
                <w:highlight w:val="none"/>
              </w:rPr>
              <w:t>人的</w:t>
            </w:r>
            <w:r>
              <w:rPr>
                <w:rFonts w:hint="eastAsia" w:ascii="宋体" w:hAnsi="宋体" w:cs="宋体"/>
                <w:color w:val="auto"/>
                <w:szCs w:val="21"/>
                <w:highlight w:val="none"/>
                <w:lang w:val="en-US" w:eastAsia="zh-CN"/>
              </w:rPr>
              <w:t>参选</w:t>
            </w:r>
            <w:r>
              <w:rPr>
                <w:rFonts w:hint="eastAsia" w:ascii="宋体" w:hAnsi="宋体" w:cs="宋体"/>
                <w:color w:val="auto"/>
                <w:szCs w:val="21"/>
                <w:highlight w:val="none"/>
              </w:rPr>
              <w:t>文件由同一单位或者个人编制的情形)</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11</w:t>
            </w:r>
          </w:p>
        </w:tc>
        <w:tc>
          <w:tcPr>
            <w:tcW w:w="8835" w:type="dxa"/>
            <w:gridSpan w:val="2"/>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需要补充的其他内容</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11.</w:t>
            </w:r>
            <w:r>
              <w:rPr>
                <w:rFonts w:ascii="宋体" w:hAnsi="宋体" w:cs="宋体"/>
                <w:color w:val="auto"/>
                <w:szCs w:val="21"/>
                <w:highlight w:val="none"/>
              </w:rPr>
              <w:t>1</w:t>
            </w:r>
          </w:p>
        </w:tc>
        <w:tc>
          <w:tcPr>
            <w:tcW w:w="1843" w:type="dxa"/>
            <w:vAlign w:val="center"/>
          </w:tcPr>
          <w:p>
            <w:pPr>
              <w:autoSpaceDE w:val="0"/>
              <w:autoSpaceDN w:val="0"/>
              <w:jc w:val="center"/>
              <w:rPr>
                <w:rFonts w:ascii="宋体" w:hAnsi="宋体" w:cs="宋体"/>
                <w:color w:val="auto"/>
                <w:szCs w:val="21"/>
                <w:highlight w:val="none"/>
              </w:rPr>
            </w:pPr>
            <w:r>
              <w:rPr>
                <w:rStyle w:val="87"/>
                <w:rFonts w:hint="eastAsia" w:ascii="宋体" w:hAnsi="宋体"/>
                <w:color w:val="auto"/>
                <w:szCs w:val="21"/>
                <w:highlight w:val="none"/>
              </w:rPr>
              <w:t>网络与信息安全要求</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olor w:val="auto"/>
                <w:szCs w:val="21"/>
                <w:highlight w:val="none"/>
              </w:rPr>
              <w:t>参选人提供的产品或服务必须符合国家对网络与信息安全的相关要求。</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1.2</w:t>
            </w:r>
          </w:p>
        </w:tc>
        <w:tc>
          <w:tcPr>
            <w:tcW w:w="1843" w:type="dxa"/>
            <w:vAlign w:val="center"/>
          </w:tcPr>
          <w:p>
            <w:pPr>
              <w:autoSpaceDE w:val="0"/>
              <w:autoSpaceDN w:val="0"/>
              <w:jc w:val="center"/>
              <w:rPr>
                <w:rFonts w:ascii="宋体" w:hAnsi="宋体" w:cs="宋体"/>
                <w:b/>
                <w:color w:val="auto"/>
                <w:szCs w:val="21"/>
                <w:highlight w:val="none"/>
              </w:rPr>
            </w:pPr>
            <w:r>
              <w:rPr>
                <w:rFonts w:hint="eastAsia" w:ascii="宋体" w:hAnsi="宋体"/>
                <w:b/>
                <w:color w:val="auto"/>
                <w:szCs w:val="21"/>
                <w:highlight w:val="none"/>
              </w:rPr>
              <w:t>※</w:t>
            </w:r>
            <w:r>
              <w:rPr>
                <w:rStyle w:val="87"/>
                <w:rFonts w:hint="eastAsia" w:ascii="宋体" w:hAnsi="宋体"/>
                <w:b/>
                <w:color w:val="auto"/>
                <w:szCs w:val="21"/>
                <w:highlight w:val="none"/>
              </w:rPr>
              <w:t>参选文件真实性要求</w:t>
            </w:r>
          </w:p>
        </w:tc>
        <w:tc>
          <w:tcPr>
            <w:tcW w:w="6992" w:type="dxa"/>
            <w:vAlign w:val="center"/>
          </w:tcPr>
          <w:p>
            <w:pPr>
              <w:autoSpaceDE w:val="0"/>
              <w:autoSpaceDN w:val="0"/>
              <w:rPr>
                <w:rFonts w:ascii="宋体" w:hAnsi="宋体"/>
                <w:color w:val="auto"/>
                <w:szCs w:val="21"/>
                <w:highlight w:val="none"/>
              </w:rPr>
            </w:pPr>
            <w:r>
              <w:rPr>
                <w:rFonts w:hint="eastAsia" w:ascii="宋体" w:hAnsi="宋体"/>
                <w:color w:val="auto"/>
                <w:szCs w:val="21"/>
                <w:highlight w:val="none"/>
              </w:rPr>
              <w:t>1、参选人递交的参选文件须真实。评选委员会有权通过相关官方网站进行证书核验工作，如评选委员会发现参选文件弄虚作假，将作参选否决处理。</w:t>
            </w:r>
          </w:p>
          <w:p>
            <w:pPr>
              <w:autoSpaceDE w:val="0"/>
              <w:autoSpaceDN w:val="0"/>
              <w:rPr>
                <w:rFonts w:ascii="宋体" w:hAnsi="宋体" w:cs="宋体"/>
                <w:color w:val="auto"/>
                <w:szCs w:val="21"/>
                <w:highlight w:val="none"/>
              </w:rPr>
            </w:pPr>
            <w:r>
              <w:rPr>
                <w:rFonts w:ascii="宋体" w:hAnsi="宋体"/>
                <w:color w:val="auto"/>
                <w:szCs w:val="21"/>
                <w:highlight w:val="none"/>
              </w:rPr>
              <w:t>2</w:t>
            </w:r>
            <w:r>
              <w:rPr>
                <w:rFonts w:hint="eastAsia" w:ascii="宋体" w:hAnsi="宋体"/>
                <w:color w:val="auto"/>
                <w:szCs w:val="21"/>
                <w:highlight w:val="none"/>
              </w:rPr>
              <w:t>、参选人提供的参选文件所有内容均须原件备查，如在规定的时间内无法提供原件则视为弄虚作假行为。</w:t>
            </w:r>
            <w:r>
              <w:rPr>
                <w:rFonts w:ascii="宋体" w:hAnsi="宋体"/>
                <w:color w:val="auto"/>
                <w:szCs w:val="21"/>
                <w:highlight w:val="none"/>
              </w:rPr>
              <w:t xml:space="preserve"> </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1.3</w:t>
            </w:r>
          </w:p>
        </w:tc>
        <w:tc>
          <w:tcPr>
            <w:tcW w:w="1843" w:type="dxa"/>
            <w:vAlign w:val="center"/>
          </w:tcPr>
          <w:p>
            <w:pPr>
              <w:autoSpaceDE w:val="0"/>
              <w:autoSpaceDN w:val="0"/>
              <w:jc w:val="center"/>
              <w:rPr>
                <w:rFonts w:ascii="宋体" w:hAnsi="宋体" w:cs="宋体"/>
                <w:color w:val="auto"/>
                <w:szCs w:val="21"/>
                <w:highlight w:val="none"/>
              </w:rPr>
            </w:pPr>
            <w:r>
              <w:rPr>
                <w:rFonts w:ascii="宋体" w:hAnsi="宋体"/>
                <w:color w:val="auto"/>
                <w:szCs w:val="21"/>
                <w:highlight w:val="none"/>
              </w:rPr>
              <w:t>分包/转包</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olor w:val="auto"/>
                <w:szCs w:val="21"/>
                <w:highlight w:val="none"/>
              </w:rPr>
              <w:t>不允许非法转包、违法分包</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1.4</w:t>
            </w:r>
          </w:p>
        </w:tc>
        <w:tc>
          <w:tcPr>
            <w:tcW w:w="1843" w:type="dxa"/>
            <w:vAlign w:val="center"/>
          </w:tcPr>
          <w:p>
            <w:pPr>
              <w:autoSpaceDE w:val="0"/>
              <w:autoSpaceDN w:val="0"/>
              <w:jc w:val="center"/>
              <w:rPr>
                <w:rFonts w:ascii="宋体" w:hAnsi="宋体" w:cs="宋体"/>
                <w:color w:val="auto"/>
                <w:szCs w:val="21"/>
                <w:highlight w:val="none"/>
              </w:rPr>
            </w:pPr>
            <w:r>
              <w:rPr>
                <w:rFonts w:hint="eastAsia" w:ascii="宋体" w:hAnsi="宋体"/>
                <w:color w:val="auto"/>
                <w:szCs w:val="21"/>
                <w:highlight w:val="none"/>
              </w:rPr>
              <w:t>参选货币</w:t>
            </w:r>
          </w:p>
        </w:tc>
        <w:tc>
          <w:tcPr>
            <w:tcW w:w="6992" w:type="dxa"/>
            <w:vAlign w:val="center"/>
          </w:tcPr>
          <w:p>
            <w:pPr>
              <w:autoSpaceDE w:val="0"/>
              <w:autoSpaceDN w:val="0"/>
              <w:rPr>
                <w:rFonts w:ascii="宋体" w:hAnsi="宋体" w:cs="宋体"/>
                <w:color w:val="auto"/>
                <w:szCs w:val="21"/>
                <w:highlight w:val="none"/>
              </w:rPr>
            </w:pPr>
            <w:r>
              <w:rPr>
                <w:rFonts w:hint="eastAsia" w:ascii="宋体" w:hAnsi="宋体"/>
                <w:color w:val="auto"/>
                <w:szCs w:val="21"/>
                <w:highlight w:val="none"/>
              </w:rPr>
              <w:t>以人民币进行核算；参选文件中如出现其他币种，一律以唱价当天中国人民银行公布的汇率折算为人民币。</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hint="eastAsia" w:ascii="宋体" w:hAnsi="宋体" w:eastAsia="宋体" w:cs="宋体"/>
                <w:color w:val="auto"/>
                <w:szCs w:val="21"/>
                <w:highlight w:val="none"/>
                <w:lang w:eastAsia="zh-CN"/>
              </w:rPr>
            </w:pPr>
            <w:r>
              <w:rPr>
                <w:rFonts w:hint="eastAsia" w:ascii="宋体" w:hAnsi="宋体"/>
                <w:color w:val="auto"/>
                <w:szCs w:val="21"/>
                <w:highlight w:val="none"/>
              </w:rPr>
              <w:t>11.</w:t>
            </w:r>
            <w:r>
              <w:rPr>
                <w:rFonts w:hint="eastAsia" w:ascii="宋体" w:hAnsi="宋体"/>
                <w:color w:val="auto"/>
                <w:szCs w:val="21"/>
                <w:highlight w:val="none"/>
                <w:lang w:val="en-US" w:eastAsia="zh-CN"/>
              </w:rPr>
              <w:t>5</w:t>
            </w:r>
          </w:p>
        </w:tc>
        <w:tc>
          <w:tcPr>
            <w:tcW w:w="1843" w:type="dxa"/>
            <w:vAlign w:val="center"/>
          </w:tcPr>
          <w:p>
            <w:pPr>
              <w:autoSpaceDE w:val="0"/>
              <w:autoSpaceDN w:val="0"/>
              <w:jc w:val="center"/>
              <w:rPr>
                <w:rFonts w:ascii="宋体" w:hAnsi="宋体"/>
                <w:color w:val="auto"/>
                <w:szCs w:val="21"/>
                <w:highlight w:val="none"/>
              </w:rPr>
            </w:pPr>
            <w:r>
              <w:rPr>
                <w:rFonts w:hint="eastAsia" w:ascii="宋体" w:hAnsi="宋体"/>
                <w:color w:val="auto"/>
                <w:szCs w:val="21"/>
                <w:highlight w:val="none"/>
              </w:rPr>
              <w:t>关于撤销参选文件的相关处理方式</w:t>
            </w:r>
          </w:p>
        </w:tc>
        <w:tc>
          <w:tcPr>
            <w:tcW w:w="6992" w:type="dxa"/>
          </w:tcPr>
          <w:p>
            <w:pPr>
              <w:rPr>
                <w:rFonts w:ascii="宋体" w:hAnsi="宋体"/>
                <w:color w:val="auto"/>
                <w:szCs w:val="21"/>
                <w:highlight w:val="none"/>
              </w:rPr>
            </w:pPr>
            <w:r>
              <w:rPr>
                <w:rFonts w:hint="eastAsia" w:ascii="宋体" w:hAnsi="宋体"/>
                <w:color w:val="auto"/>
                <w:szCs w:val="21"/>
                <w:highlight w:val="none"/>
              </w:rPr>
              <w:t>1、在参选文件递交的截止时间后，不允许参选人撤销参选文件。</w:t>
            </w:r>
          </w:p>
          <w:p>
            <w:pPr>
              <w:rPr>
                <w:rFonts w:ascii="宋体" w:hAnsi="宋体"/>
                <w:color w:val="auto"/>
                <w:szCs w:val="21"/>
                <w:highlight w:val="none"/>
              </w:rPr>
            </w:pPr>
            <w:r>
              <w:rPr>
                <w:rFonts w:hint="eastAsia" w:ascii="宋体" w:hAnsi="宋体"/>
                <w:color w:val="auto"/>
                <w:szCs w:val="21"/>
                <w:highlight w:val="none"/>
              </w:rPr>
              <w:t>2、在中选人公示期间，中选人要求撤销参选文件的，将以放弃中选处理。</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hint="eastAsia" w:ascii="宋体" w:hAnsi="宋体" w:eastAsia="宋体"/>
                <w:color w:val="auto"/>
                <w:szCs w:val="21"/>
                <w:highlight w:val="none"/>
                <w:lang w:eastAsia="zh-CN"/>
              </w:rPr>
            </w:pPr>
            <w:r>
              <w:rPr>
                <w:rFonts w:hint="eastAsia" w:ascii="宋体" w:hAnsi="宋体"/>
                <w:color w:val="auto"/>
                <w:szCs w:val="21"/>
                <w:highlight w:val="none"/>
              </w:rPr>
              <w:t>11.</w:t>
            </w:r>
            <w:r>
              <w:rPr>
                <w:rFonts w:hint="eastAsia" w:ascii="宋体" w:hAnsi="宋体"/>
                <w:color w:val="auto"/>
                <w:szCs w:val="21"/>
                <w:highlight w:val="none"/>
                <w:lang w:val="en-US" w:eastAsia="zh-CN"/>
              </w:rPr>
              <w:t>6</w:t>
            </w:r>
          </w:p>
        </w:tc>
        <w:tc>
          <w:tcPr>
            <w:tcW w:w="1843" w:type="dxa"/>
            <w:vAlign w:val="center"/>
          </w:tcPr>
          <w:p>
            <w:pPr>
              <w:autoSpaceDE w:val="0"/>
              <w:autoSpaceDN w:val="0"/>
              <w:jc w:val="center"/>
              <w:rPr>
                <w:rFonts w:ascii="宋体" w:hAnsi="宋体"/>
                <w:color w:val="auto"/>
                <w:szCs w:val="21"/>
                <w:highlight w:val="none"/>
              </w:rPr>
            </w:pPr>
            <w:r>
              <w:rPr>
                <w:rFonts w:hint="eastAsia"/>
                <w:color w:val="auto"/>
                <w:szCs w:val="21"/>
                <w:highlight w:val="none"/>
              </w:rPr>
              <w:t>电子参选的参选文件上传形式</w:t>
            </w:r>
          </w:p>
        </w:tc>
        <w:tc>
          <w:tcPr>
            <w:tcW w:w="6992" w:type="dxa"/>
          </w:tcPr>
          <w:p>
            <w:pPr>
              <w:rPr>
                <w:rFonts w:ascii="宋体" w:hAnsi="宋体"/>
                <w:color w:val="auto"/>
                <w:szCs w:val="21"/>
                <w:highlight w:val="none"/>
              </w:rPr>
            </w:pPr>
            <w:r>
              <w:rPr>
                <w:rFonts w:hint="eastAsia"/>
                <w:color w:val="auto"/>
                <w:szCs w:val="21"/>
                <w:highlight w:val="none"/>
              </w:rPr>
              <w:t>参选人必须在截止时间前登录到中国电信电子采购系统并上传加密电子参选文件。参选人可登录平台查看电子参选文件上传提交结果，同时可在开标前进行</w:t>
            </w:r>
            <w:r>
              <w:rPr>
                <w:color w:val="auto"/>
                <w:szCs w:val="21"/>
                <w:highlight w:val="none"/>
              </w:rPr>
              <w:t>CA</w:t>
            </w:r>
            <w:r>
              <w:rPr>
                <w:rFonts w:hint="eastAsia"/>
                <w:color w:val="auto"/>
                <w:szCs w:val="21"/>
                <w:highlight w:val="none"/>
              </w:rPr>
              <w:t>证书匹配验证。</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hint="eastAsia" w:ascii="宋体" w:hAnsi="宋体" w:eastAsia="宋体"/>
                <w:color w:val="auto"/>
                <w:szCs w:val="21"/>
                <w:highlight w:val="none"/>
                <w:lang w:eastAsia="zh-CN"/>
              </w:rPr>
            </w:pPr>
            <w:r>
              <w:rPr>
                <w:rFonts w:hint="eastAsia" w:ascii="宋体" w:hAnsi="宋体"/>
                <w:color w:val="auto"/>
                <w:szCs w:val="21"/>
                <w:highlight w:val="none"/>
              </w:rPr>
              <w:t>11.</w:t>
            </w:r>
            <w:r>
              <w:rPr>
                <w:rFonts w:hint="eastAsia" w:ascii="宋体" w:hAnsi="宋体"/>
                <w:color w:val="auto"/>
                <w:szCs w:val="21"/>
                <w:highlight w:val="none"/>
                <w:lang w:val="en-US" w:eastAsia="zh-CN"/>
              </w:rPr>
              <w:t>7</w:t>
            </w:r>
          </w:p>
        </w:tc>
        <w:tc>
          <w:tcPr>
            <w:tcW w:w="1843" w:type="dxa"/>
            <w:vAlign w:val="center"/>
          </w:tcPr>
          <w:p>
            <w:pPr>
              <w:autoSpaceDE w:val="0"/>
              <w:autoSpaceDN w:val="0"/>
              <w:jc w:val="center"/>
              <w:rPr>
                <w:color w:val="auto"/>
                <w:szCs w:val="21"/>
                <w:highlight w:val="none"/>
              </w:rPr>
            </w:pPr>
            <w:r>
              <w:rPr>
                <w:rFonts w:hint="eastAsia"/>
                <w:color w:val="auto"/>
                <w:szCs w:val="21"/>
                <w:highlight w:val="none"/>
              </w:rPr>
              <w:t>电子参选方式参选文件递交异常的处理方式</w:t>
            </w:r>
          </w:p>
        </w:tc>
        <w:tc>
          <w:tcPr>
            <w:tcW w:w="6992" w:type="dxa"/>
          </w:tcPr>
          <w:p>
            <w:pPr>
              <w:rPr>
                <w:rFonts w:ascii="宋体" w:hAnsi="宋体" w:cs="宋体"/>
                <w:color w:val="auto"/>
                <w:kern w:val="0"/>
                <w:szCs w:val="21"/>
                <w:highlight w:val="none"/>
              </w:rPr>
            </w:pPr>
            <w:r>
              <w:rPr>
                <w:rFonts w:hint="eastAsia" w:ascii="宋体" w:hAnsi="宋体" w:cs="宋体"/>
                <w:color w:val="auto"/>
                <w:kern w:val="0"/>
                <w:szCs w:val="21"/>
                <w:highlight w:val="none"/>
              </w:rPr>
              <w:t>详见招标文件第一章“比选公告”</w:t>
            </w:r>
          </w:p>
          <w:p>
            <w:pPr>
              <w:rPr>
                <w:color w:val="auto"/>
                <w:szCs w:val="21"/>
                <w:highlight w:val="none"/>
              </w:rPr>
            </w:pPr>
            <w:r>
              <w:rPr>
                <w:rFonts w:ascii="宋体" w:hAnsi="宋体" w:cs="宋体"/>
                <w:color w:val="auto"/>
                <w:kern w:val="0"/>
                <w:szCs w:val="21"/>
                <w:highlight w:val="none"/>
              </w:rPr>
              <w:t>5.1.1</w:t>
            </w:r>
            <w:r>
              <w:rPr>
                <w:rFonts w:hint="eastAsia" w:ascii="宋体" w:hAnsi="宋体" w:cs="宋体"/>
                <w:color w:val="auto"/>
                <w:kern w:val="0"/>
                <w:szCs w:val="21"/>
                <w:highlight w:val="none"/>
              </w:rPr>
              <w:t>参选</w:t>
            </w:r>
            <w:r>
              <w:rPr>
                <w:rFonts w:ascii="宋体" w:hAnsi="宋体" w:cs="宋体"/>
                <w:color w:val="auto"/>
                <w:kern w:val="0"/>
                <w:szCs w:val="21"/>
                <w:highlight w:val="none"/>
              </w:rPr>
              <w:t>文件的优先级</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gridAfter w:val="1"/>
          <w:wAfter w:w="18" w:type="dxa"/>
          <w:trHeight w:val="600" w:hRule="atLeast"/>
          <w:jc w:val="center"/>
        </w:trPr>
        <w:tc>
          <w:tcPr>
            <w:tcW w:w="1163" w:type="dxa"/>
            <w:vAlign w:val="center"/>
          </w:tcPr>
          <w:p>
            <w:pPr>
              <w:autoSpaceDE w:val="0"/>
              <w:autoSpaceDN w:val="0"/>
              <w:jc w:val="center"/>
              <w:rPr>
                <w:rFonts w:hint="eastAsia" w:ascii="宋体" w:hAnsi="宋体" w:eastAsia="宋体"/>
                <w:color w:val="auto"/>
                <w:szCs w:val="21"/>
                <w:highlight w:val="none"/>
                <w:lang w:eastAsia="zh-CN"/>
              </w:rPr>
            </w:pPr>
            <w:r>
              <w:rPr>
                <w:rFonts w:hint="eastAsia" w:ascii="宋体" w:hAnsi="宋体"/>
                <w:color w:val="auto"/>
                <w:szCs w:val="21"/>
                <w:highlight w:val="none"/>
              </w:rPr>
              <w:t>11.</w:t>
            </w:r>
            <w:r>
              <w:rPr>
                <w:rFonts w:hint="eastAsia" w:ascii="宋体" w:hAnsi="宋体"/>
                <w:color w:val="auto"/>
                <w:szCs w:val="21"/>
                <w:highlight w:val="none"/>
                <w:lang w:val="en-US" w:eastAsia="zh-CN"/>
              </w:rPr>
              <w:t>8</w:t>
            </w:r>
          </w:p>
        </w:tc>
        <w:tc>
          <w:tcPr>
            <w:tcW w:w="1843" w:type="dxa"/>
            <w:vAlign w:val="center"/>
          </w:tcPr>
          <w:p>
            <w:pPr>
              <w:autoSpaceDE w:val="0"/>
              <w:autoSpaceDN w:val="0"/>
              <w:jc w:val="center"/>
              <w:rPr>
                <w:color w:val="auto"/>
                <w:szCs w:val="21"/>
                <w:highlight w:val="none"/>
              </w:rPr>
            </w:pPr>
            <w:r>
              <w:rPr>
                <w:rFonts w:hint="eastAsia"/>
                <w:color w:val="auto"/>
                <w:szCs w:val="21"/>
                <w:highlight w:val="none"/>
              </w:rPr>
              <w:t>电子参选唱价的其他要求及异常处理</w:t>
            </w:r>
          </w:p>
        </w:tc>
        <w:tc>
          <w:tcPr>
            <w:tcW w:w="6992" w:type="dxa"/>
          </w:tcPr>
          <w:p>
            <w:pPr>
              <w:rPr>
                <w:rFonts w:ascii="宋体" w:hAnsi="宋体" w:cs="宋体"/>
                <w:color w:val="auto"/>
                <w:kern w:val="0"/>
                <w:szCs w:val="21"/>
                <w:highlight w:val="none"/>
              </w:rPr>
            </w:pPr>
            <w:r>
              <w:rPr>
                <w:rFonts w:hint="eastAsia" w:ascii="宋体" w:hAnsi="宋体" w:cs="宋体"/>
                <w:color w:val="auto"/>
                <w:kern w:val="0"/>
                <w:szCs w:val="21"/>
                <w:highlight w:val="none"/>
              </w:rPr>
              <w:t>主持人在平台上点击“公布参选人”按钮后30分钟内，参选人须凭参选加密时使用的CA证书完成参选文件的解密操作，逾时解密的则将导致解密失败。 参选人可自行选择是否到开标现场进行解密；如到开标现场进行解密的，为保证电子开标顺利进行，请参选人携带正确的CA证书和便携式电脑至开标地点进行文件解密。</w:t>
            </w:r>
          </w:p>
          <w:p>
            <w:pPr>
              <w:rPr>
                <w:rFonts w:ascii="宋体" w:hAnsi="宋体" w:cs="宋体"/>
                <w:color w:val="auto"/>
                <w:kern w:val="0"/>
                <w:szCs w:val="21"/>
                <w:highlight w:val="none"/>
              </w:rPr>
            </w:pPr>
            <w:r>
              <w:rPr>
                <w:rFonts w:hint="eastAsia" w:ascii="宋体" w:hAnsi="宋体" w:cs="宋体"/>
                <w:color w:val="auto"/>
                <w:kern w:val="0"/>
                <w:szCs w:val="21"/>
                <w:highlight w:val="none"/>
              </w:rPr>
              <w:t>其他异常情形详见比选文件第一章比选公告书5.1.1比选文件的优先级</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trHeight w:val="600" w:hRule="atLeast"/>
          <w:jc w:val="center"/>
        </w:trPr>
        <w:tc>
          <w:tcPr>
            <w:tcW w:w="10016" w:type="dxa"/>
            <w:gridSpan w:val="4"/>
            <w:vAlign w:val="center"/>
          </w:tcPr>
          <w:p>
            <w:pPr>
              <w:autoSpaceDE w:val="0"/>
              <w:autoSpaceDN w:val="0"/>
              <w:jc w:val="center"/>
              <w:rPr>
                <w:rFonts w:ascii="宋体" w:hAnsi="宋体" w:cs="宋体"/>
                <w:b/>
                <w:color w:val="auto"/>
                <w:szCs w:val="21"/>
                <w:highlight w:val="none"/>
              </w:rPr>
            </w:pPr>
            <w:r>
              <w:rPr>
                <w:rFonts w:hint="eastAsia" w:ascii="宋体" w:hAnsi="宋体" w:cs="宋体"/>
                <w:b/>
                <w:color w:val="auto"/>
                <w:szCs w:val="21"/>
                <w:highlight w:val="none"/>
              </w:rPr>
              <w:t>比选文件否决参选条款汇总</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28" w:type="dxa"/>
            <w:bottom w:w="0" w:type="dxa"/>
            <w:right w:w="28" w:type="dxa"/>
          </w:tblCellMar>
        </w:tblPrEx>
        <w:trPr>
          <w:trHeight w:val="600" w:hRule="atLeast"/>
          <w:jc w:val="center"/>
        </w:trPr>
        <w:tc>
          <w:tcPr>
            <w:tcW w:w="10016" w:type="dxa"/>
            <w:gridSpan w:val="4"/>
            <w:vAlign w:val="center"/>
          </w:tcPr>
          <w:p>
            <w:pPr>
              <w:autoSpaceDE w:val="0"/>
              <w:autoSpaceDN w:val="0"/>
              <w:jc w:val="center"/>
              <w:rPr>
                <w:rFonts w:ascii="宋体" w:hAnsi="宋体"/>
                <w:color w:val="auto"/>
                <w:szCs w:val="21"/>
                <w:highlight w:val="none"/>
              </w:rPr>
            </w:pPr>
            <w:r>
              <w:rPr>
                <w:rFonts w:hint="eastAsia" w:ascii="宋体" w:hAnsi="宋体" w:cs="宋体"/>
                <w:color w:val="auto"/>
                <w:szCs w:val="21"/>
                <w:highlight w:val="none"/>
              </w:rPr>
              <w:t>详见</w:t>
            </w:r>
            <w:r>
              <w:rPr>
                <w:rFonts w:hint="eastAsia" w:ascii="宋体" w:hAnsi="宋体"/>
                <w:color w:val="auto"/>
                <w:szCs w:val="21"/>
                <w:highlight w:val="none"/>
              </w:rPr>
              <w:t>比选</w:t>
            </w:r>
            <w:r>
              <w:rPr>
                <w:rFonts w:ascii="宋体" w:hAnsi="宋体"/>
                <w:color w:val="auto"/>
                <w:szCs w:val="21"/>
                <w:highlight w:val="none"/>
              </w:rPr>
              <w:t>文件</w:t>
            </w:r>
            <w:r>
              <w:rPr>
                <w:rFonts w:hint="eastAsia" w:ascii="宋体" w:hAnsi="宋体" w:cs="宋体"/>
                <w:color w:val="auto"/>
                <w:szCs w:val="21"/>
                <w:highlight w:val="none"/>
              </w:rPr>
              <w:t>第三章“评选办法”评选办法前附表</w:t>
            </w:r>
          </w:p>
        </w:tc>
      </w:tr>
    </w:tbl>
    <w:p>
      <w:pPr>
        <w:pStyle w:val="35"/>
        <w:tabs>
          <w:tab w:val="left" w:pos="602"/>
        </w:tabs>
        <w:snapToGrid w:val="0"/>
        <w:spacing w:before="120" w:after="120" w:line="440" w:lineRule="exact"/>
        <w:jc w:val="left"/>
        <w:rPr>
          <w:rFonts w:ascii="宋体" w:hAnsi="宋体"/>
          <w:color w:val="auto"/>
          <w:sz w:val="28"/>
          <w:szCs w:val="28"/>
          <w:highlight w:val="none"/>
        </w:rPr>
        <w:sectPr>
          <w:footerReference r:id="rId9" w:type="first"/>
          <w:footerReference r:id="rId8" w:type="default"/>
          <w:pgSz w:w="11906" w:h="16838"/>
          <w:pgMar w:top="1440" w:right="1800" w:bottom="1440" w:left="1800" w:header="851" w:footer="992" w:gutter="0"/>
          <w:cols w:space="720" w:num="1"/>
          <w:titlePg/>
          <w:docGrid w:type="lines" w:linePitch="312" w:charSpace="0"/>
        </w:sectPr>
      </w:pPr>
      <w:bookmarkStart w:id="43" w:name="_Toc447188667"/>
      <w:bookmarkStart w:id="44" w:name="_Toc227057885"/>
      <w:bookmarkStart w:id="45" w:name="_Toc226969278"/>
      <w:bookmarkStart w:id="46" w:name="_Toc107822484"/>
      <w:bookmarkStart w:id="47" w:name="_Toc488655831"/>
    </w:p>
    <w:p>
      <w:pPr>
        <w:pStyle w:val="35"/>
        <w:snapToGrid w:val="0"/>
        <w:spacing w:before="120" w:after="120" w:line="440" w:lineRule="exact"/>
        <w:jc w:val="left"/>
        <w:outlineLvl w:val="1"/>
        <w:rPr>
          <w:rFonts w:ascii="宋体" w:hAnsi="宋体"/>
          <w:color w:val="auto"/>
          <w:sz w:val="28"/>
          <w:szCs w:val="28"/>
          <w:highlight w:val="none"/>
        </w:rPr>
      </w:pPr>
      <w:bookmarkStart w:id="48" w:name="_Toc447265502"/>
      <w:bookmarkStart w:id="49" w:name="_Toc447265216"/>
      <w:bookmarkStart w:id="50" w:name="_Toc17203537"/>
      <w:bookmarkStart w:id="51" w:name="_Toc17202974"/>
      <w:bookmarkStart w:id="52" w:name="_Toc17202765"/>
      <w:bookmarkStart w:id="53" w:name="_Toc4076"/>
      <w:r>
        <w:rPr>
          <w:rFonts w:hint="eastAsia" w:ascii="宋体" w:hAnsi="宋体"/>
          <w:color w:val="auto"/>
          <w:sz w:val="28"/>
          <w:szCs w:val="28"/>
          <w:highlight w:val="none"/>
        </w:rPr>
        <w:t>1.总则</w:t>
      </w:r>
      <w:bookmarkEnd w:id="43"/>
      <w:bookmarkEnd w:id="48"/>
      <w:bookmarkEnd w:id="49"/>
      <w:bookmarkEnd w:id="50"/>
      <w:bookmarkEnd w:id="51"/>
      <w:bookmarkEnd w:id="52"/>
      <w:bookmarkEnd w:id="53"/>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54" w:name="_Toc17202766"/>
      <w:bookmarkStart w:id="55" w:name="_Toc144974498"/>
      <w:bookmarkStart w:id="56" w:name="_Toc17202975"/>
      <w:bookmarkStart w:id="57" w:name="_Toc179632547"/>
      <w:bookmarkStart w:id="58" w:name="_Toc152042306"/>
      <w:bookmarkStart w:id="59" w:name="_Toc246996176"/>
      <w:bookmarkStart w:id="60" w:name="_Toc247085690"/>
      <w:bookmarkStart w:id="61" w:name="_Toc152045530"/>
      <w:bookmarkStart w:id="62" w:name="_Toc447188668"/>
      <w:bookmarkStart w:id="63" w:name="_Toc447265217"/>
      <w:bookmarkStart w:id="64" w:name="_Toc447265503"/>
      <w:bookmarkStart w:id="65" w:name="_Toc246996919"/>
      <w:bookmarkStart w:id="66" w:name="_Toc296602421"/>
      <w:r>
        <w:rPr>
          <w:rFonts w:hAnsi="宋体"/>
          <w:b/>
          <w:color w:val="auto"/>
          <w:sz w:val="24"/>
          <w:highlight w:val="none"/>
        </w:rPr>
        <w:t>1.1</w:t>
      </w:r>
      <w:r>
        <w:rPr>
          <w:rFonts w:hint="eastAsia" w:hAnsi="宋体"/>
          <w:b/>
          <w:color w:val="auto"/>
          <w:sz w:val="24"/>
          <w:highlight w:val="none"/>
        </w:rPr>
        <w:t>项目概况</w:t>
      </w:r>
      <w:bookmarkEnd w:id="54"/>
      <w:bookmarkEnd w:id="55"/>
      <w:bookmarkEnd w:id="56"/>
      <w:bookmarkEnd w:id="57"/>
      <w:bookmarkEnd w:id="58"/>
      <w:bookmarkEnd w:id="59"/>
      <w:bookmarkEnd w:id="60"/>
      <w:bookmarkEnd w:id="61"/>
      <w:bookmarkEnd w:id="62"/>
      <w:bookmarkEnd w:id="63"/>
      <w:bookmarkEnd w:id="64"/>
      <w:bookmarkEnd w:id="65"/>
      <w:bookmarkEnd w:id="66"/>
    </w:p>
    <w:bookmarkEnd w:id="44"/>
    <w:bookmarkEnd w:id="45"/>
    <w:p>
      <w:pPr>
        <w:pStyle w:val="21"/>
        <w:tabs>
          <w:tab w:val="left" w:pos="0"/>
        </w:tabs>
        <w:snapToGrid w:val="0"/>
        <w:spacing w:line="400" w:lineRule="exact"/>
        <w:ind w:firstLine="424" w:firstLineChars="202"/>
        <w:rPr>
          <w:rFonts w:hAnsi="宋体" w:cs="宋体"/>
          <w:color w:val="auto"/>
          <w:highlight w:val="none"/>
        </w:rPr>
      </w:pPr>
      <w:r>
        <w:rPr>
          <w:rFonts w:hint="eastAsia" w:hAnsi="宋体"/>
          <w:color w:val="auto"/>
          <w:highlight w:val="none"/>
        </w:rPr>
        <w:t>1.</w:t>
      </w:r>
      <w:r>
        <w:rPr>
          <w:rFonts w:hAnsi="宋体"/>
          <w:color w:val="auto"/>
          <w:highlight w:val="none"/>
        </w:rPr>
        <w:t>1.1</w:t>
      </w:r>
      <w:r>
        <w:rPr>
          <w:rFonts w:hint="eastAsia" w:hAnsi="宋体"/>
          <w:color w:val="auto"/>
          <w:highlight w:val="none"/>
        </w:rPr>
        <w:t>根据《中国电信集团采购管理办法》</w:t>
      </w:r>
      <w:r>
        <w:rPr>
          <w:rFonts w:hint="eastAsia"/>
          <w:color w:val="auto"/>
          <w:highlight w:val="none"/>
        </w:rPr>
        <w:t>（以下简称《采购管理办法》）</w:t>
      </w:r>
      <w:r>
        <w:rPr>
          <w:rFonts w:hint="eastAsia" w:hAnsi="宋体"/>
          <w:color w:val="auto"/>
          <w:highlight w:val="none"/>
        </w:rPr>
        <w:t>、《中国电信集团采购比选管理办法》</w:t>
      </w:r>
      <w:r>
        <w:rPr>
          <w:rFonts w:hint="eastAsia"/>
          <w:color w:val="auto"/>
          <w:highlight w:val="none"/>
        </w:rPr>
        <w:t>（以下简称《比选管理办法》）</w:t>
      </w:r>
      <w:r>
        <w:rPr>
          <w:rFonts w:hint="eastAsia" w:hAnsi="宋体"/>
          <w:color w:val="auto"/>
          <w:highlight w:val="none"/>
        </w:rPr>
        <w:t>等有关规章制度规定，本比选项目已具备比选条件，现对本项目进行比选。</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1.1.2</w:t>
      </w:r>
      <w:r>
        <w:rPr>
          <w:rFonts w:hint="eastAsia" w:hAnsi="宋体"/>
          <w:color w:val="auto"/>
          <w:highlight w:val="none"/>
        </w:rPr>
        <w:t>比选人：比选人单位名称及联系方式见参选人须知前附表。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1</w:t>
      </w:r>
      <w:r>
        <w:rPr>
          <w:rFonts w:hAnsi="宋体"/>
          <w:color w:val="auto"/>
          <w:highlight w:val="none"/>
        </w:rPr>
        <w:t>.1</w:t>
      </w:r>
      <w:r>
        <w:rPr>
          <w:rFonts w:hint="eastAsia" w:hAnsi="宋体"/>
          <w:color w:val="auto"/>
          <w:highlight w:val="none"/>
        </w:rPr>
        <w:t>.3项目名称：项目名称及比选编号见参选人须知前附表。</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67" w:name="_Toc227057886"/>
      <w:bookmarkStart w:id="68" w:name="_Toc226969279"/>
      <w:bookmarkStart w:id="69" w:name="_Toc447188669"/>
      <w:bookmarkStart w:id="70" w:name="_Toc447265218"/>
      <w:bookmarkStart w:id="71" w:name="_Toc17202976"/>
      <w:bookmarkStart w:id="72" w:name="_Toc17202767"/>
      <w:bookmarkStart w:id="73" w:name="_Toc447265504"/>
      <w:r>
        <w:rPr>
          <w:rFonts w:hAnsi="宋体"/>
          <w:b/>
          <w:color w:val="auto"/>
          <w:sz w:val="24"/>
          <w:highlight w:val="none"/>
        </w:rPr>
        <w:t>1.2</w:t>
      </w:r>
      <w:r>
        <w:rPr>
          <w:rFonts w:hint="eastAsia" w:hAnsi="宋体"/>
          <w:b/>
          <w:color w:val="auto"/>
          <w:sz w:val="24"/>
          <w:highlight w:val="none"/>
        </w:rPr>
        <w:t>资金</w:t>
      </w:r>
      <w:bookmarkEnd w:id="67"/>
      <w:bookmarkEnd w:id="68"/>
      <w:bookmarkEnd w:id="69"/>
      <w:r>
        <w:rPr>
          <w:rFonts w:hint="eastAsia" w:hAnsi="宋体"/>
          <w:b/>
          <w:color w:val="auto"/>
          <w:sz w:val="24"/>
          <w:highlight w:val="none"/>
        </w:rPr>
        <w:t>落实情况</w:t>
      </w:r>
      <w:bookmarkEnd w:id="70"/>
      <w:bookmarkEnd w:id="71"/>
      <w:bookmarkEnd w:id="72"/>
      <w:bookmarkEnd w:id="73"/>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本项目资金已落实。</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74" w:name="_Toc17202977"/>
      <w:bookmarkStart w:id="75" w:name="_Toc447265219"/>
      <w:bookmarkStart w:id="76" w:name="_Toc447265505"/>
      <w:bookmarkStart w:id="77" w:name="_Toc17202768"/>
      <w:bookmarkStart w:id="78" w:name="_Toc447188670"/>
      <w:r>
        <w:rPr>
          <w:rFonts w:hAnsi="宋体"/>
          <w:b/>
          <w:color w:val="auto"/>
          <w:sz w:val="24"/>
          <w:highlight w:val="none"/>
        </w:rPr>
        <w:t>1.3</w:t>
      </w:r>
      <w:r>
        <w:rPr>
          <w:rFonts w:hint="eastAsia" w:hAnsi="宋体"/>
          <w:b/>
          <w:color w:val="auto"/>
          <w:sz w:val="24"/>
          <w:highlight w:val="none"/>
        </w:rPr>
        <w:t>采购范围</w:t>
      </w:r>
      <w:bookmarkEnd w:id="74"/>
      <w:bookmarkEnd w:id="75"/>
      <w:bookmarkEnd w:id="76"/>
      <w:bookmarkEnd w:id="77"/>
      <w:bookmarkEnd w:id="78"/>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本项目采购范围：见参选人须知前附表。</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79" w:name="_Toc17202769"/>
      <w:bookmarkStart w:id="80" w:name="_Toc17202978"/>
      <w:r>
        <w:rPr>
          <w:rFonts w:hAnsi="宋体"/>
          <w:b/>
          <w:color w:val="auto"/>
          <w:sz w:val="24"/>
          <w:highlight w:val="none"/>
        </w:rPr>
        <w:t>1.4</w:t>
      </w:r>
      <w:r>
        <w:rPr>
          <w:rFonts w:hint="eastAsia" w:hAnsi="宋体"/>
          <w:b/>
          <w:color w:val="auto"/>
          <w:sz w:val="24"/>
          <w:highlight w:val="none"/>
        </w:rPr>
        <w:t>标段划分</w:t>
      </w:r>
      <w:bookmarkEnd w:id="79"/>
      <w:bookmarkEnd w:id="80"/>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本项目标段划分情况见参选人须知前附表。</w:t>
      </w:r>
    </w:p>
    <w:bookmarkEnd w:id="46"/>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81" w:name="_Toc447265221"/>
      <w:bookmarkStart w:id="82" w:name="_Toc107822486"/>
      <w:bookmarkStart w:id="83" w:name="_Toc226969281"/>
      <w:bookmarkStart w:id="84" w:name="_Toc17202979"/>
      <w:bookmarkStart w:id="85" w:name="_Toc227057888"/>
      <w:bookmarkStart w:id="86" w:name="_Toc447265507"/>
      <w:bookmarkStart w:id="87" w:name="_Toc447188672"/>
      <w:bookmarkStart w:id="88" w:name="_Toc17202770"/>
      <w:r>
        <w:rPr>
          <w:rFonts w:hAnsi="宋体"/>
          <w:b/>
          <w:color w:val="auto"/>
          <w:sz w:val="24"/>
          <w:highlight w:val="none"/>
        </w:rPr>
        <w:t>1.5</w:t>
      </w:r>
      <w:r>
        <w:rPr>
          <w:rFonts w:hint="eastAsia" w:hAnsi="宋体"/>
          <w:b/>
          <w:color w:val="auto"/>
          <w:sz w:val="24"/>
          <w:highlight w:val="none"/>
        </w:rPr>
        <w:t>比选方式</w:t>
      </w:r>
      <w:bookmarkEnd w:id="81"/>
      <w:bookmarkEnd w:id="82"/>
      <w:bookmarkEnd w:id="83"/>
      <w:bookmarkEnd w:id="84"/>
      <w:bookmarkEnd w:id="85"/>
      <w:bookmarkEnd w:id="86"/>
      <w:bookmarkEnd w:id="87"/>
      <w:bookmarkEnd w:id="88"/>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1.5.1</w:t>
      </w:r>
      <w:r>
        <w:rPr>
          <w:rFonts w:hint="eastAsia" w:hAnsi="宋体"/>
          <w:color w:val="auto"/>
          <w:highlight w:val="none"/>
        </w:rPr>
        <w:t>比选方式见参选人须知前附表。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1.5.2公开比选，是指比选人以比选公告的方式邀请不特定的法人或者其他组织参选。</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1.5.3</w:t>
      </w:r>
      <w:r>
        <w:rPr>
          <w:rFonts w:hint="eastAsia" w:hAnsi="宋体"/>
          <w:color w:val="auto"/>
          <w:highlight w:val="none"/>
        </w:rPr>
        <w:t>邀请比选，是指比选人以参选邀请书的方式邀请特定的法人或者其他组织参选。</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89" w:name="_Toc17202980"/>
      <w:bookmarkStart w:id="90" w:name="_Toc107822485"/>
      <w:bookmarkStart w:id="91" w:name="_Toc447188673"/>
      <w:bookmarkStart w:id="92" w:name="_Toc17202771"/>
      <w:bookmarkStart w:id="93" w:name="_Toc226969280"/>
      <w:bookmarkStart w:id="94" w:name="_Toc447265222"/>
      <w:bookmarkStart w:id="95" w:name="_Toc227057887"/>
      <w:bookmarkStart w:id="96" w:name="_Toc447265508"/>
      <w:bookmarkStart w:id="97" w:name="_Toc226969282"/>
      <w:bookmarkStart w:id="98" w:name="_Toc227057889"/>
      <w:r>
        <w:rPr>
          <w:rFonts w:hAnsi="宋体"/>
          <w:b/>
          <w:color w:val="auto"/>
          <w:sz w:val="24"/>
          <w:highlight w:val="none"/>
        </w:rPr>
        <w:t>1.6</w:t>
      </w:r>
      <w:r>
        <w:rPr>
          <w:rFonts w:hint="eastAsia" w:hAnsi="宋体"/>
          <w:b/>
          <w:color w:val="auto"/>
          <w:sz w:val="24"/>
          <w:highlight w:val="none"/>
        </w:rPr>
        <w:t>比选组织形式</w:t>
      </w:r>
      <w:bookmarkEnd w:id="89"/>
      <w:bookmarkEnd w:id="90"/>
      <w:bookmarkEnd w:id="91"/>
      <w:bookmarkEnd w:id="92"/>
      <w:bookmarkEnd w:id="93"/>
      <w:bookmarkEnd w:id="94"/>
      <w:bookmarkEnd w:id="95"/>
      <w:bookmarkEnd w:id="96"/>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本项目由比选人自行组织</w:t>
      </w:r>
      <w:r>
        <w:rPr>
          <w:rFonts w:hAnsi="宋体"/>
          <w:color w:val="auto"/>
          <w:highlight w:val="none"/>
        </w:rPr>
        <w:t>/委托</w:t>
      </w:r>
      <w:r>
        <w:rPr>
          <w:rFonts w:hint="eastAsia" w:hAnsi="宋体"/>
          <w:color w:val="auto"/>
          <w:highlight w:val="none"/>
        </w:rPr>
        <w:t>比选代理机构采用代理比选的方式进行，比选组织形式、比选代理机构名称及联系方式见参选人须知前附表。</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99" w:name="_Toc17202981"/>
      <w:bookmarkStart w:id="100" w:name="_Toc447188674"/>
      <w:bookmarkStart w:id="101" w:name="_Toc447265223"/>
      <w:bookmarkStart w:id="102" w:name="_Toc17202772"/>
      <w:bookmarkStart w:id="103" w:name="_Toc447265509"/>
      <w:r>
        <w:rPr>
          <w:rFonts w:hAnsi="宋体"/>
          <w:b/>
          <w:color w:val="auto"/>
          <w:sz w:val="24"/>
          <w:highlight w:val="none"/>
        </w:rPr>
        <w:t>1.7</w:t>
      </w:r>
      <w:r>
        <w:rPr>
          <w:rFonts w:hint="eastAsia" w:hAnsi="宋体"/>
          <w:b/>
          <w:color w:val="auto"/>
          <w:sz w:val="24"/>
          <w:highlight w:val="none"/>
        </w:rPr>
        <w:t>资格审查</w:t>
      </w:r>
      <w:bookmarkEnd w:id="97"/>
      <w:bookmarkEnd w:id="98"/>
      <w:bookmarkEnd w:id="99"/>
      <w:bookmarkEnd w:id="100"/>
      <w:bookmarkEnd w:id="101"/>
      <w:bookmarkEnd w:id="102"/>
      <w:bookmarkEnd w:id="103"/>
    </w:p>
    <w:p>
      <w:pPr>
        <w:pStyle w:val="21"/>
        <w:tabs>
          <w:tab w:val="left" w:pos="0"/>
        </w:tabs>
        <w:snapToGrid w:val="0"/>
        <w:spacing w:line="400" w:lineRule="exact"/>
        <w:ind w:firstLine="424" w:firstLineChars="202"/>
        <w:rPr>
          <w:rFonts w:hAnsi="宋体"/>
          <w:color w:val="auto"/>
          <w:highlight w:val="none"/>
        </w:rPr>
      </w:pPr>
      <w:bookmarkStart w:id="104" w:name="_Toc447265510"/>
      <w:bookmarkStart w:id="105" w:name="_Toc447188675"/>
      <w:bookmarkStart w:id="106" w:name="_Toc447265224"/>
      <w:r>
        <w:rPr>
          <w:rFonts w:hAnsi="宋体"/>
          <w:color w:val="auto"/>
          <w:highlight w:val="none"/>
        </w:rPr>
        <w:t>1.7.1本</w:t>
      </w:r>
      <w:r>
        <w:rPr>
          <w:rFonts w:hint="eastAsia" w:hAnsi="宋体"/>
          <w:color w:val="auto"/>
          <w:highlight w:val="none"/>
        </w:rPr>
        <w:t>比选项目资格审查方式见参选人须知前附表。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1.7.2资格预审是指在参选前对参选人进行的资格审查。采用资格预审方式的，资格条件已经在比选文件发出前的“资格预审文件”中做出规定。</w:t>
      </w:r>
    </w:p>
    <w:p>
      <w:pPr>
        <w:pStyle w:val="21"/>
        <w:tabs>
          <w:tab w:val="left" w:pos="0"/>
        </w:tabs>
        <w:snapToGrid w:val="0"/>
        <w:spacing w:line="400" w:lineRule="exact"/>
        <w:ind w:firstLine="424" w:firstLineChars="202"/>
        <w:rPr>
          <w:rFonts w:hAnsi="宋体"/>
          <w:color w:val="auto"/>
          <w:highlight w:val="none"/>
        </w:rPr>
      </w:pPr>
      <w:bookmarkStart w:id="107" w:name="_Toc226969283"/>
      <w:r>
        <w:rPr>
          <w:rFonts w:hint="eastAsia" w:hAnsi="宋体"/>
          <w:color w:val="auto"/>
          <w:highlight w:val="none"/>
        </w:rPr>
        <w:t>资格后审是指在唱价后由评选委员会根据比选文件的规定对参选人进行的资格审查。</w:t>
      </w:r>
      <w:bookmarkEnd w:id="107"/>
      <w:r>
        <w:rPr>
          <w:rFonts w:hint="eastAsia" w:hAnsi="宋体"/>
          <w:color w:val="auto"/>
          <w:highlight w:val="none"/>
        </w:rPr>
        <w:t>采用资格后审方式的，参选人应当具备的资格条件见参选人须知前附表。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采用资格后审的，比选人必须在比选文件中详细规定资格审查标准和方法。</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资格后审一般包括下列内容：</w:t>
      </w:r>
    </w:p>
    <w:p>
      <w:pPr>
        <w:numPr>
          <w:ilvl w:val="0"/>
          <w:numId w:val="9"/>
        </w:numPr>
        <w:tabs>
          <w:tab w:val="left" w:pos="993"/>
        </w:tabs>
        <w:snapToGrid w:val="0"/>
        <w:spacing w:line="400" w:lineRule="exact"/>
        <w:ind w:left="0" w:firstLine="424" w:firstLineChars="202"/>
        <w:rPr>
          <w:rFonts w:ascii="宋体" w:hAnsi="宋体" w:cs="宋体"/>
          <w:color w:val="auto"/>
          <w:szCs w:val="21"/>
          <w:highlight w:val="none"/>
        </w:rPr>
      </w:pPr>
      <w:r>
        <w:rPr>
          <w:rFonts w:hint="eastAsia" w:ascii="宋体" w:hAnsi="宋体" w:cs="宋体"/>
          <w:color w:val="auto"/>
          <w:szCs w:val="21"/>
          <w:highlight w:val="none"/>
        </w:rPr>
        <w:t>资格要求；</w:t>
      </w:r>
    </w:p>
    <w:p>
      <w:pPr>
        <w:numPr>
          <w:ilvl w:val="0"/>
          <w:numId w:val="9"/>
        </w:numPr>
        <w:tabs>
          <w:tab w:val="left" w:pos="993"/>
        </w:tabs>
        <w:snapToGrid w:val="0"/>
        <w:spacing w:line="400" w:lineRule="exact"/>
        <w:ind w:left="0" w:firstLine="424" w:firstLineChars="202"/>
        <w:rPr>
          <w:rFonts w:ascii="宋体" w:hAnsi="宋体" w:cs="宋体"/>
          <w:color w:val="auto"/>
          <w:szCs w:val="21"/>
          <w:highlight w:val="none"/>
        </w:rPr>
      </w:pPr>
      <w:r>
        <w:rPr>
          <w:rFonts w:hint="eastAsia" w:ascii="宋体" w:hAnsi="宋体" w:cs="宋体"/>
          <w:color w:val="auto"/>
          <w:szCs w:val="21"/>
          <w:highlight w:val="none"/>
        </w:rPr>
        <w:t>其他业绩要求；</w:t>
      </w:r>
    </w:p>
    <w:p>
      <w:pPr>
        <w:numPr>
          <w:ilvl w:val="0"/>
          <w:numId w:val="9"/>
        </w:numPr>
        <w:tabs>
          <w:tab w:val="left" w:pos="993"/>
        </w:tabs>
        <w:snapToGrid w:val="0"/>
        <w:spacing w:line="400" w:lineRule="exact"/>
        <w:ind w:left="0" w:firstLine="424" w:firstLineChars="202"/>
        <w:rPr>
          <w:rFonts w:ascii="宋体" w:hAnsi="宋体" w:cs="宋体"/>
          <w:color w:val="auto"/>
          <w:szCs w:val="21"/>
          <w:highlight w:val="none"/>
        </w:rPr>
      </w:pPr>
      <w:r>
        <w:rPr>
          <w:rFonts w:hint="eastAsia" w:ascii="宋体" w:hAnsi="宋体" w:cs="宋体"/>
          <w:color w:val="auto"/>
          <w:szCs w:val="21"/>
          <w:highlight w:val="none"/>
        </w:rPr>
        <w:t>审查标准和方法。</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资格后审不合格的参选人，评选委员会应当否决其参选。</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108" w:name="_Toc17202982"/>
      <w:bookmarkStart w:id="109" w:name="_Toc17202773"/>
      <w:r>
        <w:rPr>
          <w:rFonts w:hAnsi="宋体"/>
          <w:b/>
          <w:color w:val="auto"/>
          <w:sz w:val="24"/>
          <w:highlight w:val="none"/>
        </w:rPr>
        <w:t>1.8</w:t>
      </w:r>
      <w:r>
        <w:rPr>
          <w:rFonts w:hint="eastAsia" w:hAnsi="宋体"/>
          <w:b/>
          <w:color w:val="auto"/>
          <w:sz w:val="24"/>
          <w:highlight w:val="none"/>
        </w:rPr>
        <w:t>参选人不得存在的情形</w:t>
      </w:r>
      <w:bookmarkEnd w:id="104"/>
      <w:bookmarkEnd w:id="105"/>
      <w:bookmarkEnd w:id="106"/>
      <w:bookmarkEnd w:id="108"/>
      <w:bookmarkEnd w:id="109"/>
    </w:p>
    <w:p>
      <w:pPr>
        <w:adjustRightInd w:val="0"/>
        <w:snapToGrid w:val="0"/>
        <w:spacing w:line="440" w:lineRule="exact"/>
        <w:ind w:firstLine="420" w:firstLineChars="200"/>
        <w:rPr>
          <w:rFonts w:ascii="宋体" w:hAnsi="宋体" w:cs="宋体"/>
          <w:color w:val="auto"/>
          <w:szCs w:val="21"/>
          <w:highlight w:val="none"/>
        </w:rPr>
      </w:pPr>
      <w:bookmarkStart w:id="110" w:name="_Hlk55289287"/>
      <w:r>
        <w:rPr>
          <w:rFonts w:hint="eastAsia" w:ascii="宋体" w:hAnsi="宋体" w:cs="宋体"/>
          <w:color w:val="auto"/>
          <w:szCs w:val="21"/>
          <w:highlight w:val="none"/>
        </w:rPr>
        <w:t>1.8.1单位负责人为同一人或者存在控股、管理关系的不同单位，不得同时参加本项目中同一分包（标包）比选或者未划分分包（标包）的同一项目比选。</w:t>
      </w:r>
    </w:p>
    <w:p>
      <w:pPr>
        <w:adjustRightInd w:val="0"/>
        <w:snapToGrid w:val="0"/>
        <w:spacing w:after="156" w:afterLines="50" w:line="44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1.8.2参选人不得存在的其他情形详见第一章比选公告或比选邀请书。</w:t>
      </w:r>
    </w:p>
    <w:p>
      <w:pPr>
        <w:numPr>
          <w:ilvl w:val="0"/>
          <w:numId w:val="10"/>
        </w:numPr>
        <w:tabs>
          <w:tab w:val="left" w:pos="317"/>
          <w:tab w:val="left" w:pos="645"/>
          <w:tab w:val="left" w:pos="993"/>
        </w:tabs>
        <w:adjustRightInd w:val="0"/>
        <w:snapToGrid w:val="0"/>
        <w:spacing w:line="360" w:lineRule="auto"/>
        <w:ind w:left="34" w:leftChars="16" w:firstLine="390" w:firstLineChars="186"/>
        <w:rPr>
          <w:rFonts w:asciiTheme="minorEastAsia" w:hAnsiTheme="minorEastAsia"/>
          <w:color w:val="auto"/>
          <w:szCs w:val="21"/>
          <w:highlight w:val="none"/>
        </w:rPr>
      </w:pPr>
      <w:r>
        <w:rPr>
          <w:rFonts w:hint="eastAsia" w:asciiTheme="minorEastAsia" w:hAnsiTheme="minorEastAsia"/>
          <w:color w:val="auto"/>
          <w:szCs w:val="21"/>
          <w:highlight w:val="none"/>
        </w:rPr>
        <w:t>为比选人不具有独立法人资格的附属机构（单位）；</w:t>
      </w:r>
    </w:p>
    <w:p>
      <w:pPr>
        <w:numPr>
          <w:ilvl w:val="0"/>
          <w:numId w:val="10"/>
        </w:numPr>
        <w:tabs>
          <w:tab w:val="left" w:pos="317"/>
          <w:tab w:val="left" w:pos="645"/>
          <w:tab w:val="left" w:pos="993"/>
        </w:tabs>
        <w:adjustRightInd w:val="0"/>
        <w:snapToGrid w:val="0"/>
        <w:spacing w:line="360" w:lineRule="auto"/>
        <w:ind w:left="34" w:leftChars="16" w:firstLine="390" w:firstLineChars="186"/>
        <w:rPr>
          <w:rFonts w:asciiTheme="minorEastAsia" w:hAnsiTheme="minorEastAsia"/>
          <w:color w:val="auto"/>
          <w:szCs w:val="21"/>
          <w:highlight w:val="none"/>
        </w:rPr>
      </w:pPr>
      <w:r>
        <w:rPr>
          <w:rFonts w:hint="eastAsia" w:asciiTheme="minorEastAsia" w:hAnsiTheme="minorEastAsia"/>
          <w:color w:val="auto"/>
          <w:szCs w:val="21"/>
          <w:highlight w:val="none"/>
        </w:rPr>
        <w:t>被暂停或取消投标/参选资格的；</w:t>
      </w:r>
    </w:p>
    <w:p>
      <w:pPr>
        <w:numPr>
          <w:ilvl w:val="0"/>
          <w:numId w:val="10"/>
        </w:numPr>
        <w:tabs>
          <w:tab w:val="left" w:pos="317"/>
          <w:tab w:val="left" w:pos="631"/>
          <w:tab w:val="left" w:pos="993"/>
        </w:tabs>
        <w:adjustRightInd w:val="0"/>
        <w:snapToGrid w:val="0"/>
        <w:spacing w:line="360" w:lineRule="auto"/>
        <w:ind w:left="34" w:leftChars="16" w:firstLine="390" w:firstLineChars="186"/>
        <w:rPr>
          <w:rFonts w:asciiTheme="minorEastAsia" w:hAnsiTheme="minorEastAsia"/>
          <w:color w:val="auto"/>
          <w:szCs w:val="21"/>
          <w:highlight w:val="none"/>
        </w:rPr>
      </w:pPr>
      <w:r>
        <w:rPr>
          <w:rFonts w:hint="eastAsia" w:asciiTheme="minorEastAsia" w:hAnsiTheme="minorEastAsia"/>
          <w:color w:val="auto"/>
          <w:szCs w:val="21"/>
          <w:highlight w:val="none"/>
        </w:rPr>
        <w:t xml:space="preserve">被责令停产停业、暂扣或者吊销许可证、暂扣或者吊销执照； </w:t>
      </w:r>
    </w:p>
    <w:p>
      <w:pPr>
        <w:numPr>
          <w:ilvl w:val="0"/>
          <w:numId w:val="10"/>
        </w:numPr>
        <w:tabs>
          <w:tab w:val="left" w:pos="317"/>
          <w:tab w:val="left" w:pos="631"/>
          <w:tab w:val="left" w:pos="993"/>
        </w:tabs>
        <w:adjustRightInd w:val="0"/>
        <w:snapToGrid w:val="0"/>
        <w:spacing w:line="360" w:lineRule="auto"/>
        <w:ind w:left="34" w:leftChars="16" w:firstLine="390" w:firstLineChars="186"/>
        <w:rPr>
          <w:rFonts w:asciiTheme="minorEastAsia" w:hAnsiTheme="minorEastAsia"/>
          <w:color w:val="auto"/>
          <w:szCs w:val="21"/>
          <w:highlight w:val="none"/>
        </w:rPr>
      </w:pPr>
      <w:r>
        <w:rPr>
          <w:rFonts w:hint="eastAsia" w:asciiTheme="minorEastAsia" w:hAnsiTheme="minorEastAsia"/>
          <w:color w:val="auto"/>
          <w:szCs w:val="21"/>
          <w:highlight w:val="none"/>
        </w:rPr>
        <w:t xml:space="preserve">进入清算程序，或被宣告破产，或其他丧失履约能力的情形； </w:t>
      </w:r>
    </w:p>
    <w:p>
      <w:pPr>
        <w:numPr>
          <w:ilvl w:val="0"/>
          <w:numId w:val="10"/>
        </w:numPr>
        <w:tabs>
          <w:tab w:val="left" w:pos="317"/>
          <w:tab w:val="left" w:pos="631"/>
          <w:tab w:val="left" w:pos="993"/>
        </w:tabs>
        <w:adjustRightInd w:val="0"/>
        <w:snapToGrid w:val="0"/>
        <w:spacing w:line="360" w:lineRule="auto"/>
        <w:ind w:left="34" w:leftChars="16" w:firstLine="390" w:firstLineChars="186"/>
        <w:rPr>
          <w:rFonts w:asciiTheme="minorEastAsia" w:hAnsiTheme="minorEastAsia"/>
          <w:color w:val="auto"/>
          <w:szCs w:val="21"/>
          <w:highlight w:val="none"/>
        </w:rPr>
      </w:pPr>
      <w:r>
        <w:rPr>
          <w:rFonts w:hint="eastAsia" w:asciiTheme="minorEastAsia" w:hAnsiTheme="minorEastAsia"/>
          <w:color w:val="auto"/>
          <w:szCs w:val="21"/>
          <w:highlight w:val="none"/>
        </w:rPr>
        <w:t>在最近三年内有骗取中标、严重违约、重大工程质量或者安全问题的；</w:t>
      </w:r>
    </w:p>
    <w:p>
      <w:pPr>
        <w:numPr>
          <w:ilvl w:val="0"/>
          <w:numId w:val="10"/>
        </w:numPr>
        <w:tabs>
          <w:tab w:val="left" w:pos="317"/>
          <w:tab w:val="left" w:pos="631"/>
          <w:tab w:val="left" w:pos="993"/>
        </w:tabs>
        <w:adjustRightInd w:val="0"/>
        <w:snapToGrid w:val="0"/>
        <w:spacing w:line="360" w:lineRule="auto"/>
        <w:ind w:left="34" w:leftChars="16" w:firstLine="390" w:firstLineChars="186"/>
        <w:rPr>
          <w:rFonts w:asciiTheme="minorEastAsia" w:hAnsiTheme="minorEastAsia"/>
          <w:color w:val="auto"/>
          <w:szCs w:val="21"/>
          <w:highlight w:val="none"/>
        </w:rPr>
      </w:pPr>
      <w:r>
        <w:rPr>
          <w:rFonts w:hint="eastAsia" w:asciiTheme="minorEastAsia" w:hAnsiTheme="minorEastAsia"/>
          <w:color w:val="auto"/>
          <w:szCs w:val="21"/>
          <w:highlight w:val="none"/>
        </w:rPr>
        <w:t>在最近五年内被判处单位行贿罪，且行贿行为与采购活动相关的（以“中国裁判文书网”的生效判决为准）；</w:t>
      </w:r>
    </w:p>
    <w:p>
      <w:pPr>
        <w:numPr>
          <w:ilvl w:val="0"/>
          <w:numId w:val="10"/>
        </w:numPr>
        <w:tabs>
          <w:tab w:val="left" w:pos="317"/>
          <w:tab w:val="left" w:pos="631"/>
          <w:tab w:val="left" w:pos="993"/>
        </w:tabs>
        <w:adjustRightInd w:val="0"/>
        <w:snapToGrid w:val="0"/>
        <w:spacing w:line="360" w:lineRule="auto"/>
        <w:ind w:left="34" w:leftChars="16" w:firstLine="390" w:firstLineChars="186"/>
        <w:rPr>
          <w:rFonts w:asciiTheme="minorEastAsia" w:hAnsiTheme="minorEastAsia"/>
          <w:color w:val="auto"/>
          <w:szCs w:val="21"/>
          <w:highlight w:val="none"/>
        </w:rPr>
      </w:pPr>
      <w:r>
        <w:rPr>
          <w:rFonts w:hint="eastAsia" w:asciiTheme="minorEastAsia" w:hAnsiTheme="minorEastAsia"/>
          <w:color w:val="auto"/>
          <w:szCs w:val="21"/>
          <w:highlight w:val="none"/>
        </w:rPr>
        <w:t>在最近五年内被判处合同诈骗罪的（以“中国裁判文书网”的生效判决为准）；</w:t>
      </w:r>
    </w:p>
    <w:p>
      <w:pPr>
        <w:numPr>
          <w:ilvl w:val="0"/>
          <w:numId w:val="10"/>
        </w:numPr>
        <w:tabs>
          <w:tab w:val="left" w:pos="317"/>
          <w:tab w:val="left" w:pos="631"/>
          <w:tab w:val="left" w:pos="993"/>
        </w:tabs>
        <w:adjustRightInd w:val="0"/>
        <w:snapToGrid w:val="0"/>
        <w:spacing w:line="360" w:lineRule="auto"/>
        <w:ind w:left="34" w:leftChars="16" w:firstLine="390" w:firstLineChars="186"/>
        <w:rPr>
          <w:rFonts w:asciiTheme="minorEastAsia" w:hAnsiTheme="minorEastAsia"/>
          <w:color w:val="auto"/>
          <w:szCs w:val="21"/>
          <w:highlight w:val="none"/>
        </w:rPr>
      </w:pPr>
      <w:r>
        <w:rPr>
          <w:rFonts w:hint="eastAsia" w:asciiTheme="minorEastAsia" w:hAnsiTheme="minorEastAsia"/>
          <w:color w:val="auto"/>
          <w:szCs w:val="21"/>
          <w:highlight w:val="none"/>
        </w:rPr>
        <w:t>被最高人民法院认定为失信被执行人的(以“信用中国”网站（www.creditchina.gov.cn）或各级信用信息共享平台公布的失信被执行人名单为准)；</w:t>
      </w:r>
    </w:p>
    <w:p>
      <w:pPr>
        <w:numPr>
          <w:ilvl w:val="0"/>
          <w:numId w:val="10"/>
        </w:numPr>
        <w:tabs>
          <w:tab w:val="left" w:pos="317"/>
          <w:tab w:val="left" w:pos="630"/>
          <w:tab w:val="left" w:pos="993"/>
        </w:tabs>
        <w:adjustRightInd w:val="0"/>
        <w:snapToGrid w:val="0"/>
        <w:spacing w:line="360" w:lineRule="auto"/>
        <w:ind w:left="34" w:leftChars="16" w:firstLine="390" w:firstLineChars="186"/>
        <w:rPr>
          <w:rFonts w:asciiTheme="minorEastAsia" w:hAnsiTheme="minorEastAsia"/>
          <w:color w:val="auto"/>
          <w:szCs w:val="21"/>
          <w:highlight w:val="none"/>
        </w:rPr>
      </w:pPr>
      <w:r>
        <w:rPr>
          <w:rFonts w:hint="eastAsia" w:asciiTheme="minorEastAsia" w:hAnsiTheme="minorEastAsia"/>
          <w:color w:val="auto"/>
          <w:szCs w:val="21"/>
          <w:highlight w:val="none"/>
        </w:rPr>
        <w:t>参选人不得存在的其他情形见参选人须知前附表。</w:t>
      </w:r>
    </w:p>
    <w:p>
      <w:pPr>
        <w:pStyle w:val="21"/>
        <w:tabs>
          <w:tab w:val="left" w:pos="630"/>
        </w:tabs>
        <w:snapToGrid w:val="0"/>
        <w:spacing w:line="440" w:lineRule="exact"/>
        <w:ind w:firstLine="424" w:firstLineChars="202"/>
        <w:rPr>
          <w:rFonts w:hAnsi="宋体"/>
          <w:color w:val="auto"/>
          <w:highlight w:val="none"/>
        </w:rPr>
      </w:pPr>
      <w:r>
        <w:rPr>
          <w:rFonts w:hint="eastAsia" w:hAnsi="宋体"/>
          <w:color w:val="auto"/>
          <w:highlight w:val="none"/>
        </w:rPr>
        <w:t>参选人是代理商的，本条所指的参选人也包括其所代理的制造商；联合体参选的，联合体成员均不得存在上述任一情形。</w:t>
      </w:r>
    </w:p>
    <w:bookmarkEnd w:id="110"/>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111" w:name="_Toc226969285"/>
      <w:bookmarkStart w:id="112" w:name="_Toc107822488"/>
      <w:bookmarkStart w:id="113" w:name="_Toc17202983"/>
      <w:bookmarkStart w:id="114" w:name="_Toc447188677"/>
      <w:bookmarkStart w:id="115" w:name="_Toc447265226"/>
      <w:bookmarkStart w:id="116" w:name="_Toc17202774"/>
      <w:bookmarkStart w:id="117" w:name="_Toc227057891"/>
      <w:bookmarkStart w:id="118" w:name="_Toc447265512"/>
      <w:r>
        <w:rPr>
          <w:rFonts w:hAnsi="宋体"/>
          <w:b/>
          <w:color w:val="auto"/>
          <w:sz w:val="24"/>
          <w:highlight w:val="none"/>
        </w:rPr>
        <w:t>1.9</w:t>
      </w:r>
      <w:r>
        <w:rPr>
          <w:rFonts w:hint="eastAsia" w:hAnsi="宋体"/>
          <w:b/>
          <w:color w:val="auto"/>
          <w:sz w:val="24"/>
          <w:highlight w:val="none"/>
        </w:rPr>
        <w:t>参选费用</w:t>
      </w:r>
      <w:bookmarkEnd w:id="111"/>
      <w:bookmarkEnd w:id="112"/>
      <w:bookmarkEnd w:id="113"/>
      <w:bookmarkEnd w:id="114"/>
      <w:bookmarkEnd w:id="115"/>
      <w:bookmarkEnd w:id="116"/>
      <w:bookmarkEnd w:id="117"/>
      <w:bookmarkEnd w:id="118"/>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不论结果如何，参选人自行承担所有准备和参与比选有关的费用。</w:t>
      </w:r>
      <w:bookmarkStart w:id="119" w:name="_Toc107822489"/>
      <w:bookmarkStart w:id="120" w:name="_Toc226969286"/>
      <w:bookmarkStart w:id="121" w:name="_Toc227057892"/>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122" w:name="_Toc17202984"/>
      <w:bookmarkStart w:id="123" w:name="_Toc17202775"/>
      <w:bookmarkStart w:id="124" w:name="_Toc447265513"/>
      <w:bookmarkStart w:id="125" w:name="_Toc447265227"/>
      <w:r>
        <w:rPr>
          <w:rFonts w:hAnsi="宋体"/>
          <w:b/>
          <w:color w:val="auto"/>
          <w:sz w:val="24"/>
          <w:highlight w:val="none"/>
        </w:rPr>
        <w:t>1.10</w:t>
      </w:r>
      <w:r>
        <w:rPr>
          <w:rFonts w:hint="eastAsia" w:hAnsi="宋体"/>
          <w:b/>
          <w:color w:val="auto"/>
          <w:sz w:val="24"/>
          <w:highlight w:val="none"/>
        </w:rPr>
        <w:t>保密</w:t>
      </w:r>
      <w:bookmarkEnd w:id="122"/>
      <w:bookmarkEnd w:id="123"/>
      <w:bookmarkEnd w:id="124"/>
      <w:bookmarkEnd w:id="125"/>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参与比选活动的各方应当对比选文件和参选文件中的商业和技术等秘密保密，违者应当对由此造成的后果承担法律责任。</w:t>
      </w:r>
    </w:p>
    <w:p>
      <w:pPr>
        <w:pStyle w:val="35"/>
        <w:tabs>
          <w:tab w:val="left" w:pos="588"/>
        </w:tabs>
        <w:snapToGrid w:val="0"/>
        <w:spacing w:before="120" w:after="120" w:line="440" w:lineRule="exact"/>
        <w:jc w:val="left"/>
        <w:outlineLvl w:val="1"/>
        <w:rPr>
          <w:rFonts w:ascii="宋体" w:hAnsi="宋体"/>
          <w:color w:val="auto"/>
          <w:sz w:val="28"/>
          <w:szCs w:val="28"/>
          <w:highlight w:val="none"/>
        </w:rPr>
      </w:pPr>
      <w:bookmarkStart w:id="126" w:name="_Toc246996187"/>
      <w:bookmarkStart w:id="127" w:name="_Toc19029"/>
      <w:bookmarkStart w:id="128" w:name="_Toc447265228"/>
      <w:bookmarkStart w:id="129" w:name="_Toc144974510"/>
      <w:bookmarkStart w:id="130" w:name="_Toc247085701"/>
      <w:bookmarkStart w:id="131" w:name="_Toc179632560"/>
      <w:bookmarkStart w:id="132" w:name="_Toc246996930"/>
      <w:bookmarkStart w:id="133" w:name="_Toc296602432"/>
      <w:bookmarkStart w:id="134" w:name="_Toc17202985"/>
      <w:bookmarkStart w:id="135" w:name="_Toc447265514"/>
      <w:bookmarkStart w:id="136" w:name="_Toc17203538"/>
      <w:bookmarkStart w:id="137" w:name="_Toc17202776"/>
      <w:bookmarkStart w:id="138" w:name="_Toc152042318"/>
      <w:bookmarkStart w:id="139" w:name="_Toc152045542"/>
      <w:bookmarkStart w:id="140" w:name="_Toc447188678"/>
      <w:r>
        <w:rPr>
          <w:rFonts w:hint="eastAsia" w:ascii="宋体" w:hAnsi="宋体"/>
          <w:color w:val="auto"/>
          <w:sz w:val="28"/>
          <w:szCs w:val="28"/>
          <w:highlight w:val="none"/>
        </w:rPr>
        <w:t>2.比选文件</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r>
        <w:rPr>
          <w:rFonts w:hint="eastAsia" w:ascii="宋体" w:hAnsi="宋体"/>
          <w:color w:val="auto"/>
          <w:sz w:val="28"/>
          <w:szCs w:val="28"/>
          <w:highlight w:val="none"/>
        </w:rPr>
        <w:t xml:space="preserve"> </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141" w:name="_Toc447265229"/>
      <w:bookmarkStart w:id="142" w:name="_Toc447188679"/>
      <w:bookmarkStart w:id="143" w:name="_Toc447265515"/>
      <w:bookmarkStart w:id="144" w:name="_Toc17202986"/>
      <w:bookmarkStart w:id="145" w:name="_Toc17202777"/>
      <w:r>
        <w:rPr>
          <w:rFonts w:hAnsi="宋体"/>
          <w:b/>
          <w:color w:val="auto"/>
          <w:sz w:val="24"/>
          <w:highlight w:val="none"/>
        </w:rPr>
        <w:t>2.1</w:t>
      </w:r>
      <w:r>
        <w:rPr>
          <w:rFonts w:hint="eastAsia" w:hAnsi="宋体"/>
          <w:b/>
          <w:color w:val="auto"/>
          <w:sz w:val="24"/>
          <w:highlight w:val="none"/>
        </w:rPr>
        <w:t>比选文件</w:t>
      </w:r>
      <w:bookmarkEnd w:id="119"/>
      <w:r>
        <w:rPr>
          <w:rFonts w:hint="eastAsia" w:hAnsi="宋体"/>
          <w:b/>
          <w:color w:val="auto"/>
          <w:sz w:val="24"/>
          <w:highlight w:val="none"/>
        </w:rPr>
        <w:t>的组成</w:t>
      </w:r>
      <w:bookmarkEnd w:id="120"/>
      <w:bookmarkEnd w:id="121"/>
      <w:bookmarkEnd w:id="141"/>
      <w:bookmarkEnd w:id="142"/>
      <w:bookmarkEnd w:id="143"/>
      <w:bookmarkEnd w:id="144"/>
      <w:bookmarkEnd w:id="145"/>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2.1.1比选文件一般由以下部分组成：</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第一章</w:t>
      </w:r>
      <w:r>
        <w:rPr>
          <w:rFonts w:hAnsi="宋体"/>
          <w:color w:val="auto"/>
          <w:highlight w:val="none"/>
        </w:rPr>
        <w:t xml:space="preserve"> </w:t>
      </w:r>
      <w:r>
        <w:rPr>
          <w:rFonts w:hint="eastAsia" w:hAnsi="宋体"/>
          <w:color w:val="auto"/>
          <w:highlight w:val="none"/>
        </w:rPr>
        <w:t>比选公告</w:t>
      </w:r>
      <w:r>
        <w:rPr>
          <w:rFonts w:hAnsi="宋体"/>
          <w:color w:val="auto"/>
          <w:highlight w:val="none"/>
        </w:rPr>
        <w:t>/参选邀请书</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第二章</w:t>
      </w:r>
      <w:r>
        <w:rPr>
          <w:rFonts w:hAnsi="宋体"/>
          <w:color w:val="auto"/>
          <w:highlight w:val="none"/>
        </w:rPr>
        <w:t xml:space="preserve"> </w:t>
      </w:r>
      <w:r>
        <w:rPr>
          <w:rFonts w:hint="eastAsia" w:hAnsi="宋体"/>
          <w:color w:val="auto"/>
          <w:highlight w:val="none"/>
        </w:rPr>
        <w:t>参选人须知</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第三章</w:t>
      </w:r>
      <w:r>
        <w:rPr>
          <w:rFonts w:hAnsi="宋体"/>
          <w:color w:val="auto"/>
          <w:highlight w:val="none"/>
        </w:rPr>
        <w:t xml:space="preserve"> </w:t>
      </w:r>
      <w:r>
        <w:rPr>
          <w:rFonts w:hint="eastAsia" w:hAnsi="宋体"/>
          <w:color w:val="auto"/>
          <w:highlight w:val="none"/>
        </w:rPr>
        <w:t>评选办法</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第四章</w:t>
      </w:r>
      <w:r>
        <w:rPr>
          <w:rFonts w:hAnsi="宋体"/>
          <w:color w:val="auto"/>
          <w:highlight w:val="none"/>
        </w:rPr>
        <w:t xml:space="preserve"> </w:t>
      </w:r>
      <w:r>
        <w:rPr>
          <w:rFonts w:hint="eastAsia" w:hAnsi="宋体"/>
          <w:color w:val="auto"/>
          <w:highlight w:val="none"/>
        </w:rPr>
        <w:t>商务规范书</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第五章</w:t>
      </w:r>
      <w:r>
        <w:rPr>
          <w:rFonts w:hAnsi="宋体"/>
          <w:color w:val="auto"/>
          <w:highlight w:val="none"/>
        </w:rPr>
        <w:t xml:space="preserve"> </w:t>
      </w:r>
      <w:r>
        <w:rPr>
          <w:rFonts w:hint="eastAsia" w:hAnsi="宋体"/>
          <w:color w:val="auto"/>
          <w:highlight w:val="none"/>
        </w:rPr>
        <w:t>项目技术和服务要求</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第六章</w:t>
      </w:r>
      <w:r>
        <w:rPr>
          <w:rFonts w:hAnsi="宋体"/>
          <w:color w:val="auto"/>
          <w:highlight w:val="none"/>
        </w:rPr>
        <w:t xml:space="preserve"> </w:t>
      </w:r>
      <w:r>
        <w:rPr>
          <w:rFonts w:hint="eastAsia" w:hAnsi="宋体"/>
          <w:color w:val="auto"/>
          <w:highlight w:val="none"/>
        </w:rPr>
        <w:t>参选文件格式</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第七章</w:t>
      </w:r>
      <w:r>
        <w:rPr>
          <w:rFonts w:hAnsi="宋体"/>
          <w:color w:val="auto"/>
          <w:highlight w:val="none"/>
        </w:rPr>
        <w:t xml:space="preserve"> </w:t>
      </w:r>
      <w:r>
        <w:rPr>
          <w:rFonts w:hint="eastAsia" w:hAnsi="宋体"/>
          <w:color w:val="auto"/>
          <w:highlight w:val="none"/>
        </w:rPr>
        <w:t>其他</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比选人另有规定的</w:t>
      </w:r>
      <w:r>
        <w:rPr>
          <w:rFonts w:hint="eastAsia" w:hAnsi="宋体"/>
          <w:color w:val="auto"/>
          <w:highlight w:val="none"/>
        </w:rPr>
        <w:t>，</w:t>
      </w:r>
      <w:r>
        <w:rPr>
          <w:rFonts w:hAnsi="宋体"/>
          <w:color w:val="auto"/>
          <w:highlight w:val="none"/>
        </w:rPr>
        <w:t>见参选人须知前附表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2.1.2比选文件对同一内容的表述应当一致。第一章“比选公告”或者“参选邀请书”与比选文件在同一内容的表述上有矛盾或者冲突时，以第一章“比选公告”或者“参选邀请书”为准；参选人须知前附表与参选人须知正文在同一内容的表述上有矛盾或者冲突时，以参选人须知前附表为准。</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2.1.3比选人在比选文件中以显著的方式标明实质性要求、条件以及不满足实质性要求和条件的参选将被否决的提示；对于非实质性要求和条件，规定允许偏差的最大范围、最高项数和调整偏差的方法。显著标识方式和具体要求见参选人须知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2.1.4比选人可要求以某一单项报价核定是否低于成本，具体要求见参选人须知前附表。</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146" w:name="_Toc447188680"/>
      <w:bookmarkStart w:id="147" w:name="_Toc17202778"/>
      <w:bookmarkStart w:id="148" w:name="_Toc17202987"/>
      <w:bookmarkStart w:id="149" w:name="_Toc447265230"/>
      <w:bookmarkStart w:id="150" w:name="_Toc447265516"/>
      <w:bookmarkStart w:id="151" w:name="_Toc226969287"/>
      <w:bookmarkStart w:id="152" w:name="_Toc107822490"/>
      <w:bookmarkStart w:id="153" w:name="_Toc227057893"/>
      <w:r>
        <w:rPr>
          <w:rFonts w:hAnsi="宋体"/>
          <w:b/>
          <w:color w:val="auto"/>
          <w:sz w:val="24"/>
          <w:highlight w:val="none"/>
        </w:rPr>
        <w:t>2.2</w:t>
      </w:r>
      <w:r>
        <w:rPr>
          <w:rFonts w:hint="eastAsia" w:hAnsi="宋体"/>
          <w:b/>
          <w:color w:val="auto"/>
          <w:sz w:val="24"/>
          <w:highlight w:val="none"/>
        </w:rPr>
        <w:t>踏勘现场</w:t>
      </w:r>
      <w:bookmarkEnd w:id="146"/>
      <w:bookmarkEnd w:id="147"/>
      <w:bookmarkEnd w:id="148"/>
      <w:bookmarkEnd w:id="149"/>
      <w:bookmarkEnd w:id="150"/>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 xml:space="preserve">2.2.1参选人须知前附表规定组织踏勘现场的，比选人按照参选人须知前附表规定的时间、地点组织参选人踏勘项目现场。 </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2.2.2</w:t>
      </w:r>
      <w:r>
        <w:rPr>
          <w:rFonts w:hint="eastAsia" w:hAnsi="宋体"/>
          <w:color w:val="auto"/>
          <w:highlight w:val="none"/>
        </w:rPr>
        <w:t>潜在参选人踏勘现场发生的费用自理。</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2.2.3</w:t>
      </w:r>
      <w:r>
        <w:rPr>
          <w:rFonts w:hint="eastAsia" w:hAnsi="宋体"/>
          <w:color w:val="auto"/>
          <w:highlight w:val="none"/>
        </w:rPr>
        <w:t>除比选人的原因外，潜在参选人自行负责在踏勘现场中所发生的人员伤亡和财产损失。</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2.2.4</w:t>
      </w:r>
      <w:r>
        <w:rPr>
          <w:rFonts w:hint="eastAsia" w:hAnsi="宋体"/>
          <w:color w:val="auto"/>
          <w:highlight w:val="none"/>
        </w:rPr>
        <w:t>比选人在踏勘现场中介绍的项目现场和相关的周边环境情况，供潜在参选人在编制参选文件时参考，比选人不对参选人据此作出的判断和决策负责。</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154" w:name="_Toc17202988"/>
      <w:bookmarkStart w:id="155" w:name="_Toc17202779"/>
      <w:bookmarkStart w:id="156" w:name="_Toc447188681"/>
      <w:bookmarkStart w:id="157" w:name="_Toc447265231"/>
      <w:bookmarkStart w:id="158" w:name="_Toc447265517"/>
      <w:r>
        <w:rPr>
          <w:rFonts w:hAnsi="宋体"/>
          <w:b/>
          <w:color w:val="auto"/>
          <w:sz w:val="24"/>
          <w:highlight w:val="none"/>
        </w:rPr>
        <w:t>2.3</w:t>
      </w:r>
      <w:r>
        <w:rPr>
          <w:rFonts w:hint="eastAsia" w:hAnsi="宋体"/>
          <w:b/>
          <w:color w:val="auto"/>
          <w:sz w:val="24"/>
          <w:highlight w:val="none"/>
        </w:rPr>
        <w:t>参选预备会</w:t>
      </w:r>
      <w:bookmarkEnd w:id="154"/>
      <w:bookmarkEnd w:id="155"/>
      <w:bookmarkEnd w:id="156"/>
      <w:bookmarkEnd w:id="157"/>
      <w:bookmarkEnd w:id="158"/>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参选人须知前附表规定召开参选预备会的，比选人按照参选人须知前附表规定的时间和地点召开参选预备会，澄清潜在参选人提出的问题。</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159" w:name="_Toc447265518"/>
      <w:bookmarkStart w:id="160" w:name="_Toc447265232"/>
      <w:bookmarkStart w:id="161" w:name="_Toc447188682"/>
      <w:bookmarkStart w:id="162" w:name="_Toc17202780"/>
      <w:bookmarkStart w:id="163" w:name="_Toc17202989"/>
      <w:r>
        <w:rPr>
          <w:rFonts w:hAnsi="宋体"/>
          <w:b/>
          <w:color w:val="auto"/>
          <w:sz w:val="24"/>
          <w:highlight w:val="none"/>
        </w:rPr>
        <w:t>2.4</w:t>
      </w:r>
      <w:r>
        <w:rPr>
          <w:rFonts w:hint="eastAsia" w:hAnsi="宋体"/>
          <w:b/>
          <w:color w:val="auto"/>
          <w:sz w:val="24"/>
          <w:highlight w:val="none"/>
        </w:rPr>
        <w:t>比选文件的澄清</w:t>
      </w:r>
      <w:bookmarkEnd w:id="151"/>
      <w:bookmarkEnd w:id="152"/>
      <w:bookmarkEnd w:id="153"/>
      <w:r>
        <w:rPr>
          <w:rFonts w:hint="eastAsia" w:hAnsi="宋体"/>
          <w:b/>
          <w:color w:val="auto"/>
          <w:sz w:val="24"/>
          <w:highlight w:val="none"/>
        </w:rPr>
        <w:t>和修改</w:t>
      </w:r>
      <w:bookmarkEnd w:id="159"/>
      <w:bookmarkEnd w:id="160"/>
      <w:bookmarkEnd w:id="161"/>
      <w:bookmarkEnd w:id="162"/>
      <w:bookmarkEnd w:id="163"/>
    </w:p>
    <w:p>
      <w:pPr>
        <w:pStyle w:val="21"/>
        <w:tabs>
          <w:tab w:val="left" w:pos="0"/>
        </w:tabs>
        <w:snapToGrid w:val="0"/>
        <w:spacing w:line="400" w:lineRule="exact"/>
        <w:ind w:firstLine="424" w:firstLineChars="202"/>
        <w:rPr>
          <w:rFonts w:hAnsi="宋体"/>
          <w:color w:val="auto"/>
          <w:highlight w:val="none"/>
        </w:rPr>
      </w:pPr>
      <w:bookmarkStart w:id="164" w:name="_Toc447188683"/>
      <w:bookmarkStart w:id="165" w:name="_Toc247085705"/>
      <w:bookmarkStart w:id="166" w:name="_Toc296602436"/>
      <w:bookmarkStart w:id="167" w:name="_Toc447265519"/>
      <w:bookmarkStart w:id="168" w:name="_Toc152042322"/>
      <w:bookmarkStart w:id="169" w:name="_Toc246996191"/>
      <w:bookmarkStart w:id="170" w:name="_Toc179632564"/>
      <w:bookmarkStart w:id="171" w:name="_Toc152045546"/>
      <w:bookmarkStart w:id="172" w:name="_Toc447265233"/>
      <w:bookmarkStart w:id="173" w:name="_Toc246996934"/>
      <w:bookmarkStart w:id="174" w:name="_Toc144974514"/>
      <w:bookmarkStart w:id="175" w:name="_Toc107822492"/>
      <w:bookmarkStart w:id="176" w:name="_Toc226969289"/>
      <w:bookmarkStart w:id="177" w:name="_Toc227057895"/>
      <w:r>
        <w:rPr>
          <w:rFonts w:hint="eastAsia" w:hAnsi="宋体"/>
          <w:color w:val="auto"/>
          <w:highlight w:val="none"/>
        </w:rPr>
        <w:t>2.4.1参选人对比选文件有疑问的，应当按照参选人须知前附表规定的时间和方式，要求比选人对比选文件进行澄清。</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2.4.2</w:t>
      </w:r>
      <w:r>
        <w:rPr>
          <w:rFonts w:hint="eastAsia" w:hAnsi="宋体"/>
          <w:color w:val="auto"/>
          <w:highlight w:val="none"/>
        </w:rPr>
        <w:t>比选人应当将澄清或者修改内容发给所有购买比选文件的参选人，但不指明问题的来源。</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2.4.3</w:t>
      </w:r>
      <w:r>
        <w:rPr>
          <w:rFonts w:hint="eastAsia" w:hAnsi="宋体"/>
          <w:color w:val="auto"/>
          <w:highlight w:val="none"/>
        </w:rPr>
        <w:t>如澄清或者修改的内容可能影响参选文件编制的，应当在递交参选文件截止时间至少2日前发出，不足2日的，比选人应当相应顺延参选截止时间。</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2.4.4参选人收到澄清或者修改后，应当按照参选人须知前附表规定的时间和方式通知比选人，确认已收到该澄清或者修改。</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2.4.5所有关于比选文件的澄清和修改均作为比选文件的补充部分。当比选文件、比选文件的澄清或者修改等在同一内容的表述上不一致时，以最后发出的书面文件为准。</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178" w:name="_Toc17202781"/>
      <w:bookmarkStart w:id="179" w:name="_Toc17202990"/>
      <w:r>
        <w:rPr>
          <w:rFonts w:hAnsi="宋体"/>
          <w:b/>
          <w:color w:val="auto"/>
          <w:sz w:val="24"/>
          <w:highlight w:val="none"/>
        </w:rPr>
        <w:t>2.5比选文件的异议</w:t>
      </w:r>
      <w:bookmarkEnd w:id="178"/>
      <w:bookmarkEnd w:id="179"/>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潜在参选人或者其他利害关系人对比选文件有异议的，应当在提交参选文件截止时间</w:t>
      </w:r>
      <w:r>
        <w:rPr>
          <w:rFonts w:hAnsi="宋体"/>
          <w:color w:val="auto"/>
          <w:highlight w:val="none"/>
        </w:rPr>
        <w:t>1日前以书面形式提出。比选人应当自收到异议之日起2日内作出答复；作出答复前，应当暂停比选活动。已经处理过的异议，没有提出新的理由、主张，不予受理。</w:t>
      </w:r>
    </w:p>
    <w:p>
      <w:pPr>
        <w:pStyle w:val="35"/>
        <w:tabs>
          <w:tab w:val="left" w:pos="588"/>
        </w:tabs>
        <w:snapToGrid w:val="0"/>
        <w:spacing w:before="120" w:after="120" w:line="440" w:lineRule="exact"/>
        <w:jc w:val="left"/>
        <w:outlineLvl w:val="1"/>
        <w:rPr>
          <w:rFonts w:ascii="宋体" w:hAnsi="宋体"/>
          <w:color w:val="auto"/>
          <w:sz w:val="28"/>
          <w:szCs w:val="28"/>
          <w:highlight w:val="none"/>
        </w:rPr>
      </w:pPr>
      <w:bookmarkStart w:id="180" w:name="_Toc19987"/>
      <w:bookmarkStart w:id="181" w:name="_Toc17202991"/>
      <w:bookmarkStart w:id="182" w:name="_Toc17203539"/>
      <w:bookmarkStart w:id="183" w:name="_Toc17202782"/>
      <w:r>
        <w:rPr>
          <w:rFonts w:hint="eastAsia" w:ascii="宋体" w:hAnsi="宋体"/>
          <w:color w:val="auto"/>
          <w:sz w:val="28"/>
          <w:szCs w:val="28"/>
          <w:highlight w:val="none"/>
        </w:rPr>
        <w:t>3.参选文件</w:t>
      </w:r>
      <w:bookmarkEnd w:id="164"/>
      <w:bookmarkEnd w:id="165"/>
      <w:bookmarkEnd w:id="166"/>
      <w:bookmarkEnd w:id="167"/>
      <w:bookmarkEnd w:id="168"/>
      <w:bookmarkEnd w:id="169"/>
      <w:bookmarkEnd w:id="170"/>
      <w:bookmarkEnd w:id="171"/>
      <w:bookmarkEnd w:id="172"/>
      <w:bookmarkEnd w:id="173"/>
      <w:bookmarkEnd w:id="174"/>
      <w:bookmarkEnd w:id="180"/>
      <w:bookmarkEnd w:id="181"/>
      <w:bookmarkEnd w:id="182"/>
      <w:bookmarkEnd w:id="183"/>
    </w:p>
    <w:bookmarkEnd w:id="47"/>
    <w:bookmarkEnd w:id="175"/>
    <w:bookmarkEnd w:id="176"/>
    <w:bookmarkEnd w:id="177"/>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184" w:name="_Toc107822493"/>
      <w:bookmarkStart w:id="185" w:name="_Toc227057896"/>
      <w:bookmarkStart w:id="186" w:name="_Toc226969290"/>
      <w:bookmarkStart w:id="187" w:name="_Toc447265234"/>
      <w:bookmarkStart w:id="188" w:name="_Toc447188684"/>
      <w:bookmarkStart w:id="189" w:name="_Toc17202992"/>
      <w:bookmarkStart w:id="190" w:name="_Toc450489293"/>
      <w:bookmarkStart w:id="191" w:name="_Toc447265520"/>
      <w:bookmarkStart w:id="192" w:name="_Toc17202783"/>
      <w:bookmarkStart w:id="193" w:name="_Toc184635074"/>
      <w:bookmarkStart w:id="194" w:name="_Toc447265528"/>
      <w:bookmarkStart w:id="195" w:name="_Toc447265242"/>
      <w:bookmarkStart w:id="196" w:name="_Toc107822503"/>
      <w:bookmarkStart w:id="197" w:name="_Toc488655848"/>
      <w:bookmarkStart w:id="198" w:name="_Toc226969300"/>
      <w:bookmarkStart w:id="199" w:name="_Toc227057906"/>
      <w:r>
        <w:rPr>
          <w:rFonts w:hAnsi="宋体"/>
          <w:b/>
          <w:color w:val="auto"/>
          <w:sz w:val="24"/>
          <w:highlight w:val="none"/>
        </w:rPr>
        <w:t>3.1</w:t>
      </w:r>
      <w:r>
        <w:rPr>
          <w:rFonts w:hint="eastAsia" w:hAnsi="宋体"/>
          <w:b/>
          <w:color w:val="auto"/>
          <w:sz w:val="24"/>
          <w:highlight w:val="none"/>
        </w:rPr>
        <w:t>参选文件的</w:t>
      </w:r>
      <w:bookmarkEnd w:id="184"/>
      <w:bookmarkEnd w:id="185"/>
      <w:bookmarkEnd w:id="186"/>
      <w:r>
        <w:rPr>
          <w:rFonts w:hint="eastAsia" w:hAnsi="宋体"/>
          <w:b/>
          <w:color w:val="auto"/>
          <w:sz w:val="24"/>
          <w:highlight w:val="none"/>
        </w:rPr>
        <w:t>组成</w:t>
      </w:r>
      <w:bookmarkEnd w:id="187"/>
      <w:bookmarkEnd w:id="188"/>
      <w:bookmarkEnd w:id="189"/>
      <w:bookmarkEnd w:id="190"/>
      <w:bookmarkEnd w:id="191"/>
      <w:bookmarkEnd w:id="192"/>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参选人应当按照参选人须知前附表的要求制作并递交参选文件。参选文件组成见参选人须知前附表。</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200" w:name="_Toc17202993"/>
      <w:bookmarkStart w:id="201" w:name="_Toc450489294"/>
      <w:bookmarkStart w:id="202" w:name="_Toc447265235"/>
      <w:bookmarkStart w:id="203" w:name="_Toc447188685"/>
      <w:bookmarkStart w:id="204" w:name="_Toc17202784"/>
      <w:bookmarkStart w:id="205" w:name="_Toc447265521"/>
      <w:r>
        <w:rPr>
          <w:rFonts w:hAnsi="宋体"/>
          <w:b/>
          <w:color w:val="auto"/>
          <w:sz w:val="24"/>
          <w:highlight w:val="none"/>
        </w:rPr>
        <w:t>3.2</w:t>
      </w:r>
      <w:r>
        <w:rPr>
          <w:rFonts w:hint="eastAsia" w:hAnsi="宋体"/>
          <w:b/>
          <w:color w:val="auto"/>
          <w:sz w:val="24"/>
          <w:highlight w:val="none"/>
        </w:rPr>
        <w:t>参选文件的编制</w:t>
      </w:r>
      <w:bookmarkEnd w:id="200"/>
      <w:bookmarkEnd w:id="201"/>
      <w:bookmarkEnd w:id="202"/>
      <w:bookmarkEnd w:id="203"/>
      <w:bookmarkEnd w:id="204"/>
      <w:bookmarkEnd w:id="205"/>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3.2.1参选人应当按照比选文件的要求编制参选文件，参选文件应当对比选文件提出的实质性要求和条件作出响应。</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3.2.2</w:t>
      </w:r>
      <w:r>
        <w:rPr>
          <w:rFonts w:hint="eastAsia" w:hAnsi="宋体"/>
          <w:color w:val="auto"/>
          <w:highlight w:val="none"/>
        </w:rPr>
        <w:t>参选人应当认真阅读比选文件中所有的事项、格式、条款和技术规范等。参选人没有按照比选文件要求递交全部资料或者参选人没有对比选文件在各方面都作出实质性响应是参选人的风险，并可能导致其参选被否决。参选文件应答和编写的具体要求见参选人须知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3.2.3参选人递交的参选文件以及参选人与比选人就有关参选的所有往来函电均应当使用中文。参选人递交的证明文件和文献可以使用另一种语言，但相应内容应当译成中文，在解释参选文件时以中文译本为准。</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3.2.4（A）参选文件应当使用不褪色的材料书写或者打印，并加盖单位公章或者由参选人的法定代表人或者其委托代理人签字。委托代理人签字的，参选文件应当附法定代表人签署的授权委托书。参选文件应当尽量避免涂改、行间插字或者删除。如果出现上述情况，改动之处应当加盖单位公章或者由参选人的法定代表人或者其委托代理人签字确认。盖章或者签字另有要求的，见参选人须知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3.2.4</w:t>
      </w:r>
      <w:r>
        <w:rPr>
          <w:rFonts w:ascii="Times New Roman" w:eastAsia="Times New Roman"/>
          <w:color w:val="auto"/>
          <w:highlight w:val="none"/>
        </w:rPr>
        <w:t>（B）</w:t>
      </w:r>
      <w:r>
        <w:rPr>
          <w:rFonts w:hint="eastAsia" w:ascii="Times New Roman" w:eastAsiaTheme="minorEastAsia"/>
          <w:color w:val="auto"/>
          <w:highlight w:val="none"/>
        </w:rPr>
        <w:t>参选</w:t>
      </w:r>
      <w:r>
        <w:rPr>
          <w:rFonts w:ascii="Times New Roman" w:eastAsia="Times New Roman"/>
          <w:color w:val="auto"/>
          <w:highlight w:val="none"/>
        </w:rPr>
        <w:t>文件全部采用电子文档，除</w:t>
      </w:r>
      <w:r>
        <w:rPr>
          <w:rFonts w:hint="eastAsia" w:ascii="Times New Roman" w:eastAsiaTheme="minorEastAsia"/>
          <w:color w:val="auto"/>
          <w:highlight w:val="none"/>
        </w:rPr>
        <w:t>参选</w:t>
      </w:r>
      <w:r>
        <w:rPr>
          <w:rFonts w:ascii="Times New Roman" w:eastAsia="Times New Roman"/>
          <w:color w:val="auto"/>
          <w:highlight w:val="none"/>
        </w:rPr>
        <w:t>人须知前附表另有规定外，</w:t>
      </w:r>
      <w:r>
        <w:rPr>
          <w:rFonts w:hint="eastAsia" w:ascii="Times New Roman" w:eastAsiaTheme="minorEastAsia"/>
          <w:color w:val="auto"/>
          <w:highlight w:val="none"/>
        </w:rPr>
        <w:t>参选</w:t>
      </w:r>
      <w:r>
        <w:rPr>
          <w:rFonts w:ascii="Times New Roman" w:eastAsia="Times New Roman"/>
          <w:color w:val="auto"/>
          <w:highlight w:val="none"/>
        </w:rPr>
        <w:t>文件所附证书证件均为原件扫描件，并采用单位和个人数字证书，按</w:t>
      </w:r>
      <w:r>
        <w:rPr>
          <w:rFonts w:hint="eastAsia" w:ascii="Times New Roman" w:eastAsiaTheme="minorEastAsia"/>
          <w:color w:val="auto"/>
          <w:highlight w:val="none"/>
        </w:rPr>
        <w:t>比选</w:t>
      </w:r>
      <w:r>
        <w:rPr>
          <w:rFonts w:ascii="Times New Roman" w:eastAsia="Times New Roman"/>
          <w:color w:val="auto"/>
          <w:highlight w:val="none"/>
        </w:rPr>
        <w:t>文件要求在相应位置加盖电子印章。由</w:t>
      </w:r>
      <w:r>
        <w:rPr>
          <w:rFonts w:hint="eastAsia" w:ascii="Times New Roman" w:eastAsiaTheme="minorEastAsia"/>
          <w:color w:val="auto"/>
          <w:highlight w:val="none"/>
        </w:rPr>
        <w:t>参选</w:t>
      </w:r>
      <w:r>
        <w:rPr>
          <w:rFonts w:ascii="Times New Roman" w:eastAsia="Times New Roman"/>
          <w:color w:val="auto"/>
          <w:highlight w:val="none"/>
        </w:rPr>
        <w:t>人的法定代表人签字或加盖电子印章的，应附法定代表人身份证明，由代理人签字或加盖电子印章的，应附由法定代表人签署的授权委托书。签字或盖章的具体要求见</w:t>
      </w:r>
      <w:r>
        <w:rPr>
          <w:rFonts w:hint="eastAsia" w:ascii="Times New Roman" w:eastAsiaTheme="minorEastAsia"/>
          <w:color w:val="auto"/>
          <w:highlight w:val="none"/>
        </w:rPr>
        <w:t>参选</w:t>
      </w:r>
      <w:r>
        <w:rPr>
          <w:rFonts w:ascii="Times New Roman" w:eastAsia="Times New Roman"/>
          <w:color w:val="auto"/>
          <w:highlight w:val="none"/>
        </w:rPr>
        <w:t>人须知前附表。</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206" w:name="_Toc107822495"/>
      <w:bookmarkStart w:id="207" w:name="_Toc447265236"/>
      <w:bookmarkStart w:id="208" w:name="_Toc17202994"/>
      <w:bookmarkStart w:id="209" w:name="_Toc227057898"/>
      <w:bookmarkStart w:id="210" w:name="_Toc17202785"/>
      <w:bookmarkStart w:id="211" w:name="_Toc450489295"/>
      <w:bookmarkStart w:id="212" w:name="_Toc226969292"/>
      <w:bookmarkStart w:id="213" w:name="_Toc447265522"/>
      <w:bookmarkStart w:id="214" w:name="_Toc447188686"/>
      <w:r>
        <w:rPr>
          <w:rFonts w:hAnsi="宋体"/>
          <w:b/>
          <w:color w:val="auto"/>
          <w:sz w:val="24"/>
          <w:highlight w:val="none"/>
        </w:rPr>
        <w:t>3.3</w:t>
      </w:r>
      <w:r>
        <w:rPr>
          <w:rFonts w:hint="eastAsia" w:hAnsi="宋体"/>
          <w:b/>
          <w:color w:val="auto"/>
          <w:sz w:val="24"/>
          <w:highlight w:val="none"/>
        </w:rPr>
        <w:t>参选报价</w:t>
      </w:r>
      <w:bookmarkEnd w:id="206"/>
      <w:bookmarkEnd w:id="207"/>
      <w:bookmarkEnd w:id="208"/>
      <w:bookmarkEnd w:id="209"/>
      <w:bookmarkEnd w:id="210"/>
      <w:bookmarkEnd w:id="211"/>
      <w:bookmarkEnd w:id="212"/>
      <w:bookmarkEnd w:id="213"/>
      <w:bookmarkEnd w:id="214"/>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3.3.1参选人应当根据比选文件要求进行报价，参选人应当报出符合比选文件要求的拟提供参选货物的单价（如适用）和总价。</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3.3.2</w:t>
      </w:r>
      <w:r>
        <w:rPr>
          <w:rFonts w:hint="eastAsia" w:hAnsi="宋体"/>
          <w:color w:val="auto"/>
          <w:highlight w:val="none"/>
        </w:rPr>
        <w:t>参选货币：人民币。</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3.3.3比选人设有最高参选限价的，参选人的参选报价不得超过最高参选限价，否则其参选将被否决。最高参选限价或者其计算方法见参选人须知前附表。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3.3.4比选人不接受参选人的任何低于成本报价的不正当竞争方式。</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3.3.5只有在比选文件要求或者允许报优惠价时，参选人才可以报出。参选人优惠报价的数额，唱价时也必须当众宣读。关于优惠条件的规定见参选人须知前附表。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3.3.6参选报价的具体要求见参选人须知前附表。</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215" w:name="_Toc447265237"/>
      <w:bookmarkStart w:id="216" w:name="_Toc447188687"/>
      <w:bookmarkStart w:id="217" w:name="_Toc107822500"/>
      <w:bookmarkStart w:id="218" w:name="_Toc227057902"/>
      <w:bookmarkStart w:id="219" w:name="_Toc450489296"/>
      <w:bookmarkStart w:id="220" w:name="_Toc17202995"/>
      <w:bookmarkStart w:id="221" w:name="_Toc226969296"/>
      <w:bookmarkStart w:id="222" w:name="_Toc447265523"/>
      <w:bookmarkStart w:id="223" w:name="_Toc17202786"/>
      <w:bookmarkStart w:id="224" w:name="_Toc226969295"/>
      <w:bookmarkStart w:id="225" w:name="_Toc227057901"/>
      <w:bookmarkStart w:id="226" w:name="_Toc107822499"/>
      <w:r>
        <w:rPr>
          <w:rFonts w:hAnsi="宋体"/>
          <w:b/>
          <w:color w:val="auto"/>
          <w:sz w:val="24"/>
          <w:highlight w:val="none"/>
        </w:rPr>
        <w:t>3.4</w:t>
      </w:r>
      <w:r>
        <w:rPr>
          <w:rFonts w:hint="eastAsia" w:hAnsi="宋体"/>
          <w:b/>
          <w:color w:val="auto"/>
          <w:sz w:val="24"/>
          <w:highlight w:val="none"/>
        </w:rPr>
        <w:t>参选有效期</w:t>
      </w:r>
      <w:bookmarkEnd w:id="215"/>
      <w:bookmarkEnd w:id="216"/>
      <w:bookmarkEnd w:id="217"/>
      <w:bookmarkEnd w:id="218"/>
      <w:bookmarkEnd w:id="219"/>
      <w:bookmarkEnd w:id="220"/>
      <w:bookmarkEnd w:id="221"/>
      <w:bookmarkEnd w:id="222"/>
      <w:bookmarkEnd w:id="223"/>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3.4.1参选有效期从递交参选文件截止日起计算。参选有效期的具体时间见参选人须知前附表。在此期间，参选人不得要求撤销或者修改其参选文件。参选有效期不满足比选文件要求的参选将被否决。</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3.4.2</w:t>
      </w:r>
      <w:r>
        <w:rPr>
          <w:rFonts w:hint="eastAsia" w:hAnsi="宋体"/>
          <w:color w:val="auto"/>
          <w:highlight w:val="none"/>
        </w:rPr>
        <w:t>在原定参选有效期满之前，如果出现特殊情况，比选人决定延长参选有效期的，应当以书面形式向参选人提出延长参选有效期的要求，参选人须以书面形式予以答复。参选人同意延长参选有效期的，不得修改其参选文件的实质性内容，但应当相应延长其参选保证金有效期；参选人拒绝延长参选有效期的，其参选失效，参选人有权收回其参选保证金。</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227" w:name="_Toc447265524"/>
      <w:bookmarkStart w:id="228" w:name="_Toc447265238"/>
      <w:bookmarkStart w:id="229" w:name="_Toc17202996"/>
      <w:bookmarkStart w:id="230" w:name="_Toc450489297"/>
      <w:bookmarkStart w:id="231" w:name="_Toc447188688"/>
      <w:bookmarkStart w:id="232" w:name="_Toc17202787"/>
      <w:r>
        <w:rPr>
          <w:rFonts w:hAnsi="宋体"/>
          <w:b/>
          <w:color w:val="auto"/>
          <w:sz w:val="24"/>
          <w:highlight w:val="none"/>
        </w:rPr>
        <w:t>3.5</w:t>
      </w:r>
      <w:r>
        <w:rPr>
          <w:rFonts w:hint="eastAsia" w:hAnsi="宋体"/>
          <w:b/>
          <w:color w:val="auto"/>
          <w:sz w:val="24"/>
          <w:highlight w:val="none"/>
        </w:rPr>
        <w:t>参选保证金</w:t>
      </w:r>
      <w:bookmarkEnd w:id="224"/>
      <w:bookmarkEnd w:id="225"/>
      <w:bookmarkEnd w:id="226"/>
      <w:bookmarkEnd w:id="227"/>
      <w:bookmarkEnd w:id="228"/>
      <w:bookmarkEnd w:id="229"/>
      <w:bookmarkEnd w:id="230"/>
      <w:bookmarkEnd w:id="231"/>
      <w:bookmarkEnd w:id="232"/>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3.5.1比选人要求参选人递交参选保证金的，参选人必须在递交参选文件的同时，按照参选人须知前附表的规定递交参选保证金。参选保证金一般不超过项目估算价的2%，本比选项目的参选保证金金额见参选人须知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3.5.2比选人可以规定参选保证金是以现金、支票、银行汇票、在中国注册的银行出具的银行保函等方式递交，参选保证金有效期应当与参选有效期一致。参选保证金的形式见参选人须知前附表。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3.5.3比选人最迟应当在书面合同签订后5日内向中选人和未中选的参选人退还参选保证金及银行同期存款利息。</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3.5.4</w:t>
      </w:r>
      <w:r>
        <w:rPr>
          <w:rFonts w:hint="eastAsia" w:hAnsi="宋体"/>
          <w:color w:val="auto"/>
          <w:highlight w:val="none"/>
        </w:rPr>
        <w:t>下列任何情况发生时，参选保证金可不予退还：</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（1）</w:t>
      </w:r>
      <w:r>
        <w:rPr>
          <w:rFonts w:hAnsi="宋体"/>
          <w:color w:val="auto"/>
          <w:highlight w:val="none"/>
        </w:rPr>
        <w:t>参选人在比选文件中规定的参选有效期内</w:t>
      </w:r>
      <w:r>
        <w:rPr>
          <w:rFonts w:hint="eastAsia" w:hAnsi="宋体"/>
          <w:color w:val="auto"/>
          <w:highlight w:val="none"/>
        </w:rPr>
        <w:t>撤销参选的；</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（2）中选人无正当理由不与比选人订立合同，在签订合同时向比选人提出附加条件，或者不按照比选文件要求递交履约保证金的；</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w:t>
      </w:r>
      <w:r>
        <w:rPr>
          <w:rFonts w:hAnsi="宋体"/>
          <w:color w:val="auto"/>
          <w:highlight w:val="none"/>
        </w:rPr>
        <w:t>参选人有串通参选、弄虚作假等行为的；</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（4）</w:t>
      </w:r>
      <w:r>
        <w:rPr>
          <w:rFonts w:hAnsi="宋体"/>
          <w:color w:val="auto"/>
          <w:highlight w:val="none"/>
        </w:rPr>
        <w:t>其他规定</w:t>
      </w:r>
      <w:r>
        <w:rPr>
          <w:rFonts w:hint="eastAsia" w:hAnsi="宋体"/>
          <w:color w:val="auto"/>
          <w:highlight w:val="none"/>
        </w:rPr>
        <w:t>见参选人须知前附表</w:t>
      </w:r>
      <w:r>
        <w:rPr>
          <w:rFonts w:hAnsi="宋体"/>
          <w:color w:val="auto"/>
          <w:highlight w:val="none"/>
        </w:rPr>
        <w:t>。</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3.5.5未递交参选保证金或者递交的参选保证金有瑕疵的参选将被否决。</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233" w:name="_Toc226969297"/>
      <w:bookmarkStart w:id="234" w:name="_Toc447265239"/>
      <w:bookmarkStart w:id="235" w:name="_Toc17202788"/>
      <w:bookmarkStart w:id="236" w:name="_Toc447188689"/>
      <w:bookmarkStart w:id="237" w:name="_Toc447265525"/>
      <w:bookmarkStart w:id="238" w:name="_Toc227057903"/>
      <w:bookmarkStart w:id="239" w:name="_Toc17202997"/>
      <w:bookmarkStart w:id="240" w:name="_Toc450489298"/>
      <w:bookmarkStart w:id="241" w:name="_Toc107822501"/>
      <w:r>
        <w:rPr>
          <w:rFonts w:hAnsi="宋体"/>
          <w:b/>
          <w:color w:val="auto"/>
          <w:sz w:val="24"/>
          <w:highlight w:val="none"/>
        </w:rPr>
        <w:t>3.6</w:t>
      </w:r>
      <w:r>
        <w:rPr>
          <w:rFonts w:hint="eastAsia" w:hAnsi="宋体"/>
          <w:b/>
          <w:color w:val="auto"/>
          <w:sz w:val="24"/>
          <w:highlight w:val="none"/>
        </w:rPr>
        <w:t>备选参选方案</w:t>
      </w:r>
      <w:bookmarkEnd w:id="233"/>
      <w:bookmarkEnd w:id="234"/>
      <w:bookmarkEnd w:id="235"/>
      <w:bookmarkEnd w:id="236"/>
      <w:bookmarkEnd w:id="237"/>
      <w:bookmarkEnd w:id="238"/>
      <w:bookmarkEnd w:id="239"/>
      <w:bookmarkEnd w:id="240"/>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3.6.1除参选人须知前附表另有规定外，参选人不得递交备选参选方案。</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3.6.2</w:t>
      </w:r>
      <w:r>
        <w:rPr>
          <w:rFonts w:hint="eastAsia" w:hAnsi="宋体"/>
          <w:color w:val="auto"/>
          <w:highlight w:val="none"/>
        </w:rPr>
        <w:t>若比选人在比选文件中邀请参选人递交备选方案，则参选人除按照比选文件规定的基本方案编制和递交参选文件外，可以附加递交备选参选方案。</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3.6.3</w:t>
      </w:r>
      <w:r>
        <w:rPr>
          <w:rFonts w:hint="eastAsia" w:hAnsi="宋体"/>
          <w:color w:val="auto"/>
          <w:highlight w:val="none"/>
        </w:rPr>
        <w:t>备选参选方案应当说明其对基本方案的改进意见和带来的效益，并附必要的图纸、设计计算、技术要求及其它有关资料，在封面上应当注明“备选参选方案”字样。</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3.6.4允许参选人递交备选参选方案的，只有符合比选文件要求且综合评分最高而被推荐为中选候选人的参选人所递交的备选参选方案，可予以考虑。评选委员会认为其备选参选方案优于其按照比选文件要求编制的参选方案的，比选人可以接受该备选参选方案。</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242" w:name="_Toc226969298"/>
      <w:bookmarkStart w:id="243" w:name="_Toc227057904"/>
      <w:bookmarkStart w:id="244" w:name="_Toc17202789"/>
      <w:bookmarkStart w:id="245" w:name="_Toc17202998"/>
      <w:bookmarkStart w:id="246" w:name="_Toc447188690"/>
      <w:bookmarkStart w:id="247" w:name="_Toc450489299"/>
      <w:bookmarkStart w:id="248" w:name="_Toc447265526"/>
      <w:bookmarkStart w:id="249" w:name="_Toc447265240"/>
      <w:r>
        <w:rPr>
          <w:rFonts w:hAnsi="宋体"/>
          <w:b/>
          <w:color w:val="auto"/>
          <w:sz w:val="24"/>
          <w:highlight w:val="none"/>
        </w:rPr>
        <w:t>3.7</w:t>
      </w:r>
      <w:r>
        <w:rPr>
          <w:rFonts w:hint="eastAsia" w:hAnsi="宋体"/>
          <w:b/>
          <w:color w:val="auto"/>
          <w:sz w:val="24"/>
          <w:highlight w:val="none"/>
        </w:rPr>
        <w:t>参选文件的式样</w:t>
      </w:r>
      <w:bookmarkEnd w:id="241"/>
      <w:bookmarkEnd w:id="242"/>
      <w:bookmarkEnd w:id="243"/>
      <w:r>
        <w:rPr>
          <w:rFonts w:hint="eastAsia" w:hAnsi="宋体"/>
          <w:b/>
          <w:color w:val="auto"/>
          <w:sz w:val="24"/>
          <w:highlight w:val="none"/>
        </w:rPr>
        <w:t>、密封和标记</w:t>
      </w:r>
      <w:bookmarkEnd w:id="244"/>
      <w:bookmarkEnd w:id="245"/>
      <w:bookmarkEnd w:id="246"/>
      <w:bookmarkEnd w:id="247"/>
      <w:bookmarkEnd w:id="248"/>
      <w:bookmarkEnd w:id="249"/>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3.7.1</w:t>
      </w:r>
      <w:r>
        <w:rPr>
          <w:rFonts w:hint="eastAsia" w:hAnsi="宋体"/>
          <w:color w:val="auto"/>
          <w:highlight w:val="none"/>
        </w:rPr>
        <w:t>（A）</w:t>
      </w:r>
      <w:r>
        <w:rPr>
          <w:rFonts w:hint="eastAsia" w:ascii="Times New Roman" w:eastAsiaTheme="minorEastAsia"/>
          <w:color w:val="auto"/>
          <w:highlight w:val="none"/>
        </w:rPr>
        <w:t>参选</w:t>
      </w:r>
      <w:r>
        <w:rPr>
          <w:rFonts w:ascii="Times New Roman" w:eastAsia="Times New Roman"/>
          <w:color w:val="auto"/>
          <w:highlight w:val="none"/>
        </w:rPr>
        <w:t>文件应密封包装，并在封套的封口处加盖</w:t>
      </w:r>
      <w:r>
        <w:rPr>
          <w:rFonts w:hint="eastAsia" w:ascii="Times New Roman" w:eastAsiaTheme="minorEastAsia"/>
          <w:color w:val="auto"/>
          <w:highlight w:val="none"/>
        </w:rPr>
        <w:t>参选</w:t>
      </w:r>
      <w:r>
        <w:rPr>
          <w:rFonts w:ascii="Times New Roman" w:eastAsia="Times New Roman"/>
          <w:color w:val="auto"/>
          <w:highlight w:val="none"/>
        </w:rPr>
        <w:t>人单位章或由</w:t>
      </w:r>
      <w:r>
        <w:rPr>
          <w:rFonts w:hint="eastAsia" w:ascii="Times New Roman" w:eastAsiaTheme="minorEastAsia"/>
          <w:color w:val="auto"/>
          <w:highlight w:val="none"/>
        </w:rPr>
        <w:t>参选</w:t>
      </w:r>
      <w:r>
        <w:rPr>
          <w:rFonts w:ascii="Times New Roman" w:eastAsia="Times New Roman"/>
          <w:color w:val="auto"/>
          <w:highlight w:val="none"/>
        </w:rPr>
        <w:t>人的法定代表人或其授权的代理人签字</w:t>
      </w:r>
      <w:r>
        <w:rPr>
          <w:rFonts w:hint="eastAsia" w:hAnsi="宋体"/>
          <w:color w:val="auto"/>
          <w:highlight w:val="none"/>
        </w:rPr>
        <w:t>。</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3.7.1</w:t>
      </w:r>
      <w:r>
        <w:rPr>
          <w:rFonts w:ascii="Times New Roman" w:eastAsia="Times New Roman"/>
          <w:color w:val="auto"/>
          <w:highlight w:val="none"/>
        </w:rPr>
        <w:t>（B）</w:t>
      </w:r>
      <w:r>
        <w:rPr>
          <w:rFonts w:hint="eastAsia" w:ascii="Times New Roman" w:eastAsiaTheme="minorEastAsia"/>
          <w:color w:val="auto"/>
          <w:highlight w:val="none"/>
        </w:rPr>
        <w:t>参选</w:t>
      </w:r>
      <w:r>
        <w:rPr>
          <w:rFonts w:ascii="Times New Roman" w:eastAsia="Times New Roman"/>
          <w:color w:val="auto"/>
          <w:highlight w:val="none"/>
        </w:rPr>
        <w:t>人应当按照</w:t>
      </w:r>
      <w:r>
        <w:rPr>
          <w:rFonts w:hint="eastAsia" w:ascii="Times New Roman" w:eastAsiaTheme="minorEastAsia"/>
          <w:color w:val="auto"/>
          <w:highlight w:val="none"/>
        </w:rPr>
        <w:t>比选</w:t>
      </w:r>
      <w:r>
        <w:rPr>
          <w:rFonts w:ascii="Times New Roman" w:eastAsia="Times New Roman"/>
          <w:color w:val="auto"/>
          <w:highlight w:val="none"/>
        </w:rPr>
        <w:t>文件和电子招标投标交易平台的要求加密</w:t>
      </w:r>
      <w:r>
        <w:rPr>
          <w:rFonts w:hint="eastAsia" w:ascii="Times New Roman" w:eastAsiaTheme="minorEastAsia"/>
          <w:color w:val="auto"/>
          <w:highlight w:val="none"/>
        </w:rPr>
        <w:t>参选</w:t>
      </w:r>
      <w:r>
        <w:rPr>
          <w:rFonts w:ascii="Times New Roman" w:eastAsia="Times New Roman"/>
          <w:color w:val="auto"/>
          <w:highlight w:val="none"/>
        </w:rPr>
        <w:t>文件，具体要求见</w:t>
      </w:r>
      <w:r>
        <w:rPr>
          <w:rFonts w:hint="eastAsia" w:ascii="Times New Roman" w:eastAsiaTheme="minorEastAsia"/>
          <w:color w:val="auto"/>
          <w:highlight w:val="none"/>
        </w:rPr>
        <w:t>参选</w:t>
      </w:r>
      <w:r>
        <w:rPr>
          <w:rFonts w:ascii="Times New Roman" w:eastAsia="Times New Roman"/>
          <w:color w:val="auto"/>
          <w:highlight w:val="none"/>
        </w:rPr>
        <w:t>人须知前附表。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3.7.2每份参选文件的正本、副本及电子版应当分别装订，并于封面上明确标明“正本”、“副本”和“电子版”字样。</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3.7.3参选文件应当按照比选文件规定密封包装，并于封装封面上明确标明“正本”、“副本”和“电子版”字样。密封的所有粘接缝隙必须加盖单位公章或者由参选人的法定代表人或者其委托代理人签字。</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3.7.4外层包封应当写明比选人名称和地址、项目名称、比选编号、并注明唱价时间以前不得开封。还应当写明参选人的名称与地址、邮政编码，以便参选出现逾期送达时能原封退回。</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3.7.5递交参选文件时，比选人应当对符合比选文件规定密封和标记的参选文件进行签收。</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3.7.6</w:t>
      </w:r>
      <w:r>
        <w:rPr>
          <w:rFonts w:hint="eastAsia" w:hAnsi="宋体"/>
          <w:color w:val="auto"/>
          <w:highlight w:val="none"/>
        </w:rPr>
        <w:t>比选人对于参选文件密封、标记另有要求的，见参选人须知前附表。</w:t>
      </w:r>
    </w:p>
    <w:bookmarkEnd w:id="193"/>
    <w:bookmarkEnd w:id="194"/>
    <w:bookmarkEnd w:id="195"/>
    <w:p>
      <w:pPr>
        <w:pStyle w:val="35"/>
        <w:tabs>
          <w:tab w:val="left" w:pos="588"/>
        </w:tabs>
        <w:snapToGrid w:val="0"/>
        <w:spacing w:before="120" w:after="120" w:line="440" w:lineRule="exact"/>
        <w:jc w:val="left"/>
        <w:outlineLvl w:val="1"/>
        <w:rPr>
          <w:rFonts w:ascii="宋体" w:hAnsi="宋体"/>
          <w:color w:val="auto"/>
          <w:sz w:val="28"/>
          <w:szCs w:val="28"/>
          <w:highlight w:val="none"/>
        </w:rPr>
      </w:pPr>
      <w:bookmarkStart w:id="250" w:name="_Toc477190297"/>
      <w:bookmarkEnd w:id="250"/>
      <w:bookmarkStart w:id="251" w:name="_Toc477190296"/>
      <w:bookmarkEnd w:id="251"/>
      <w:bookmarkStart w:id="252" w:name="_Toc25308"/>
      <w:bookmarkStart w:id="253" w:name="_Toc17202790"/>
      <w:bookmarkStart w:id="254" w:name="_Toc17202999"/>
      <w:bookmarkStart w:id="255" w:name="_Toc17203540"/>
      <w:r>
        <w:rPr>
          <w:rFonts w:hint="eastAsia" w:ascii="宋体" w:hAnsi="宋体"/>
          <w:color w:val="auto"/>
          <w:sz w:val="28"/>
          <w:szCs w:val="28"/>
          <w:highlight w:val="none"/>
        </w:rPr>
        <w:t>4.参选</w:t>
      </w:r>
      <w:bookmarkEnd w:id="252"/>
      <w:bookmarkEnd w:id="253"/>
      <w:bookmarkEnd w:id="254"/>
      <w:bookmarkEnd w:id="255"/>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256" w:name="_Toc447265243"/>
      <w:bookmarkStart w:id="257" w:name="_Toc447188692"/>
      <w:bookmarkStart w:id="258" w:name="_Toc447265529"/>
      <w:bookmarkStart w:id="259" w:name="_Toc17202791"/>
      <w:bookmarkStart w:id="260" w:name="_Toc17203000"/>
      <w:r>
        <w:rPr>
          <w:rFonts w:hAnsi="宋体"/>
          <w:b/>
          <w:color w:val="auto"/>
          <w:sz w:val="24"/>
          <w:highlight w:val="none"/>
        </w:rPr>
        <w:t>4.1</w:t>
      </w:r>
      <w:bookmarkEnd w:id="196"/>
      <w:bookmarkEnd w:id="197"/>
      <w:r>
        <w:rPr>
          <w:rFonts w:hint="eastAsia" w:hAnsi="宋体"/>
          <w:b/>
          <w:color w:val="auto"/>
          <w:sz w:val="24"/>
          <w:highlight w:val="none"/>
        </w:rPr>
        <w:t>参选文件的递交</w:t>
      </w:r>
      <w:bookmarkEnd w:id="198"/>
      <w:bookmarkEnd w:id="199"/>
      <w:bookmarkEnd w:id="256"/>
      <w:bookmarkEnd w:id="257"/>
      <w:bookmarkEnd w:id="258"/>
      <w:bookmarkEnd w:id="259"/>
      <w:bookmarkEnd w:id="260"/>
    </w:p>
    <w:p>
      <w:pPr>
        <w:pStyle w:val="21"/>
        <w:tabs>
          <w:tab w:val="left" w:pos="0"/>
        </w:tabs>
        <w:snapToGrid w:val="0"/>
        <w:spacing w:line="400" w:lineRule="exact"/>
        <w:ind w:firstLine="424" w:firstLineChars="202"/>
        <w:rPr>
          <w:rFonts w:hAnsi="宋体"/>
          <w:color w:val="auto"/>
          <w:highlight w:val="none"/>
        </w:rPr>
      </w:pPr>
      <w:bookmarkStart w:id="261" w:name="_Toc488655849"/>
      <w:bookmarkStart w:id="262" w:name="_Toc107822504"/>
      <w:bookmarkStart w:id="263" w:name="_Toc107822505"/>
      <w:bookmarkStart w:id="264" w:name="_Toc226969301"/>
      <w:bookmarkStart w:id="265" w:name="_Toc488655850"/>
      <w:bookmarkStart w:id="266" w:name="_Toc227057907"/>
      <w:bookmarkStart w:id="267" w:name="_Toc447265530"/>
      <w:bookmarkStart w:id="268" w:name="_Toc447265244"/>
      <w:bookmarkStart w:id="269" w:name="_Toc447188693"/>
      <w:r>
        <w:rPr>
          <w:rFonts w:hint="eastAsia" w:hAnsi="宋体"/>
          <w:color w:val="auto"/>
          <w:highlight w:val="none"/>
        </w:rPr>
        <w:t>4.1.1参选文件递交截止时间：见参选人须知前附表。</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4.1.2</w:t>
      </w:r>
      <w:r>
        <w:rPr>
          <w:rFonts w:hint="eastAsia" w:hAnsi="宋体"/>
          <w:color w:val="auto"/>
          <w:highlight w:val="none"/>
        </w:rPr>
        <w:t>（A）参选文件递交地点：见参选人须知前附表。</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4.1.2</w:t>
      </w:r>
      <w:r>
        <w:rPr>
          <w:rFonts w:hint="eastAsia" w:hAnsi="宋体"/>
          <w:color w:val="auto"/>
          <w:highlight w:val="none"/>
        </w:rPr>
        <w:t>（B）</w:t>
      </w:r>
      <w:r>
        <w:rPr>
          <w:rFonts w:hint="eastAsia" w:ascii="Times New Roman" w:eastAsiaTheme="minorEastAsia"/>
          <w:color w:val="auto"/>
          <w:highlight w:val="none"/>
        </w:rPr>
        <w:t>参选</w:t>
      </w:r>
      <w:r>
        <w:rPr>
          <w:rFonts w:ascii="Times New Roman" w:eastAsia="Times New Roman"/>
          <w:color w:val="auto"/>
          <w:highlight w:val="none"/>
        </w:rPr>
        <w:t>人通过下载</w:t>
      </w:r>
      <w:r>
        <w:rPr>
          <w:rFonts w:hint="eastAsia" w:ascii="Times New Roman" w:eastAsiaTheme="minorEastAsia"/>
          <w:color w:val="auto"/>
          <w:highlight w:val="none"/>
        </w:rPr>
        <w:t>比选</w:t>
      </w:r>
      <w:r>
        <w:rPr>
          <w:rFonts w:ascii="Times New Roman" w:eastAsia="Times New Roman"/>
          <w:color w:val="auto"/>
          <w:highlight w:val="none"/>
        </w:rPr>
        <w:t>文件的电子招标投标交易平台递交电子</w:t>
      </w:r>
      <w:r>
        <w:rPr>
          <w:rFonts w:hint="eastAsia" w:ascii="Times New Roman" w:eastAsiaTheme="minorEastAsia"/>
          <w:color w:val="auto"/>
          <w:highlight w:val="none"/>
        </w:rPr>
        <w:t>参选</w:t>
      </w:r>
      <w:r>
        <w:rPr>
          <w:rFonts w:ascii="Times New Roman" w:eastAsia="Times New Roman"/>
          <w:color w:val="auto"/>
          <w:highlight w:val="none"/>
        </w:rPr>
        <w:t>文件</w:t>
      </w:r>
      <w:r>
        <w:rPr>
          <w:rFonts w:hint="eastAsia" w:hAnsi="宋体"/>
          <w:color w:val="auto"/>
          <w:highlight w:val="none"/>
        </w:rPr>
        <w:t>。</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4.1.3</w:t>
      </w:r>
      <w:r>
        <w:rPr>
          <w:rFonts w:ascii="Times New Roman" w:eastAsia="Times New Roman"/>
          <w:color w:val="auto"/>
          <w:highlight w:val="none"/>
        </w:rPr>
        <w:t>（A）</w:t>
      </w:r>
      <w:r>
        <w:rPr>
          <w:rFonts w:hint="eastAsia" w:hAnsi="宋体"/>
          <w:color w:val="auto"/>
          <w:highlight w:val="none"/>
        </w:rPr>
        <w:t>比选人收到参选文件后，向参选人出具签收凭证。</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4.1.3</w:t>
      </w:r>
      <w:r>
        <w:rPr>
          <w:rFonts w:ascii="Times New Roman" w:eastAsia="Times New Roman"/>
          <w:color w:val="auto"/>
          <w:highlight w:val="none"/>
        </w:rPr>
        <w:t>（</w:t>
      </w:r>
      <w:r>
        <w:rPr>
          <w:rFonts w:hint="eastAsia" w:ascii="Times New Roman" w:eastAsiaTheme="minorEastAsia"/>
          <w:color w:val="auto"/>
          <w:highlight w:val="none"/>
        </w:rPr>
        <w:t>B</w:t>
      </w:r>
      <w:r>
        <w:rPr>
          <w:rFonts w:ascii="Times New Roman" w:eastAsia="Times New Roman"/>
          <w:color w:val="auto"/>
          <w:highlight w:val="none"/>
        </w:rPr>
        <w:t>）</w:t>
      </w:r>
      <w:r>
        <w:rPr>
          <w:rFonts w:hint="eastAsia" w:ascii="Times New Roman" w:eastAsiaTheme="minorEastAsia"/>
          <w:color w:val="auto"/>
          <w:highlight w:val="none"/>
        </w:rPr>
        <w:t>参选</w:t>
      </w:r>
      <w:r>
        <w:rPr>
          <w:rFonts w:ascii="Times New Roman" w:eastAsia="Times New Roman"/>
          <w:color w:val="auto"/>
          <w:highlight w:val="none"/>
        </w:rPr>
        <w:t>人完成电子</w:t>
      </w:r>
      <w:r>
        <w:rPr>
          <w:rFonts w:hint="eastAsia" w:ascii="Times New Roman" w:eastAsiaTheme="minorEastAsia"/>
          <w:color w:val="auto"/>
          <w:highlight w:val="none"/>
        </w:rPr>
        <w:t>参选</w:t>
      </w:r>
      <w:r>
        <w:rPr>
          <w:rFonts w:ascii="Times New Roman" w:eastAsia="Times New Roman"/>
          <w:color w:val="auto"/>
          <w:highlight w:val="none"/>
        </w:rPr>
        <w:t>文件上传后，电子招标投标交易平台即时向</w:t>
      </w:r>
      <w:r>
        <w:rPr>
          <w:rFonts w:hint="eastAsia" w:ascii="Times New Roman" w:eastAsiaTheme="minorEastAsia"/>
          <w:color w:val="auto"/>
          <w:highlight w:val="none"/>
        </w:rPr>
        <w:t>参选</w:t>
      </w:r>
      <w:r>
        <w:rPr>
          <w:rFonts w:ascii="Times New Roman" w:eastAsia="Times New Roman"/>
          <w:color w:val="auto"/>
          <w:highlight w:val="none"/>
        </w:rPr>
        <w:t>人发出递交回执通知。递交时间以递交回执通知载明的传输完成时间为准</w:t>
      </w:r>
      <w:r>
        <w:rPr>
          <w:rFonts w:hint="eastAsia" w:hAnsi="宋体"/>
          <w:color w:val="auto"/>
          <w:highlight w:val="none"/>
        </w:rPr>
        <w:t>。</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4.1.4</w:t>
      </w:r>
      <w:r>
        <w:rPr>
          <w:rFonts w:hint="eastAsia" w:hAnsi="宋体"/>
          <w:color w:val="auto"/>
          <w:highlight w:val="none"/>
        </w:rPr>
        <w:t>除参选人须知前附表另有规定外，参选人所递交的参选文件不予退还。</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4.1.5出现以下情形时，比选人/比选代理机构不予接收参选文件：</w:t>
      </w:r>
    </w:p>
    <w:p>
      <w:pPr>
        <w:pStyle w:val="45"/>
        <w:numPr>
          <w:ilvl w:val="0"/>
          <w:numId w:val="11"/>
        </w:numPr>
        <w:tabs>
          <w:tab w:val="left" w:pos="993"/>
        </w:tabs>
        <w:spacing w:line="400" w:lineRule="exact"/>
        <w:ind w:left="0" w:firstLine="424" w:firstLineChars="202"/>
        <w:rPr>
          <w:rFonts w:ascii="宋体" w:hAnsi="宋体"/>
          <w:color w:val="auto"/>
          <w:highlight w:val="none"/>
        </w:rPr>
      </w:pPr>
      <w:r>
        <w:rPr>
          <w:rFonts w:hint="eastAsia" w:ascii="宋体" w:hAnsi="宋体"/>
          <w:color w:val="auto"/>
          <w:highlight w:val="none"/>
        </w:rPr>
        <w:t>（A）逾期送达或者未送达指定地点的；</w:t>
      </w:r>
    </w:p>
    <w:p>
      <w:pPr>
        <w:pStyle w:val="45"/>
        <w:tabs>
          <w:tab w:val="left" w:pos="993"/>
        </w:tabs>
        <w:spacing w:line="400" w:lineRule="exact"/>
        <w:ind w:left="424" w:firstLine="0" w:firstLineChars="0"/>
        <w:rPr>
          <w:rFonts w:ascii="宋体" w:hAnsi="宋体"/>
          <w:color w:val="auto"/>
          <w:highlight w:val="none"/>
        </w:rPr>
      </w:pPr>
      <w:r>
        <w:rPr>
          <w:rFonts w:hint="eastAsia" w:ascii="宋体" w:hAnsi="宋体"/>
          <w:color w:val="auto"/>
          <w:highlight w:val="none"/>
        </w:rPr>
        <w:t xml:space="preserve">      （B）</w:t>
      </w:r>
      <w:r>
        <w:rPr>
          <w:rFonts w:eastAsia="Times New Roman"/>
          <w:color w:val="auto"/>
          <w:highlight w:val="none"/>
        </w:rPr>
        <w:t>逾期送达的</w:t>
      </w:r>
      <w:r>
        <w:rPr>
          <w:rFonts w:hint="eastAsia" w:eastAsiaTheme="minorEastAsia"/>
          <w:color w:val="auto"/>
          <w:highlight w:val="none"/>
        </w:rPr>
        <w:t>参选</w:t>
      </w:r>
      <w:r>
        <w:rPr>
          <w:rFonts w:eastAsia="Times New Roman"/>
          <w:color w:val="auto"/>
          <w:highlight w:val="none"/>
        </w:rPr>
        <w:t>文件，电子招标投标交易平台将予以拒收</w:t>
      </w:r>
      <w:r>
        <w:rPr>
          <w:rFonts w:hint="eastAsia" w:ascii="宋体" w:hAnsi="宋体"/>
          <w:color w:val="auto"/>
          <w:highlight w:val="none"/>
        </w:rPr>
        <w:t>；</w:t>
      </w:r>
    </w:p>
    <w:p>
      <w:pPr>
        <w:pStyle w:val="45"/>
        <w:numPr>
          <w:ilvl w:val="0"/>
          <w:numId w:val="11"/>
        </w:numPr>
        <w:tabs>
          <w:tab w:val="left" w:pos="993"/>
        </w:tabs>
        <w:spacing w:line="400" w:lineRule="exact"/>
        <w:ind w:left="0" w:firstLine="424" w:firstLineChars="202"/>
        <w:rPr>
          <w:rFonts w:ascii="宋体" w:hAnsi="宋体"/>
          <w:color w:val="auto"/>
          <w:highlight w:val="none"/>
        </w:rPr>
      </w:pPr>
      <w:r>
        <w:rPr>
          <w:rFonts w:hint="eastAsia" w:ascii="宋体" w:hAnsi="宋体"/>
          <w:color w:val="auto"/>
          <w:highlight w:val="none"/>
        </w:rPr>
        <w:t>未通过资格预审的申请人递交的；</w:t>
      </w:r>
    </w:p>
    <w:p>
      <w:pPr>
        <w:pStyle w:val="45"/>
        <w:numPr>
          <w:ilvl w:val="0"/>
          <w:numId w:val="11"/>
        </w:numPr>
        <w:tabs>
          <w:tab w:val="left" w:pos="993"/>
        </w:tabs>
        <w:spacing w:line="400" w:lineRule="exact"/>
        <w:ind w:left="0" w:firstLine="424" w:firstLineChars="202"/>
        <w:rPr>
          <w:rFonts w:ascii="宋体" w:hAnsi="宋体"/>
          <w:color w:val="auto"/>
          <w:highlight w:val="none"/>
        </w:rPr>
      </w:pPr>
      <w:r>
        <w:rPr>
          <w:rFonts w:hint="eastAsia" w:ascii="宋体" w:hAnsi="宋体"/>
          <w:color w:val="auto"/>
          <w:highlight w:val="none"/>
        </w:rPr>
        <w:t>未按照第一章“比选公告”或者“参选邀请书”要求获得本项目比选文件的。</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4.1.6递交参选文件的参选人不足三家的，比选人可对两家参选人继续组织评选，或与一家参选人定向谈判，或重新组织比选。具体处理原则见参选人须知前附表。</w:t>
      </w:r>
    </w:p>
    <w:bookmarkEnd w:id="261"/>
    <w:bookmarkEnd w:id="262"/>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270" w:name="_Toc17203001"/>
      <w:bookmarkStart w:id="271" w:name="_Toc17202792"/>
      <w:r>
        <w:rPr>
          <w:rFonts w:hAnsi="宋体"/>
          <w:b/>
          <w:color w:val="auto"/>
          <w:sz w:val="24"/>
          <w:highlight w:val="none"/>
        </w:rPr>
        <w:t>4.2</w:t>
      </w:r>
      <w:r>
        <w:rPr>
          <w:rFonts w:hint="eastAsia" w:hAnsi="宋体"/>
          <w:b/>
          <w:color w:val="auto"/>
          <w:sz w:val="24"/>
          <w:highlight w:val="none"/>
        </w:rPr>
        <w:t>参选文件的修改、撤回</w:t>
      </w:r>
      <w:bookmarkEnd w:id="263"/>
      <w:bookmarkEnd w:id="264"/>
      <w:bookmarkEnd w:id="265"/>
      <w:bookmarkEnd w:id="266"/>
      <w:r>
        <w:rPr>
          <w:rFonts w:hint="eastAsia" w:hAnsi="宋体"/>
          <w:b/>
          <w:color w:val="auto"/>
          <w:sz w:val="24"/>
          <w:highlight w:val="none"/>
        </w:rPr>
        <w:t>和撤销</w:t>
      </w:r>
      <w:bookmarkEnd w:id="267"/>
      <w:bookmarkEnd w:id="268"/>
      <w:bookmarkEnd w:id="269"/>
      <w:bookmarkEnd w:id="270"/>
      <w:bookmarkEnd w:id="271"/>
    </w:p>
    <w:p>
      <w:pPr>
        <w:pStyle w:val="21"/>
        <w:tabs>
          <w:tab w:val="left" w:pos="0"/>
        </w:tabs>
        <w:snapToGrid w:val="0"/>
        <w:spacing w:line="400" w:lineRule="exact"/>
        <w:ind w:firstLine="424" w:firstLineChars="202"/>
        <w:rPr>
          <w:rFonts w:hAnsi="宋体"/>
          <w:color w:val="auto"/>
          <w:highlight w:val="none"/>
        </w:rPr>
      </w:pPr>
      <w:bookmarkStart w:id="272" w:name="_Toc246996203"/>
      <w:bookmarkStart w:id="273" w:name="_Toc247085717"/>
      <w:bookmarkStart w:id="274" w:name="_Toc144974527"/>
      <w:bookmarkStart w:id="275" w:name="_Toc447265531"/>
      <w:bookmarkStart w:id="276" w:name="_Toc152042335"/>
      <w:bookmarkStart w:id="277" w:name="_Toc447265245"/>
      <w:bookmarkStart w:id="278" w:name="_Toc179632577"/>
      <w:bookmarkStart w:id="279" w:name="_Toc152045559"/>
      <w:bookmarkStart w:id="280" w:name="_Toc447188694"/>
      <w:bookmarkStart w:id="281" w:name="_Toc246996946"/>
      <w:bookmarkStart w:id="282" w:name="_Toc296602447"/>
      <w:bookmarkStart w:id="283" w:name="_Toc107822506"/>
      <w:bookmarkStart w:id="284" w:name="_Toc227057908"/>
      <w:bookmarkStart w:id="285" w:name="_Toc488655852"/>
      <w:bookmarkStart w:id="286" w:name="_Toc226969302"/>
      <w:r>
        <w:rPr>
          <w:rFonts w:hAnsi="宋体"/>
          <w:color w:val="auto"/>
          <w:highlight w:val="none"/>
        </w:rPr>
        <w:t>4.2.1</w:t>
      </w:r>
      <w:r>
        <w:rPr>
          <w:rFonts w:hint="eastAsia" w:hAnsi="宋体"/>
          <w:color w:val="auto"/>
          <w:highlight w:val="none"/>
        </w:rPr>
        <w:t>在规定的参选截止时间前，参选人可以修改或者撤回已递交的参选文件。</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4.2.2</w:t>
      </w:r>
      <w:r>
        <w:rPr>
          <w:rFonts w:hint="eastAsia" w:hAnsi="宋体"/>
          <w:color w:val="auto"/>
          <w:highlight w:val="none"/>
        </w:rPr>
        <w:t>（A）参选人修改后的参选文件，应当在规定的参选截止时间前按照比选文件的规定编制、密封、标记、递交。</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4.2.2</w:t>
      </w:r>
      <w:r>
        <w:rPr>
          <w:rFonts w:ascii="Times New Roman" w:eastAsia="Times New Roman"/>
          <w:color w:val="auto"/>
          <w:highlight w:val="none"/>
        </w:rPr>
        <w:t>（B）</w:t>
      </w:r>
      <w:r>
        <w:rPr>
          <w:rFonts w:hint="eastAsia" w:ascii="Times New Roman" w:eastAsiaTheme="minorEastAsia"/>
          <w:color w:val="auto"/>
          <w:highlight w:val="none"/>
        </w:rPr>
        <w:t>参选</w:t>
      </w:r>
      <w:r>
        <w:rPr>
          <w:rFonts w:ascii="Times New Roman" w:eastAsia="Times New Roman"/>
          <w:color w:val="auto"/>
          <w:highlight w:val="none"/>
        </w:rPr>
        <w:t>人修改或撤回已递交</w:t>
      </w:r>
      <w:r>
        <w:rPr>
          <w:rFonts w:hint="eastAsia" w:ascii="Times New Roman" w:eastAsiaTheme="minorEastAsia"/>
          <w:color w:val="auto"/>
          <w:highlight w:val="none"/>
        </w:rPr>
        <w:t>参选</w:t>
      </w:r>
      <w:r>
        <w:rPr>
          <w:rFonts w:ascii="Times New Roman" w:eastAsia="Times New Roman"/>
          <w:color w:val="auto"/>
          <w:highlight w:val="none"/>
        </w:rPr>
        <w:t>文件的通知，应按照本章第 3.7.3（B）项的要求加盖电子印章。电子招标投标交易平台收到通知后，即时向</w:t>
      </w:r>
      <w:r>
        <w:rPr>
          <w:rFonts w:hint="eastAsia" w:ascii="Times New Roman" w:eastAsiaTheme="minorEastAsia"/>
          <w:color w:val="auto"/>
          <w:highlight w:val="none"/>
        </w:rPr>
        <w:t>参选</w:t>
      </w:r>
      <w:r>
        <w:rPr>
          <w:rFonts w:ascii="Times New Roman" w:eastAsia="Times New Roman"/>
          <w:color w:val="auto"/>
          <w:highlight w:val="none"/>
        </w:rPr>
        <w:t>人发出确认回执通知。</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4.2.3</w:t>
      </w:r>
      <w:r>
        <w:rPr>
          <w:rFonts w:hint="eastAsia" w:hAnsi="宋体"/>
          <w:color w:val="auto"/>
          <w:highlight w:val="none"/>
        </w:rPr>
        <w:t>参选人撤回已递交的参选文件，应当书面通知比选人。比选人已收取参选保证金的，应当自收到参选人书面撤回通知之日起5日内退还。</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4.2.4参选人在规定的参选截止时间后，不得在参选有效期内撤销其参选。否则比选人有权不退还其参选保证金。</w:t>
      </w:r>
    </w:p>
    <w:bookmarkEnd w:id="272"/>
    <w:bookmarkEnd w:id="273"/>
    <w:bookmarkEnd w:id="274"/>
    <w:bookmarkEnd w:id="275"/>
    <w:bookmarkEnd w:id="276"/>
    <w:bookmarkEnd w:id="277"/>
    <w:bookmarkEnd w:id="278"/>
    <w:bookmarkEnd w:id="279"/>
    <w:bookmarkEnd w:id="280"/>
    <w:bookmarkEnd w:id="281"/>
    <w:bookmarkEnd w:id="282"/>
    <w:p>
      <w:pPr>
        <w:pStyle w:val="35"/>
        <w:tabs>
          <w:tab w:val="left" w:pos="588"/>
        </w:tabs>
        <w:snapToGrid w:val="0"/>
        <w:spacing w:before="120" w:after="120" w:line="440" w:lineRule="exact"/>
        <w:jc w:val="left"/>
        <w:outlineLvl w:val="1"/>
        <w:rPr>
          <w:rFonts w:ascii="宋体" w:hAnsi="宋体"/>
          <w:color w:val="auto"/>
          <w:sz w:val="28"/>
          <w:szCs w:val="28"/>
          <w:highlight w:val="none"/>
        </w:rPr>
      </w:pPr>
      <w:bookmarkStart w:id="287" w:name="_Toc17203002"/>
      <w:bookmarkStart w:id="288" w:name="_Toc17203541"/>
      <w:bookmarkStart w:id="289" w:name="_Toc22950"/>
      <w:bookmarkStart w:id="290" w:name="_Toc17202793"/>
      <w:r>
        <w:rPr>
          <w:rFonts w:hint="eastAsia" w:ascii="宋体" w:hAnsi="宋体"/>
          <w:color w:val="auto"/>
          <w:sz w:val="28"/>
          <w:szCs w:val="28"/>
          <w:highlight w:val="none"/>
        </w:rPr>
        <w:t>5.唱价</w:t>
      </w:r>
      <w:bookmarkEnd w:id="287"/>
      <w:bookmarkEnd w:id="288"/>
      <w:bookmarkEnd w:id="289"/>
      <w:bookmarkEnd w:id="290"/>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291" w:name="_Toc17202794"/>
      <w:bookmarkStart w:id="292" w:name="_Toc17203003"/>
      <w:bookmarkStart w:id="293" w:name="_Toc447265246"/>
      <w:bookmarkStart w:id="294" w:name="_Toc447188695"/>
      <w:bookmarkStart w:id="295" w:name="_Toc447265532"/>
      <w:r>
        <w:rPr>
          <w:rFonts w:hAnsi="宋体"/>
          <w:b/>
          <w:color w:val="auto"/>
          <w:sz w:val="24"/>
          <w:highlight w:val="none"/>
        </w:rPr>
        <w:t>5.1</w:t>
      </w:r>
      <w:bookmarkEnd w:id="283"/>
      <w:bookmarkEnd w:id="284"/>
      <w:bookmarkEnd w:id="285"/>
      <w:bookmarkEnd w:id="286"/>
      <w:r>
        <w:rPr>
          <w:rFonts w:hint="eastAsia" w:hAnsi="宋体"/>
          <w:b/>
          <w:color w:val="auto"/>
          <w:sz w:val="24"/>
          <w:highlight w:val="none"/>
        </w:rPr>
        <w:t>唱价时间和地点</w:t>
      </w:r>
      <w:bookmarkEnd w:id="291"/>
      <w:bookmarkEnd w:id="292"/>
      <w:bookmarkEnd w:id="293"/>
      <w:bookmarkEnd w:id="294"/>
      <w:bookmarkEnd w:id="295"/>
      <w:r>
        <w:rPr>
          <w:b/>
          <w:color w:val="auto"/>
          <w:sz w:val="24"/>
          <w:highlight w:val="none"/>
        </w:rPr>
        <w:t>（</w:t>
      </w:r>
      <w:r>
        <w:rPr>
          <w:rFonts w:ascii="Times New Roman" w:eastAsia="Times New Roman"/>
          <w:b/>
          <w:color w:val="auto"/>
          <w:sz w:val="24"/>
          <w:highlight w:val="none"/>
        </w:rPr>
        <w:t>A</w:t>
      </w:r>
      <w:r>
        <w:rPr>
          <w:b/>
          <w:color w:val="auto"/>
          <w:sz w:val="24"/>
          <w:highlight w:val="none"/>
        </w:rPr>
        <w:t>）</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比选人将按照参选人须知前附表规定的时间和地点公开唱价，参加唱价的参选人代表应当签名报到，以证明其出席唱价。唱价时间和参选截止时间应当为同一时间。</w:t>
      </w:r>
    </w:p>
    <w:p>
      <w:pPr>
        <w:pStyle w:val="21"/>
        <w:tabs>
          <w:tab w:val="left" w:pos="0"/>
        </w:tabs>
        <w:snapToGrid w:val="0"/>
        <w:spacing w:line="400" w:lineRule="exact"/>
        <w:rPr>
          <w:b/>
          <w:color w:val="auto"/>
          <w:sz w:val="24"/>
          <w:highlight w:val="none"/>
        </w:rPr>
      </w:pPr>
      <w:r>
        <w:rPr>
          <w:rFonts w:hint="eastAsia" w:hAnsi="宋体"/>
          <w:b/>
          <w:color w:val="auto"/>
          <w:sz w:val="24"/>
          <w:highlight w:val="none"/>
        </w:rPr>
        <w:t>5.1唱价时间和地点</w:t>
      </w:r>
      <w:r>
        <w:rPr>
          <w:b/>
          <w:color w:val="auto"/>
          <w:sz w:val="24"/>
          <w:highlight w:val="none"/>
        </w:rPr>
        <w:t>（</w:t>
      </w:r>
      <w:r>
        <w:rPr>
          <w:rFonts w:hint="eastAsia" w:ascii="Times New Roman" w:eastAsiaTheme="minorEastAsia"/>
          <w:b/>
          <w:color w:val="auto"/>
          <w:sz w:val="24"/>
          <w:highlight w:val="none"/>
        </w:rPr>
        <w:t>B</w:t>
      </w:r>
      <w:r>
        <w:rPr>
          <w:b/>
          <w:color w:val="auto"/>
          <w:sz w:val="24"/>
          <w:highlight w:val="none"/>
        </w:rPr>
        <w:t>）</w:t>
      </w:r>
    </w:p>
    <w:p>
      <w:pPr>
        <w:pStyle w:val="21"/>
        <w:tabs>
          <w:tab w:val="left" w:pos="0"/>
        </w:tabs>
        <w:snapToGrid w:val="0"/>
        <w:spacing w:line="400" w:lineRule="exact"/>
        <w:ind w:firstLine="424" w:firstLineChars="202"/>
        <w:rPr>
          <w:rFonts w:hAnsi="宋体"/>
          <w:color w:val="auto"/>
          <w:highlight w:val="none"/>
        </w:rPr>
      </w:pPr>
      <w:r>
        <w:rPr>
          <w:rFonts w:ascii="Times New Roman" w:eastAsia="Times New Roman"/>
          <w:color w:val="auto"/>
          <w:highlight w:val="none"/>
        </w:rPr>
        <w:t>招标人在</w:t>
      </w:r>
      <w:r>
        <w:rPr>
          <w:rFonts w:hint="eastAsia" w:hAnsi="宋体"/>
          <w:color w:val="auto"/>
          <w:highlight w:val="none"/>
        </w:rPr>
        <w:t>按照参选人须知前附表规定规定的时间</w:t>
      </w:r>
      <w:r>
        <w:rPr>
          <w:rFonts w:ascii="Times New Roman" w:eastAsia="Times New Roman"/>
          <w:color w:val="auto"/>
          <w:highlight w:val="none"/>
        </w:rPr>
        <w:t>,通过电子招标投标交易平台公开</w:t>
      </w:r>
      <w:r>
        <w:rPr>
          <w:rFonts w:hint="eastAsia" w:ascii="Times New Roman" w:eastAsiaTheme="minorEastAsia"/>
          <w:color w:val="auto"/>
          <w:highlight w:val="none"/>
        </w:rPr>
        <w:t>唱价</w:t>
      </w:r>
      <w:r>
        <w:rPr>
          <w:rFonts w:ascii="Times New Roman" w:eastAsia="Times New Roman"/>
          <w:color w:val="auto"/>
          <w:highlight w:val="none"/>
        </w:rPr>
        <w:t>，所有</w:t>
      </w:r>
      <w:r>
        <w:rPr>
          <w:rFonts w:hint="eastAsia" w:ascii="Times New Roman" w:eastAsiaTheme="minorEastAsia"/>
          <w:color w:val="auto"/>
          <w:highlight w:val="none"/>
        </w:rPr>
        <w:t>参选</w:t>
      </w:r>
      <w:r>
        <w:rPr>
          <w:rFonts w:ascii="Times New Roman" w:eastAsia="Times New Roman"/>
          <w:color w:val="auto"/>
          <w:highlight w:val="none"/>
        </w:rPr>
        <w:t>人的法定代表人或其委托代理人应当准时参加。</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296" w:name="_Toc447265533"/>
      <w:bookmarkStart w:id="297" w:name="_Toc447265247"/>
      <w:bookmarkStart w:id="298" w:name="_Toc17203004"/>
      <w:bookmarkStart w:id="299" w:name="_Toc17202795"/>
      <w:bookmarkStart w:id="300" w:name="_Toc447188696"/>
      <w:r>
        <w:rPr>
          <w:rFonts w:hAnsi="宋体"/>
          <w:b/>
          <w:color w:val="auto"/>
          <w:sz w:val="24"/>
          <w:highlight w:val="none"/>
        </w:rPr>
        <w:t>5.2</w:t>
      </w:r>
      <w:r>
        <w:rPr>
          <w:rFonts w:hint="eastAsia" w:hAnsi="宋体"/>
          <w:b/>
          <w:color w:val="auto"/>
          <w:sz w:val="24"/>
          <w:highlight w:val="none"/>
        </w:rPr>
        <w:t>唱价程序</w:t>
      </w:r>
      <w:bookmarkEnd w:id="296"/>
      <w:bookmarkEnd w:id="297"/>
      <w:bookmarkEnd w:id="298"/>
      <w:bookmarkEnd w:id="299"/>
      <w:bookmarkEnd w:id="300"/>
    </w:p>
    <w:p>
      <w:pPr>
        <w:pStyle w:val="21"/>
        <w:tabs>
          <w:tab w:val="left" w:pos="0"/>
        </w:tabs>
        <w:snapToGrid w:val="0"/>
        <w:spacing w:line="400" w:lineRule="exact"/>
        <w:ind w:firstLine="424" w:firstLineChars="202"/>
        <w:rPr>
          <w:rFonts w:hAnsi="宋体"/>
          <w:color w:val="auto"/>
          <w:highlight w:val="none"/>
        </w:rPr>
      </w:pPr>
      <w:bookmarkStart w:id="301" w:name="_Toc152042338"/>
      <w:bookmarkStart w:id="302" w:name="_Toc246996949"/>
      <w:bookmarkStart w:id="303" w:name="_Toc447265536"/>
      <w:bookmarkStart w:id="304" w:name="_Toc246996206"/>
      <w:bookmarkStart w:id="305" w:name="_Toc179632580"/>
      <w:bookmarkStart w:id="306" w:name="_Toc144974530"/>
      <w:bookmarkStart w:id="307" w:name="_Toc247085720"/>
      <w:bookmarkStart w:id="308" w:name="_Toc447188699"/>
      <w:bookmarkStart w:id="309" w:name="_Toc296602451"/>
      <w:bookmarkStart w:id="310" w:name="_Toc447265250"/>
      <w:bookmarkStart w:id="311" w:name="_Toc152045562"/>
      <w:bookmarkStart w:id="312" w:name="_Toc227057909"/>
      <w:bookmarkStart w:id="313" w:name="_Toc107822507"/>
      <w:bookmarkStart w:id="314" w:name="_Toc226969303"/>
      <w:r>
        <w:rPr>
          <w:rFonts w:hint="eastAsia" w:hAnsi="宋体"/>
          <w:color w:val="auto"/>
          <w:highlight w:val="none"/>
        </w:rPr>
        <w:t>5.2.1唱价会议由比选人或者其委托的比选代理机构组织并主持，邀请所有的参选人或者其代表出席。参选人代表或者比选人委托的公证机构对参选文件密封性进行检查。</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5.2.2（A）</w:t>
      </w:r>
      <w:r>
        <w:rPr>
          <w:rFonts w:hAnsi="宋体"/>
          <w:color w:val="auto"/>
          <w:highlight w:val="none"/>
        </w:rPr>
        <w:t>比选人在参选文件递交截止时间前收到的所有参选文件在唱价时都应当当众予以拆封</w:t>
      </w:r>
      <w:r>
        <w:rPr>
          <w:rFonts w:hint="eastAsia" w:hAnsi="宋体"/>
          <w:color w:val="auto"/>
          <w:highlight w:val="none"/>
        </w:rPr>
        <w:t>、</w:t>
      </w:r>
      <w:r>
        <w:rPr>
          <w:rFonts w:hAnsi="宋体"/>
          <w:color w:val="auto"/>
          <w:highlight w:val="none"/>
        </w:rPr>
        <w:t>宣读</w:t>
      </w:r>
      <w:r>
        <w:rPr>
          <w:rFonts w:hint="eastAsia" w:hAnsi="宋体"/>
          <w:color w:val="auto"/>
          <w:highlight w:val="none"/>
        </w:rPr>
        <w:t>，</w:t>
      </w:r>
      <w:r>
        <w:rPr>
          <w:rFonts w:hAnsi="宋体"/>
          <w:color w:val="auto"/>
          <w:highlight w:val="none"/>
        </w:rPr>
        <w:t>但</w:t>
      </w:r>
      <w:r>
        <w:rPr>
          <w:rFonts w:hint="eastAsia" w:hAnsi="宋体"/>
          <w:color w:val="auto"/>
          <w:highlight w:val="none"/>
        </w:rPr>
        <w:t>按照比选文件规定递交合格的书面撤回通知的参选文件不予开封。</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5.2.2（B）参选人通过电子招标投标交易平台对已递交的电子参选文件进行解密、</w:t>
      </w:r>
      <w:r>
        <w:rPr>
          <w:rFonts w:hAnsi="宋体"/>
          <w:color w:val="auto"/>
          <w:highlight w:val="none"/>
        </w:rPr>
        <w:t>宣读</w:t>
      </w:r>
      <w:r>
        <w:rPr>
          <w:rFonts w:hint="eastAsia" w:hAnsi="宋体"/>
          <w:color w:val="auto"/>
          <w:highlight w:val="none"/>
        </w:rPr>
        <w:t>，</w:t>
      </w:r>
      <w:r>
        <w:rPr>
          <w:rFonts w:hAnsi="宋体"/>
          <w:color w:val="auto"/>
          <w:highlight w:val="none"/>
        </w:rPr>
        <w:t>但</w:t>
      </w:r>
      <w:r>
        <w:rPr>
          <w:rFonts w:hint="eastAsia" w:hAnsi="宋体"/>
          <w:color w:val="auto"/>
          <w:highlight w:val="none"/>
        </w:rPr>
        <w:t>按照比选文件规定</w:t>
      </w:r>
      <w:r>
        <w:rPr>
          <w:rFonts w:hint="eastAsia"/>
          <w:color w:val="auto"/>
          <w:szCs w:val="21"/>
          <w:highlight w:val="none"/>
        </w:rPr>
        <w:t>登录平台点击撤回电子参选文件</w:t>
      </w:r>
      <w:r>
        <w:rPr>
          <w:rFonts w:hint="eastAsia" w:hAnsi="宋体"/>
          <w:color w:val="auto"/>
          <w:highlight w:val="none"/>
        </w:rPr>
        <w:t>不予开封；</w:t>
      </w:r>
      <w:r>
        <w:rPr>
          <w:rFonts w:hAnsi="宋体"/>
          <w:color w:val="auto"/>
          <w:highlight w:val="none"/>
        </w:rPr>
        <w:t xml:space="preserve"> </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5.2.3</w:t>
      </w:r>
      <w:r>
        <w:rPr>
          <w:rFonts w:hint="eastAsia" w:hAnsi="宋体"/>
          <w:color w:val="auto"/>
          <w:highlight w:val="none"/>
        </w:rPr>
        <w:t>唱价时，比选人应当当众宣布参加本项目比选的参选人个数及参选文件的密封情况，并宣读有效参选的“参选一览表”中的内容，“参选一览表”一般包括：参选人名称、参选总报价、交货期、参选保证金以及比选文件中规定的其他内容。</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5.2.4（A）唱价内容填写在“唱价记录表”中，由唱价人、记录人、参选人代表、监督人签字确认，存档备查。</w:t>
      </w:r>
    </w:p>
    <w:p>
      <w:pPr>
        <w:pStyle w:val="21"/>
        <w:tabs>
          <w:tab w:val="left" w:pos="0"/>
        </w:tabs>
        <w:snapToGrid w:val="0"/>
        <w:spacing w:line="400" w:lineRule="exact"/>
        <w:ind w:firstLine="424" w:firstLineChars="202"/>
        <w:rPr>
          <w:rFonts w:hAnsi="宋体" w:eastAsiaTheme="minorEastAsia"/>
          <w:color w:val="auto"/>
          <w:highlight w:val="none"/>
        </w:rPr>
      </w:pPr>
      <w:r>
        <w:rPr>
          <w:rFonts w:hint="eastAsia" w:hAnsi="宋体"/>
          <w:color w:val="auto"/>
          <w:highlight w:val="none"/>
        </w:rPr>
        <w:t>5.2.4</w:t>
      </w:r>
      <w:r>
        <w:rPr>
          <w:rFonts w:ascii="Times New Roman" w:eastAsia="Times New Roman"/>
          <w:color w:val="auto"/>
          <w:highlight w:val="none"/>
        </w:rPr>
        <w:t>（B）</w:t>
      </w:r>
      <w:r>
        <w:rPr>
          <w:rFonts w:hint="eastAsia" w:ascii="Times New Roman" w:eastAsiaTheme="minorEastAsia"/>
          <w:color w:val="auto"/>
          <w:highlight w:val="none"/>
        </w:rPr>
        <w:t>参选</w:t>
      </w:r>
      <w:r>
        <w:rPr>
          <w:rFonts w:ascii="Times New Roman" w:eastAsia="Times New Roman"/>
          <w:color w:val="auto"/>
          <w:highlight w:val="none"/>
        </w:rPr>
        <w:t>人代表、</w:t>
      </w:r>
      <w:r>
        <w:rPr>
          <w:rFonts w:hint="eastAsia" w:ascii="Times New Roman" w:eastAsiaTheme="minorEastAsia"/>
          <w:color w:val="auto"/>
          <w:highlight w:val="none"/>
        </w:rPr>
        <w:t>监督</w:t>
      </w:r>
      <w:r>
        <w:rPr>
          <w:rFonts w:ascii="Times New Roman" w:eastAsia="Times New Roman"/>
          <w:color w:val="auto"/>
          <w:highlight w:val="none"/>
        </w:rPr>
        <w:t>人、记录人等有关人员使用本人的电子印章在</w:t>
      </w:r>
      <w:r>
        <w:rPr>
          <w:rFonts w:hint="eastAsia" w:ascii="Times New Roman" w:eastAsiaTheme="minorEastAsia"/>
          <w:color w:val="auto"/>
          <w:highlight w:val="none"/>
        </w:rPr>
        <w:t>唱价</w:t>
      </w:r>
      <w:r>
        <w:rPr>
          <w:rFonts w:ascii="Times New Roman" w:eastAsia="Times New Roman"/>
          <w:color w:val="auto"/>
          <w:highlight w:val="none"/>
        </w:rPr>
        <w:t>记录上签字确认</w:t>
      </w:r>
      <w:r>
        <w:rPr>
          <w:rFonts w:hint="eastAsia" w:ascii="Times New Roman" w:eastAsiaTheme="minorEastAsia"/>
          <w:color w:val="auto"/>
          <w:highlight w:val="none"/>
        </w:rPr>
        <w:t>。</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315" w:name="_Toc450489307"/>
      <w:bookmarkStart w:id="316" w:name="_Toc447265248"/>
      <w:bookmarkStart w:id="317" w:name="_Toc17202796"/>
      <w:bookmarkStart w:id="318" w:name="_Toc17203005"/>
      <w:bookmarkStart w:id="319" w:name="_Toc447265534"/>
      <w:bookmarkStart w:id="320" w:name="_Toc447188697"/>
      <w:r>
        <w:rPr>
          <w:rFonts w:hAnsi="宋体"/>
          <w:b/>
          <w:color w:val="auto"/>
          <w:sz w:val="24"/>
          <w:highlight w:val="none"/>
        </w:rPr>
        <w:t>5.3</w:t>
      </w:r>
      <w:r>
        <w:rPr>
          <w:rFonts w:hint="eastAsia" w:hAnsi="宋体"/>
          <w:b/>
          <w:color w:val="auto"/>
          <w:sz w:val="24"/>
          <w:highlight w:val="none"/>
        </w:rPr>
        <w:t>异议</w:t>
      </w:r>
      <w:bookmarkEnd w:id="315"/>
      <w:bookmarkEnd w:id="316"/>
      <w:bookmarkEnd w:id="317"/>
      <w:bookmarkEnd w:id="318"/>
      <w:bookmarkEnd w:id="319"/>
      <w:bookmarkEnd w:id="320"/>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5.3.1参选人对唱价有异议的，应当在唱价现场提出，比选人应当当场做出答复，并制作记录。</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5.3.2</w:t>
      </w:r>
      <w:r>
        <w:rPr>
          <w:rFonts w:hint="eastAsia" w:hAnsi="宋体"/>
          <w:color w:val="auto"/>
          <w:highlight w:val="none"/>
        </w:rPr>
        <w:t>参选人认为存在低于成本价参选情形的，可以在唱价现场提出异议，并在评选完成前向比选人递交书面材料，比选人应当及时将书面材料转交评选委员会。</w:t>
      </w:r>
    </w:p>
    <w:bookmarkEnd w:id="301"/>
    <w:bookmarkEnd w:id="302"/>
    <w:bookmarkEnd w:id="303"/>
    <w:bookmarkEnd w:id="304"/>
    <w:bookmarkEnd w:id="305"/>
    <w:bookmarkEnd w:id="306"/>
    <w:bookmarkEnd w:id="307"/>
    <w:bookmarkEnd w:id="308"/>
    <w:bookmarkEnd w:id="309"/>
    <w:bookmarkEnd w:id="310"/>
    <w:bookmarkEnd w:id="311"/>
    <w:p>
      <w:pPr>
        <w:pStyle w:val="35"/>
        <w:tabs>
          <w:tab w:val="left" w:pos="588"/>
        </w:tabs>
        <w:snapToGrid w:val="0"/>
        <w:spacing w:before="120" w:after="120" w:line="440" w:lineRule="exact"/>
        <w:jc w:val="left"/>
        <w:outlineLvl w:val="1"/>
        <w:rPr>
          <w:rFonts w:ascii="宋体" w:hAnsi="宋体"/>
          <w:color w:val="auto"/>
          <w:sz w:val="28"/>
          <w:szCs w:val="28"/>
          <w:highlight w:val="none"/>
        </w:rPr>
      </w:pPr>
      <w:bookmarkStart w:id="321" w:name="_Toc477190306"/>
      <w:bookmarkEnd w:id="321"/>
      <w:bookmarkStart w:id="322" w:name="_Toc477190305"/>
      <w:bookmarkEnd w:id="322"/>
      <w:bookmarkStart w:id="323" w:name="_Toc17203542"/>
      <w:bookmarkStart w:id="324" w:name="_Toc17202797"/>
      <w:bookmarkStart w:id="325" w:name="_Toc22087"/>
      <w:bookmarkStart w:id="326" w:name="_Toc17203006"/>
      <w:r>
        <w:rPr>
          <w:rFonts w:hint="eastAsia" w:ascii="宋体" w:hAnsi="宋体"/>
          <w:color w:val="auto"/>
          <w:sz w:val="28"/>
          <w:szCs w:val="28"/>
          <w:highlight w:val="none"/>
        </w:rPr>
        <w:t>6.评选</w:t>
      </w:r>
      <w:bookmarkEnd w:id="323"/>
      <w:bookmarkEnd w:id="324"/>
      <w:bookmarkEnd w:id="325"/>
      <w:bookmarkEnd w:id="326"/>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327" w:name="_Toc447188700"/>
      <w:bookmarkStart w:id="328" w:name="_Toc447265251"/>
      <w:bookmarkStart w:id="329" w:name="_Toc17202798"/>
      <w:bookmarkStart w:id="330" w:name="_Toc447265537"/>
      <w:bookmarkStart w:id="331" w:name="_Toc17203007"/>
      <w:r>
        <w:rPr>
          <w:rFonts w:hAnsi="宋体"/>
          <w:b/>
          <w:color w:val="auto"/>
          <w:sz w:val="24"/>
          <w:highlight w:val="none"/>
        </w:rPr>
        <w:t>6.1</w:t>
      </w:r>
      <w:r>
        <w:rPr>
          <w:rFonts w:hint="eastAsia" w:hAnsi="宋体"/>
          <w:b/>
          <w:color w:val="auto"/>
          <w:sz w:val="24"/>
          <w:highlight w:val="none"/>
        </w:rPr>
        <w:t>评选委员会</w:t>
      </w:r>
      <w:bookmarkEnd w:id="312"/>
      <w:bookmarkEnd w:id="313"/>
      <w:bookmarkEnd w:id="314"/>
      <w:bookmarkEnd w:id="327"/>
      <w:bookmarkEnd w:id="328"/>
      <w:bookmarkEnd w:id="329"/>
      <w:bookmarkEnd w:id="330"/>
      <w:bookmarkEnd w:id="331"/>
    </w:p>
    <w:p>
      <w:pPr>
        <w:pStyle w:val="21"/>
        <w:tabs>
          <w:tab w:val="left" w:pos="0"/>
        </w:tabs>
        <w:snapToGrid w:val="0"/>
        <w:spacing w:line="400" w:lineRule="exact"/>
        <w:ind w:firstLine="424" w:firstLineChars="202"/>
        <w:rPr>
          <w:rFonts w:hAnsi="宋体"/>
          <w:color w:val="auto"/>
          <w:highlight w:val="none"/>
        </w:rPr>
      </w:pPr>
      <w:bookmarkStart w:id="332" w:name="_Toc447265541"/>
      <w:bookmarkStart w:id="333" w:name="_Toc447265255"/>
      <w:bookmarkStart w:id="334" w:name="_Toc447188703"/>
      <w:bookmarkStart w:id="335" w:name="_Toc488655860"/>
      <w:bookmarkStart w:id="336" w:name="_Toc226969309"/>
      <w:bookmarkStart w:id="337" w:name="_Toc227057915"/>
      <w:bookmarkStart w:id="338" w:name="_Toc107822516"/>
      <w:r>
        <w:rPr>
          <w:rFonts w:hint="eastAsia" w:hAnsi="宋体"/>
          <w:color w:val="auto"/>
          <w:highlight w:val="none"/>
        </w:rPr>
        <w:t>评选由评选委员会负责，任何单位和个人不得非法干预或者影响评选的过程和结果。评选委员会成员名单在中选结果确定前保密。</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339" w:name="_Toc246996951"/>
      <w:bookmarkStart w:id="340" w:name="_Toc247085722"/>
      <w:bookmarkStart w:id="341" w:name="_Toc450489311"/>
      <w:bookmarkStart w:id="342" w:name="_Toc17202799"/>
      <w:bookmarkStart w:id="343" w:name="_Toc447265252"/>
      <w:bookmarkStart w:id="344" w:name="_Toc179632582"/>
      <w:bookmarkStart w:id="345" w:name="_Toc296602453"/>
      <w:bookmarkStart w:id="346" w:name="_Toc17203008"/>
      <w:bookmarkStart w:id="347" w:name="_Toc152042340"/>
      <w:bookmarkStart w:id="348" w:name="_Toc246996208"/>
      <w:bookmarkStart w:id="349" w:name="_Toc447265538"/>
      <w:bookmarkStart w:id="350" w:name="_Toc152045564"/>
      <w:bookmarkStart w:id="351" w:name="_Toc144974532"/>
      <w:r>
        <w:rPr>
          <w:rFonts w:hAnsi="宋体"/>
          <w:b/>
          <w:color w:val="auto"/>
          <w:sz w:val="24"/>
          <w:highlight w:val="none"/>
        </w:rPr>
        <w:t>6.2</w:t>
      </w:r>
      <w:r>
        <w:rPr>
          <w:rFonts w:hint="eastAsia" w:hAnsi="宋体"/>
          <w:b/>
          <w:color w:val="auto"/>
          <w:sz w:val="24"/>
          <w:highlight w:val="none"/>
        </w:rPr>
        <w:t>评选原则</w:t>
      </w:r>
      <w:bookmarkEnd w:id="339"/>
      <w:bookmarkEnd w:id="340"/>
      <w:bookmarkEnd w:id="341"/>
      <w:bookmarkEnd w:id="342"/>
      <w:bookmarkEnd w:id="343"/>
      <w:bookmarkEnd w:id="344"/>
      <w:bookmarkEnd w:id="345"/>
      <w:bookmarkEnd w:id="346"/>
      <w:bookmarkEnd w:id="347"/>
      <w:bookmarkEnd w:id="348"/>
      <w:bookmarkEnd w:id="349"/>
      <w:bookmarkEnd w:id="350"/>
      <w:bookmarkEnd w:id="351"/>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6.2.1评选活动遵循公平、公正、科学和择优的原则。</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6.2.2</w:t>
      </w:r>
      <w:r>
        <w:rPr>
          <w:rFonts w:hint="eastAsia" w:hAnsi="宋体"/>
          <w:color w:val="auto"/>
          <w:highlight w:val="none"/>
        </w:rPr>
        <w:t>评选委员会按照第三章“评选办法”规定的方法、评审因素、标准和程序对参选文件进行评审。第三章“评选办法”没有规定的方法、评审因素和标准，不得作为评选依据。</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6.2.3唱价后，部分参选人撤销参选文件或者被否决参选后，有效参选不足3个的，评选委员会可以继续评审，继续评审的需在评选报告中说明继续评审的理由；也可以否决全部参选。</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352" w:name="_Toc17203009"/>
      <w:bookmarkStart w:id="353" w:name="_Toc447265539"/>
      <w:bookmarkStart w:id="354" w:name="_Toc450489312"/>
      <w:bookmarkStart w:id="355" w:name="_Toc447188701"/>
      <w:bookmarkStart w:id="356" w:name="_Toc17202800"/>
      <w:bookmarkStart w:id="357" w:name="_Toc447265253"/>
      <w:r>
        <w:rPr>
          <w:rFonts w:hAnsi="宋体"/>
          <w:b/>
          <w:color w:val="auto"/>
          <w:sz w:val="24"/>
          <w:highlight w:val="none"/>
        </w:rPr>
        <w:t>6.3</w:t>
      </w:r>
      <w:r>
        <w:rPr>
          <w:rFonts w:hint="eastAsia" w:hAnsi="宋体"/>
          <w:b/>
          <w:color w:val="auto"/>
          <w:sz w:val="24"/>
          <w:highlight w:val="none"/>
        </w:rPr>
        <w:t>评选方法</w:t>
      </w:r>
      <w:bookmarkEnd w:id="352"/>
      <w:bookmarkEnd w:id="353"/>
      <w:bookmarkEnd w:id="354"/>
      <w:bookmarkEnd w:id="355"/>
      <w:bookmarkEnd w:id="356"/>
      <w:bookmarkEnd w:id="357"/>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6.3.1</w:t>
      </w:r>
      <w:r>
        <w:rPr>
          <w:rFonts w:hint="eastAsia" w:hAnsi="宋体"/>
          <w:color w:val="auto"/>
          <w:highlight w:val="none"/>
        </w:rPr>
        <w:t>本项目评选所采用的评选方法为综合评估法的。最大限度地满足比选文件中规定的各项综合评价标准的参选，应当推荐为中选候选人，量化的标准和权重应当在比选文件中明确规定。</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6.3.2</w:t>
      </w:r>
      <w:r>
        <w:rPr>
          <w:rFonts w:hAnsi="宋体"/>
          <w:color w:val="auto"/>
          <w:highlight w:val="none"/>
        </w:rPr>
        <w:t>法律</w:t>
      </w:r>
      <w:r>
        <w:rPr>
          <w:rFonts w:hint="eastAsia" w:hAnsi="宋体"/>
          <w:color w:val="auto"/>
          <w:highlight w:val="none"/>
        </w:rPr>
        <w:t>、</w:t>
      </w:r>
      <w:r>
        <w:rPr>
          <w:rFonts w:hAnsi="宋体"/>
          <w:color w:val="auto"/>
          <w:highlight w:val="none"/>
        </w:rPr>
        <w:t>法规允许的其他评选方法</w:t>
      </w:r>
      <w:r>
        <w:rPr>
          <w:rFonts w:hint="eastAsia" w:hAnsi="宋体"/>
          <w:color w:val="auto"/>
          <w:highlight w:val="none"/>
        </w:rPr>
        <w:t>。</w:t>
      </w:r>
      <w:bookmarkStart w:id="358" w:name="_Toc447265254"/>
      <w:bookmarkStart w:id="359" w:name="_Toc447188702"/>
      <w:bookmarkStart w:id="360" w:name="_Toc447265540"/>
      <w:bookmarkStart w:id="361" w:name="_Toc247085724"/>
      <w:bookmarkStart w:id="362" w:name="_Toc296602455"/>
      <w:bookmarkStart w:id="363" w:name="_Toc152042342"/>
      <w:bookmarkStart w:id="364" w:name="_Toc246996953"/>
      <w:bookmarkStart w:id="365" w:name="_Toc152045566"/>
      <w:bookmarkStart w:id="366" w:name="_Toc144974534"/>
      <w:bookmarkStart w:id="367" w:name="_Toc179632584"/>
      <w:bookmarkStart w:id="368" w:name="_Toc246996210"/>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369" w:name="_Toc450489313"/>
      <w:bookmarkStart w:id="370" w:name="_Toc17203010"/>
      <w:bookmarkStart w:id="371" w:name="_Toc17202801"/>
      <w:r>
        <w:rPr>
          <w:rFonts w:hAnsi="宋体"/>
          <w:b/>
          <w:color w:val="auto"/>
          <w:sz w:val="24"/>
          <w:highlight w:val="none"/>
        </w:rPr>
        <w:t>6.4中选候选人推荐原则</w:t>
      </w:r>
      <w:bookmarkEnd w:id="369"/>
      <w:bookmarkEnd w:id="370"/>
      <w:bookmarkEnd w:id="371"/>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评选委员会应当根据比选文件载明的规则推荐中选候选人，具体推荐原则见参选人须知前附表。</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372" w:name="_Toc17203011"/>
      <w:bookmarkStart w:id="373" w:name="_Toc17202802"/>
      <w:bookmarkStart w:id="374" w:name="_Toc450489314"/>
      <w:r>
        <w:rPr>
          <w:rFonts w:hAnsi="宋体"/>
          <w:b/>
          <w:color w:val="auto"/>
          <w:sz w:val="24"/>
          <w:highlight w:val="none"/>
        </w:rPr>
        <w:t>6.5</w:t>
      </w:r>
      <w:r>
        <w:rPr>
          <w:rFonts w:hint="eastAsia" w:hAnsi="宋体"/>
          <w:b/>
          <w:color w:val="auto"/>
          <w:sz w:val="24"/>
          <w:highlight w:val="none"/>
        </w:rPr>
        <w:t>评选报告</w:t>
      </w:r>
      <w:bookmarkEnd w:id="358"/>
      <w:bookmarkEnd w:id="359"/>
      <w:bookmarkEnd w:id="360"/>
      <w:bookmarkEnd w:id="372"/>
      <w:bookmarkEnd w:id="373"/>
      <w:bookmarkEnd w:id="374"/>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评选完成后，评选委员会应当根据《比选管理办法》的有关规定及时向比选人提交评选报告和中选候选人名单。</w:t>
      </w:r>
    </w:p>
    <w:bookmarkEnd w:id="332"/>
    <w:bookmarkEnd w:id="333"/>
    <w:bookmarkEnd w:id="334"/>
    <w:bookmarkEnd w:id="361"/>
    <w:bookmarkEnd w:id="362"/>
    <w:bookmarkEnd w:id="363"/>
    <w:bookmarkEnd w:id="364"/>
    <w:bookmarkEnd w:id="365"/>
    <w:bookmarkEnd w:id="366"/>
    <w:bookmarkEnd w:id="367"/>
    <w:bookmarkEnd w:id="368"/>
    <w:p>
      <w:pPr>
        <w:pStyle w:val="35"/>
        <w:tabs>
          <w:tab w:val="left" w:pos="602"/>
        </w:tabs>
        <w:snapToGrid w:val="0"/>
        <w:spacing w:before="120" w:after="120" w:line="440" w:lineRule="exact"/>
        <w:jc w:val="left"/>
        <w:outlineLvl w:val="1"/>
        <w:rPr>
          <w:rFonts w:ascii="宋体" w:hAnsi="宋体"/>
          <w:color w:val="auto"/>
          <w:sz w:val="28"/>
          <w:szCs w:val="28"/>
          <w:highlight w:val="none"/>
        </w:rPr>
      </w:pPr>
      <w:bookmarkStart w:id="375" w:name="_Toc17203543"/>
      <w:bookmarkStart w:id="376" w:name="_Toc17202803"/>
      <w:bookmarkStart w:id="377" w:name="_Toc17203012"/>
      <w:bookmarkStart w:id="378" w:name="_Toc31766"/>
      <w:r>
        <w:rPr>
          <w:rFonts w:hint="eastAsia" w:ascii="宋体" w:hAnsi="宋体"/>
          <w:color w:val="auto"/>
          <w:sz w:val="28"/>
          <w:szCs w:val="28"/>
          <w:highlight w:val="none"/>
        </w:rPr>
        <w:t>7.中选</w:t>
      </w:r>
      <w:bookmarkEnd w:id="375"/>
      <w:bookmarkEnd w:id="376"/>
      <w:bookmarkEnd w:id="377"/>
      <w:bookmarkEnd w:id="378"/>
    </w:p>
    <w:bookmarkEnd w:id="335"/>
    <w:bookmarkEnd w:id="336"/>
    <w:bookmarkEnd w:id="337"/>
    <w:bookmarkEnd w:id="338"/>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379" w:name="_Toc447265257"/>
      <w:bookmarkStart w:id="380" w:name="_Toc17202804"/>
      <w:bookmarkStart w:id="381" w:name="_Toc450489317"/>
      <w:bookmarkStart w:id="382" w:name="_Toc447188705"/>
      <w:bookmarkStart w:id="383" w:name="_Toc17203013"/>
      <w:bookmarkStart w:id="384" w:name="_Toc447265543"/>
      <w:bookmarkStart w:id="385" w:name="_Toc447265259"/>
      <w:bookmarkStart w:id="386" w:name="_Toc447265545"/>
      <w:bookmarkStart w:id="387" w:name="_Toc144974537"/>
      <w:bookmarkStart w:id="388" w:name="_Toc296602459"/>
      <w:bookmarkStart w:id="389" w:name="_Toc152045569"/>
      <w:bookmarkStart w:id="390" w:name="_Toc179632587"/>
      <w:bookmarkStart w:id="391" w:name="_Toc246996213"/>
      <w:bookmarkStart w:id="392" w:name="_Toc246996956"/>
      <w:bookmarkStart w:id="393" w:name="_Toc247085727"/>
      <w:bookmarkStart w:id="394" w:name="_Toc152042345"/>
      <w:bookmarkStart w:id="395" w:name="_Toc226969310"/>
      <w:bookmarkStart w:id="396" w:name="_Toc107822517"/>
      <w:bookmarkStart w:id="397" w:name="_Toc227057916"/>
      <w:r>
        <w:rPr>
          <w:rFonts w:hAnsi="宋体"/>
          <w:b/>
          <w:color w:val="auto"/>
          <w:sz w:val="24"/>
          <w:highlight w:val="none"/>
        </w:rPr>
        <w:t>7.1</w:t>
      </w:r>
      <w:r>
        <w:rPr>
          <w:rFonts w:hint="eastAsia" w:hAnsi="宋体"/>
          <w:b/>
          <w:color w:val="auto"/>
          <w:sz w:val="24"/>
          <w:highlight w:val="none"/>
        </w:rPr>
        <w:t>确定中选人</w:t>
      </w:r>
      <w:bookmarkEnd w:id="379"/>
      <w:bookmarkEnd w:id="380"/>
      <w:bookmarkEnd w:id="381"/>
      <w:bookmarkEnd w:id="382"/>
      <w:bookmarkEnd w:id="383"/>
      <w:bookmarkEnd w:id="384"/>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7.1.1</w:t>
      </w:r>
      <w:r>
        <w:rPr>
          <w:rFonts w:hint="eastAsia" w:hAnsi="宋体"/>
          <w:color w:val="auto"/>
          <w:highlight w:val="none"/>
        </w:rPr>
        <w:t>比选人依据评选委员会推荐的中选候选人确定中选人，中选人数量见参选人须知前附表。</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7.1.2</w:t>
      </w:r>
      <w:r>
        <w:rPr>
          <w:rFonts w:hint="eastAsia" w:hAnsi="宋体"/>
          <w:color w:val="auto"/>
          <w:highlight w:val="none"/>
        </w:rPr>
        <w:t>比选人根据评选委员会推荐的中选候选人名单排序依次确定中选人，具体中选原则见参选人须知前附表。</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7.1.3</w:t>
      </w:r>
      <w:r>
        <w:rPr>
          <w:rFonts w:hint="eastAsia" w:hAnsi="宋体"/>
          <w:color w:val="auto"/>
          <w:highlight w:val="none"/>
        </w:rPr>
        <w:t>在签订合同之前，中选人放弃中选、因不可抗力提出不能履行合同、不按照比选文件要求在规定的时间内提交履约保证金、被查实存在影响中选结果的违法行为等情形，比选人可以按照评选委员会提出的中选候选人名单排序依次确定其他中选候选人为中选人，也可以重新比选。集中比选项目还可以对中选人的中选份额进行调整。具体处理规则见参选人须知前附表。。</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398" w:name="_Toc17203014"/>
      <w:bookmarkStart w:id="399" w:name="_Toc17202805"/>
      <w:bookmarkStart w:id="400" w:name="_Toc152042344"/>
      <w:bookmarkStart w:id="401" w:name="_Toc450489318"/>
      <w:bookmarkStart w:id="402" w:name="_Toc447265258"/>
      <w:bookmarkStart w:id="403" w:name="_Toc246996212"/>
      <w:bookmarkStart w:id="404" w:name="_Toc144974536"/>
      <w:bookmarkStart w:id="405" w:name="_Toc247085726"/>
      <w:bookmarkStart w:id="406" w:name="_Toc179632586"/>
      <w:bookmarkStart w:id="407" w:name="_Toc447265544"/>
      <w:bookmarkStart w:id="408" w:name="_Toc296602458"/>
      <w:bookmarkStart w:id="409" w:name="_Toc246996955"/>
      <w:bookmarkStart w:id="410" w:name="_Toc152045568"/>
      <w:bookmarkStart w:id="411" w:name="OLE_LINK6"/>
      <w:bookmarkStart w:id="412" w:name="OLE_LINK7"/>
      <w:r>
        <w:rPr>
          <w:rFonts w:hAnsi="宋体"/>
          <w:b/>
          <w:color w:val="auto"/>
          <w:sz w:val="24"/>
          <w:highlight w:val="none"/>
        </w:rPr>
        <w:t>7.2中选人公示</w:t>
      </w:r>
      <w:bookmarkEnd w:id="398"/>
      <w:bookmarkEnd w:id="399"/>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7.</w:t>
      </w:r>
      <w:r>
        <w:rPr>
          <w:rFonts w:hint="eastAsia" w:hAnsi="宋体"/>
          <w:color w:val="auto"/>
          <w:highlight w:val="none"/>
        </w:rPr>
        <w:t>2</w:t>
      </w:r>
      <w:r>
        <w:rPr>
          <w:rFonts w:hAnsi="宋体"/>
          <w:color w:val="auto"/>
          <w:highlight w:val="none"/>
        </w:rPr>
        <w:t>.1</w:t>
      </w:r>
      <w:r>
        <w:rPr>
          <w:rFonts w:hint="eastAsia" w:hAnsi="宋体"/>
          <w:color w:val="auto"/>
          <w:highlight w:val="none"/>
        </w:rPr>
        <w:t>采用公开比选方式的，比选人应</w:t>
      </w:r>
      <w:r>
        <w:rPr>
          <w:rFonts w:hAnsi="宋体"/>
          <w:color w:val="auto"/>
          <w:highlight w:val="none"/>
        </w:rPr>
        <w:t>在“资格预审公告”或者“</w:t>
      </w:r>
      <w:r>
        <w:rPr>
          <w:rFonts w:hint="eastAsia" w:hAnsi="宋体"/>
          <w:color w:val="auto"/>
          <w:highlight w:val="none"/>
        </w:rPr>
        <w:t>比选</w:t>
      </w:r>
      <w:r>
        <w:rPr>
          <w:rFonts w:hAnsi="宋体"/>
          <w:color w:val="auto"/>
          <w:highlight w:val="none"/>
        </w:rPr>
        <w:t>公告”发布媒介公示全部</w:t>
      </w:r>
      <w:r>
        <w:rPr>
          <w:rFonts w:hint="eastAsia" w:hAnsi="宋体"/>
          <w:color w:val="auto"/>
          <w:highlight w:val="none"/>
        </w:rPr>
        <w:t>中选人，公示期不少于</w:t>
      </w:r>
      <w:r>
        <w:rPr>
          <w:rFonts w:hAnsi="宋体"/>
          <w:color w:val="auto"/>
          <w:highlight w:val="none"/>
        </w:rPr>
        <w:t>3日。</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7.</w:t>
      </w:r>
      <w:r>
        <w:rPr>
          <w:rFonts w:hint="eastAsia" w:hAnsi="宋体"/>
          <w:color w:val="auto"/>
          <w:highlight w:val="none"/>
        </w:rPr>
        <w:t>2</w:t>
      </w:r>
      <w:r>
        <w:rPr>
          <w:rFonts w:hAnsi="宋体"/>
          <w:color w:val="auto"/>
          <w:highlight w:val="none"/>
        </w:rPr>
        <w:t>.2</w:t>
      </w:r>
      <w:r>
        <w:rPr>
          <w:rFonts w:hint="eastAsia" w:hAnsi="宋体"/>
          <w:color w:val="auto"/>
          <w:highlight w:val="none"/>
        </w:rPr>
        <w:t>参选人或者其他利害关系人对比选项目的评选结果有异议的，应当在中选人公示期间提出。</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413" w:name="_Toc17203015"/>
      <w:bookmarkStart w:id="414" w:name="_Toc17202806"/>
      <w:r>
        <w:rPr>
          <w:rFonts w:hAnsi="宋体"/>
          <w:b/>
          <w:color w:val="auto"/>
          <w:sz w:val="24"/>
          <w:highlight w:val="none"/>
        </w:rPr>
        <w:t>7.3</w:t>
      </w:r>
      <w:r>
        <w:rPr>
          <w:rFonts w:hint="eastAsia" w:hAnsi="宋体"/>
          <w:b/>
          <w:color w:val="auto"/>
          <w:sz w:val="24"/>
          <w:highlight w:val="none"/>
        </w:rPr>
        <w:t>中选通知</w:t>
      </w:r>
      <w:bookmarkEnd w:id="400"/>
      <w:bookmarkEnd w:id="401"/>
      <w:bookmarkEnd w:id="402"/>
      <w:bookmarkEnd w:id="403"/>
      <w:bookmarkEnd w:id="404"/>
      <w:bookmarkEnd w:id="405"/>
      <w:bookmarkEnd w:id="406"/>
      <w:bookmarkEnd w:id="407"/>
      <w:bookmarkEnd w:id="408"/>
      <w:bookmarkEnd w:id="409"/>
      <w:bookmarkEnd w:id="410"/>
      <w:bookmarkEnd w:id="413"/>
      <w:bookmarkEnd w:id="414"/>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7.3.1在中选通知书发出前，中选候选人的经营、财务状况发生较大变化或者存在违法行为，可能影响其履约能力的，参选人应当主动告知比选人。</w:t>
      </w:r>
      <w:bookmarkEnd w:id="411"/>
      <w:bookmarkEnd w:id="412"/>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7.3.2中选人确定后，比选人应当自行或者委托比选代理机构向中选人发出中选通知书，同时通知未中选人。</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7.3.3</w:t>
      </w:r>
      <w:r>
        <w:rPr>
          <w:rFonts w:hint="eastAsia" w:hAnsi="宋体"/>
          <w:color w:val="auto"/>
          <w:highlight w:val="none"/>
        </w:rPr>
        <w:t>中选通知书是比选档案和合同的组成部分。</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7.3.4</w:t>
      </w:r>
      <w:r>
        <w:rPr>
          <w:rFonts w:hint="eastAsia" w:hAnsi="宋体"/>
          <w:color w:val="auto"/>
          <w:highlight w:val="none"/>
        </w:rPr>
        <w:t>中选通知书对比选人和中选人具有法律约束力。中选通知书发出后，比选人改变中选结果或者中选人放弃中选的，应当承担法律责任。</w:t>
      </w:r>
    </w:p>
    <w:p>
      <w:pPr>
        <w:pStyle w:val="35"/>
        <w:tabs>
          <w:tab w:val="left" w:pos="588"/>
        </w:tabs>
        <w:snapToGrid w:val="0"/>
        <w:spacing w:before="120" w:after="120" w:line="440" w:lineRule="exact"/>
        <w:jc w:val="left"/>
        <w:outlineLvl w:val="1"/>
        <w:rPr>
          <w:rFonts w:ascii="宋体" w:hAnsi="宋体"/>
          <w:color w:val="auto"/>
          <w:sz w:val="28"/>
          <w:szCs w:val="28"/>
          <w:highlight w:val="none"/>
        </w:rPr>
      </w:pPr>
      <w:bookmarkStart w:id="415" w:name="_Toc17203544"/>
      <w:bookmarkStart w:id="416" w:name="_Toc17202807"/>
      <w:bookmarkStart w:id="417" w:name="_Toc15240"/>
      <w:bookmarkStart w:id="418" w:name="_Toc17203016"/>
      <w:r>
        <w:rPr>
          <w:rFonts w:hint="eastAsia" w:ascii="宋体" w:hAnsi="宋体"/>
          <w:color w:val="auto"/>
          <w:sz w:val="28"/>
          <w:szCs w:val="28"/>
          <w:highlight w:val="none"/>
        </w:rPr>
        <w:t>8.合同签订</w:t>
      </w:r>
      <w:bookmarkEnd w:id="385"/>
      <w:bookmarkEnd w:id="386"/>
      <w:bookmarkEnd w:id="415"/>
      <w:bookmarkEnd w:id="416"/>
      <w:bookmarkEnd w:id="417"/>
      <w:bookmarkEnd w:id="418"/>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419" w:name="_Toc447265260"/>
      <w:bookmarkStart w:id="420" w:name="_Toc17202808"/>
      <w:bookmarkStart w:id="421" w:name="_Toc447265546"/>
      <w:bookmarkStart w:id="422" w:name="_Toc17203017"/>
      <w:r>
        <w:rPr>
          <w:rFonts w:hAnsi="宋体"/>
          <w:b/>
          <w:color w:val="auto"/>
          <w:sz w:val="24"/>
          <w:highlight w:val="none"/>
        </w:rPr>
        <w:t>8.1</w:t>
      </w:r>
      <w:r>
        <w:rPr>
          <w:rFonts w:hint="eastAsia" w:hAnsi="宋体"/>
          <w:b/>
          <w:color w:val="auto"/>
          <w:sz w:val="24"/>
          <w:highlight w:val="none"/>
        </w:rPr>
        <w:t>履约</w:t>
      </w:r>
      <w:bookmarkEnd w:id="387"/>
      <w:bookmarkEnd w:id="388"/>
      <w:bookmarkEnd w:id="389"/>
      <w:bookmarkEnd w:id="390"/>
      <w:bookmarkEnd w:id="391"/>
      <w:bookmarkEnd w:id="392"/>
      <w:bookmarkEnd w:id="393"/>
      <w:bookmarkEnd w:id="394"/>
      <w:r>
        <w:rPr>
          <w:rFonts w:hint="eastAsia" w:hAnsi="宋体"/>
          <w:b/>
          <w:color w:val="auto"/>
          <w:sz w:val="24"/>
          <w:highlight w:val="none"/>
        </w:rPr>
        <w:t>保证金</w:t>
      </w:r>
      <w:bookmarkEnd w:id="419"/>
      <w:bookmarkEnd w:id="420"/>
      <w:bookmarkEnd w:id="421"/>
      <w:bookmarkEnd w:id="422"/>
    </w:p>
    <w:bookmarkEnd w:id="395"/>
    <w:bookmarkEnd w:id="396"/>
    <w:bookmarkEnd w:id="397"/>
    <w:p>
      <w:pPr>
        <w:pStyle w:val="21"/>
        <w:tabs>
          <w:tab w:val="left" w:pos="0"/>
        </w:tabs>
        <w:snapToGrid w:val="0"/>
        <w:spacing w:line="400" w:lineRule="exact"/>
        <w:ind w:firstLine="424" w:firstLineChars="202"/>
        <w:rPr>
          <w:rFonts w:hAnsi="宋体"/>
          <w:color w:val="auto"/>
          <w:highlight w:val="none"/>
        </w:rPr>
      </w:pPr>
      <w:bookmarkStart w:id="423" w:name="_Toc447265549"/>
      <w:bookmarkStart w:id="424" w:name="_Toc447188707"/>
      <w:bookmarkStart w:id="425" w:name="_Toc107822519"/>
      <w:bookmarkStart w:id="426" w:name="_Toc488655867"/>
      <w:bookmarkStart w:id="427" w:name="_Toc447265263"/>
      <w:bookmarkStart w:id="428" w:name="_Toc227057918"/>
      <w:bookmarkStart w:id="429" w:name="_Toc226969312"/>
      <w:r>
        <w:rPr>
          <w:rFonts w:hint="eastAsia" w:hAnsi="宋体"/>
          <w:color w:val="auto"/>
          <w:highlight w:val="none"/>
        </w:rPr>
        <w:t>8.1.1在签订合同前，中选人应当按照“参选人须知前附表”中规定的履约保证金的金额和形式向比选人递交履约保证金。</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8.1.2</w:t>
      </w:r>
      <w:r>
        <w:rPr>
          <w:rFonts w:hint="eastAsia" w:hAnsi="宋体"/>
          <w:color w:val="auto"/>
          <w:highlight w:val="none"/>
        </w:rPr>
        <w:t>中选人不能按照比选文件要求递交履约担保的，视为放弃中选，其参选保证金不予退还，给比选人造成的损失超过参选保证金数额的，中选人还应当对超过部分予以赔偿。</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430" w:name="_Toc447265261"/>
      <w:bookmarkStart w:id="431" w:name="_Toc17202809"/>
      <w:bookmarkStart w:id="432" w:name="_Toc17203018"/>
      <w:bookmarkStart w:id="433" w:name="_Toc447265547"/>
      <w:bookmarkStart w:id="434" w:name="_Toc450489321"/>
      <w:r>
        <w:rPr>
          <w:rFonts w:hAnsi="宋体"/>
          <w:b/>
          <w:color w:val="auto"/>
          <w:sz w:val="24"/>
          <w:highlight w:val="none"/>
        </w:rPr>
        <w:t>8.2</w:t>
      </w:r>
      <w:r>
        <w:rPr>
          <w:rFonts w:hint="eastAsia" w:hAnsi="宋体"/>
          <w:b/>
          <w:color w:val="auto"/>
          <w:sz w:val="24"/>
          <w:highlight w:val="none"/>
        </w:rPr>
        <w:t>合同签订</w:t>
      </w:r>
      <w:bookmarkEnd w:id="430"/>
      <w:bookmarkEnd w:id="431"/>
      <w:bookmarkEnd w:id="432"/>
      <w:bookmarkEnd w:id="433"/>
      <w:bookmarkEnd w:id="434"/>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8.2.1</w:t>
      </w:r>
      <w:r>
        <w:rPr>
          <w:rFonts w:hint="eastAsia" w:hAnsi="宋体"/>
          <w:color w:val="auto"/>
          <w:highlight w:val="none"/>
        </w:rPr>
        <w:t>比选人和中选人应当在比选有效期内，根据比选文件和中选人的参选文件订立书面合同。比选人和中选人不得订立背离合同实质性内容的其他协议。</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8.2.2中选人无正当理由拒签合同的，比选人取消其中选资格，其参选保证金不予退还；给比选人造成的损失超过参选保证金数额的，中选人还应当对超过部分予以赔偿。</w:t>
      </w:r>
    </w:p>
    <w:p>
      <w:pPr>
        <w:pStyle w:val="35"/>
        <w:tabs>
          <w:tab w:val="left" w:pos="602"/>
        </w:tabs>
        <w:snapToGrid w:val="0"/>
        <w:spacing w:before="120" w:after="120" w:line="440" w:lineRule="exact"/>
        <w:jc w:val="left"/>
        <w:outlineLvl w:val="1"/>
        <w:rPr>
          <w:rFonts w:ascii="宋体" w:hAnsi="宋体"/>
          <w:color w:val="auto"/>
          <w:sz w:val="28"/>
          <w:szCs w:val="28"/>
          <w:highlight w:val="none"/>
        </w:rPr>
      </w:pPr>
      <w:bookmarkStart w:id="435" w:name="_Toc17203545"/>
      <w:bookmarkStart w:id="436" w:name="_Toc7877"/>
      <w:bookmarkStart w:id="437" w:name="_Toc17202810"/>
      <w:bookmarkStart w:id="438" w:name="_Toc17203019"/>
      <w:r>
        <w:rPr>
          <w:rFonts w:hint="eastAsia" w:ascii="宋体" w:hAnsi="宋体"/>
          <w:color w:val="auto"/>
          <w:sz w:val="28"/>
          <w:szCs w:val="28"/>
          <w:highlight w:val="none"/>
        </w:rPr>
        <w:t>9.比选代理服务费</w:t>
      </w:r>
      <w:bookmarkEnd w:id="423"/>
      <w:bookmarkEnd w:id="424"/>
      <w:bookmarkEnd w:id="425"/>
      <w:bookmarkEnd w:id="426"/>
      <w:bookmarkEnd w:id="427"/>
      <w:bookmarkEnd w:id="428"/>
      <w:bookmarkEnd w:id="429"/>
      <w:bookmarkEnd w:id="435"/>
      <w:bookmarkEnd w:id="436"/>
      <w:bookmarkEnd w:id="437"/>
      <w:bookmarkEnd w:id="438"/>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中选人应当按照比选文件规定交纳比选代理服务费，比选人和比选代理机构另有约定的从其约定。比选代理服务费的金额、交纳方式和时限见参选人须知前附表。</w:t>
      </w:r>
    </w:p>
    <w:p>
      <w:pPr>
        <w:pStyle w:val="35"/>
        <w:tabs>
          <w:tab w:val="left" w:pos="602"/>
        </w:tabs>
        <w:snapToGrid w:val="0"/>
        <w:spacing w:before="120" w:after="120" w:line="440" w:lineRule="exact"/>
        <w:jc w:val="left"/>
        <w:outlineLvl w:val="1"/>
        <w:rPr>
          <w:rFonts w:ascii="宋体" w:hAnsi="宋体"/>
          <w:color w:val="auto"/>
          <w:sz w:val="28"/>
          <w:szCs w:val="28"/>
          <w:highlight w:val="none"/>
        </w:rPr>
      </w:pPr>
      <w:bookmarkStart w:id="439" w:name="_Toc447188708"/>
      <w:bookmarkStart w:id="440" w:name="_Toc447265550"/>
      <w:bookmarkStart w:id="441" w:name="_Toc296602461"/>
      <w:bookmarkStart w:id="442" w:name="_Toc17203020"/>
      <w:bookmarkStart w:id="443" w:name="_Toc13255"/>
      <w:bookmarkStart w:id="444" w:name="_Toc17202811"/>
      <w:bookmarkStart w:id="445" w:name="_Toc17203546"/>
      <w:bookmarkStart w:id="446" w:name="_Toc447265264"/>
      <w:r>
        <w:rPr>
          <w:rFonts w:hint="eastAsia" w:ascii="宋体" w:hAnsi="宋体"/>
          <w:color w:val="auto"/>
          <w:sz w:val="28"/>
          <w:szCs w:val="28"/>
          <w:highlight w:val="none"/>
        </w:rPr>
        <w:t>10.纪律和监督</w:t>
      </w:r>
      <w:bookmarkEnd w:id="439"/>
      <w:bookmarkEnd w:id="440"/>
      <w:bookmarkEnd w:id="441"/>
      <w:bookmarkEnd w:id="442"/>
      <w:bookmarkEnd w:id="443"/>
      <w:bookmarkEnd w:id="444"/>
      <w:bookmarkEnd w:id="445"/>
      <w:bookmarkEnd w:id="446"/>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447" w:name="_Toc144974543"/>
      <w:bookmarkStart w:id="448" w:name="_Toc447265551"/>
      <w:bookmarkStart w:id="449" w:name="_Toc296602462"/>
      <w:bookmarkStart w:id="450" w:name="_Toc246996219"/>
      <w:bookmarkStart w:id="451" w:name="_Toc17202812"/>
      <w:bookmarkStart w:id="452" w:name="_Toc447265265"/>
      <w:bookmarkStart w:id="453" w:name="_Toc152042351"/>
      <w:bookmarkStart w:id="454" w:name="_Toc152045575"/>
      <w:bookmarkStart w:id="455" w:name="_Toc247085733"/>
      <w:bookmarkStart w:id="456" w:name="_Toc17203021"/>
      <w:bookmarkStart w:id="457" w:name="_Toc179632593"/>
      <w:bookmarkStart w:id="458" w:name="_Toc296590983"/>
      <w:bookmarkStart w:id="459" w:name="_Toc246996962"/>
      <w:r>
        <w:rPr>
          <w:rFonts w:hAnsi="宋体"/>
          <w:b/>
          <w:color w:val="auto"/>
          <w:sz w:val="24"/>
          <w:highlight w:val="none"/>
        </w:rPr>
        <w:t>10.1</w:t>
      </w:r>
      <w:r>
        <w:rPr>
          <w:rFonts w:hint="eastAsia" w:hAnsi="宋体"/>
          <w:b/>
          <w:color w:val="auto"/>
          <w:sz w:val="24"/>
          <w:highlight w:val="none"/>
        </w:rPr>
        <w:t>对比选人的纪律要求</w:t>
      </w:r>
      <w:bookmarkEnd w:id="447"/>
      <w:bookmarkEnd w:id="448"/>
      <w:bookmarkEnd w:id="449"/>
      <w:bookmarkEnd w:id="450"/>
      <w:bookmarkEnd w:id="451"/>
      <w:bookmarkEnd w:id="452"/>
      <w:bookmarkEnd w:id="453"/>
      <w:bookmarkEnd w:id="454"/>
      <w:bookmarkEnd w:id="455"/>
      <w:bookmarkEnd w:id="456"/>
      <w:bookmarkEnd w:id="457"/>
      <w:bookmarkEnd w:id="458"/>
      <w:bookmarkEnd w:id="459"/>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比选人不得泄漏比选活动中应当保密的情况和资料，不得与参选人串通损害国家利益、社会公共利益或者他人合法权益。</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460" w:name="_Toc152042352"/>
      <w:bookmarkStart w:id="461" w:name="_Toc144974544"/>
      <w:bookmarkStart w:id="462" w:name="_Toc247085734"/>
      <w:bookmarkStart w:id="463" w:name="_Toc152045576"/>
      <w:bookmarkStart w:id="464" w:name="_Toc246996963"/>
      <w:bookmarkStart w:id="465" w:name="_Toc447265266"/>
      <w:bookmarkStart w:id="466" w:name="_Toc17202813"/>
      <w:bookmarkStart w:id="467" w:name="_Toc447265552"/>
      <w:bookmarkStart w:id="468" w:name="_Toc179632594"/>
      <w:bookmarkStart w:id="469" w:name="_Toc246996220"/>
      <w:bookmarkStart w:id="470" w:name="_Toc296602463"/>
      <w:bookmarkStart w:id="471" w:name="_Toc17203022"/>
      <w:r>
        <w:rPr>
          <w:rFonts w:hAnsi="宋体"/>
          <w:b/>
          <w:color w:val="auto"/>
          <w:sz w:val="24"/>
          <w:highlight w:val="none"/>
        </w:rPr>
        <w:t>10.2</w:t>
      </w:r>
      <w:r>
        <w:rPr>
          <w:rFonts w:hint="eastAsia" w:hAnsi="宋体"/>
          <w:b/>
          <w:color w:val="auto"/>
          <w:sz w:val="24"/>
          <w:highlight w:val="none"/>
        </w:rPr>
        <w:t>对参选人的纪律要求</w:t>
      </w:r>
      <w:bookmarkEnd w:id="460"/>
      <w:bookmarkEnd w:id="461"/>
      <w:bookmarkEnd w:id="462"/>
      <w:bookmarkEnd w:id="463"/>
      <w:bookmarkEnd w:id="464"/>
      <w:bookmarkEnd w:id="465"/>
      <w:bookmarkEnd w:id="466"/>
      <w:bookmarkEnd w:id="467"/>
      <w:bookmarkEnd w:id="468"/>
      <w:bookmarkEnd w:id="469"/>
      <w:bookmarkEnd w:id="470"/>
      <w:bookmarkEnd w:id="471"/>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参选人不得相互串通参选或者与比选人串通参选，不得向比选人或者评选委员会成员行贿谋取中选，不得以他人名义参选或者以其他方式弄虚作假骗取中选，参选人不得以任何方式干扰、影响评选工作。</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472" w:name="_Toc17203023"/>
      <w:bookmarkStart w:id="473" w:name="_Toc246996221"/>
      <w:bookmarkStart w:id="474" w:name="_Toc447265267"/>
      <w:bookmarkStart w:id="475" w:name="_Toc247085735"/>
      <w:bookmarkStart w:id="476" w:name="_Toc144974545"/>
      <w:bookmarkStart w:id="477" w:name="_Toc296602464"/>
      <w:bookmarkStart w:id="478" w:name="_Toc152045577"/>
      <w:bookmarkStart w:id="479" w:name="_Toc179632595"/>
      <w:bookmarkStart w:id="480" w:name="_Toc447265553"/>
      <w:bookmarkStart w:id="481" w:name="_Toc17202814"/>
      <w:bookmarkStart w:id="482" w:name="_Toc152042353"/>
      <w:bookmarkStart w:id="483" w:name="_Toc246996964"/>
      <w:r>
        <w:rPr>
          <w:rFonts w:hAnsi="宋体"/>
          <w:b/>
          <w:color w:val="auto"/>
          <w:sz w:val="24"/>
          <w:highlight w:val="none"/>
        </w:rPr>
        <w:t>10.3</w:t>
      </w:r>
      <w:r>
        <w:rPr>
          <w:rFonts w:hint="eastAsia" w:hAnsi="宋体"/>
          <w:b/>
          <w:color w:val="auto"/>
          <w:sz w:val="24"/>
          <w:highlight w:val="none"/>
        </w:rPr>
        <w:t>对评选委员会成员的纪律要求</w:t>
      </w:r>
      <w:bookmarkEnd w:id="472"/>
      <w:bookmarkEnd w:id="473"/>
      <w:bookmarkEnd w:id="474"/>
      <w:bookmarkEnd w:id="475"/>
      <w:bookmarkEnd w:id="476"/>
      <w:bookmarkEnd w:id="477"/>
      <w:bookmarkEnd w:id="478"/>
      <w:bookmarkEnd w:id="479"/>
      <w:bookmarkEnd w:id="480"/>
      <w:bookmarkEnd w:id="481"/>
      <w:bookmarkEnd w:id="482"/>
      <w:bookmarkEnd w:id="483"/>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评选委员会成员不得收受他人的财物或者其他好处，不得向他人透漏对参选文件的评审和比较、中选候选人的推荐情况以及评选有关的其他情况。在评选活动中，评选委员会成员应当客观、公正地履行职责，遵守职业道德，不得擅离职守，影响评选程序正常进行，不得使用第三章“评选办法”没有规定的评审因素和标准进行评选。</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484" w:name="_Toc296602465"/>
      <w:bookmarkStart w:id="485" w:name="_Toc152045578"/>
      <w:bookmarkStart w:id="486" w:name="_Toc179632596"/>
      <w:bookmarkStart w:id="487" w:name="_Toc447265554"/>
      <w:bookmarkStart w:id="488" w:name="_Toc246996965"/>
      <w:bookmarkStart w:id="489" w:name="_Toc17203024"/>
      <w:bookmarkStart w:id="490" w:name="_Toc246996222"/>
      <w:bookmarkStart w:id="491" w:name="_Toc447265268"/>
      <w:bookmarkStart w:id="492" w:name="_Toc152042354"/>
      <w:bookmarkStart w:id="493" w:name="_Toc247085736"/>
      <w:bookmarkStart w:id="494" w:name="_Toc17202815"/>
      <w:bookmarkStart w:id="495" w:name="_Toc144974546"/>
      <w:r>
        <w:rPr>
          <w:rFonts w:hAnsi="宋体"/>
          <w:b/>
          <w:color w:val="auto"/>
          <w:sz w:val="24"/>
          <w:highlight w:val="none"/>
        </w:rPr>
        <w:t>10.4</w:t>
      </w:r>
      <w:r>
        <w:rPr>
          <w:rFonts w:hint="eastAsia" w:hAnsi="宋体"/>
          <w:b/>
          <w:color w:val="auto"/>
          <w:sz w:val="24"/>
          <w:highlight w:val="none"/>
        </w:rPr>
        <w:t>对与评选活动有关的工作人员的纪律要求</w:t>
      </w:r>
      <w:bookmarkEnd w:id="484"/>
      <w:bookmarkEnd w:id="485"/>
      <w:bookmarkEnd w:id="486"/>
      <w:bookmarkEnd w:id="487"/>
      <w:bookmarkEnd w:id="488"/>
      <w:bookmarkEnd w:id="489"/>
      <w:bookmarkEnd w:id="490"/>
      <w:bookmarkEnd w:id="491"/>
      <w:bookmarkEnd w:id="492"/>
      <w:bookmarkEnd w:id="493"/>
      <w:bookmarkEnd w:id="494"/>
    </w:p>
    <w:p>
      <w:pPr>
        <w:pStyle w:val="21"/>
        <w:tabs>
          <w:tab w:val="left" w:pos="0"/>
        </w:tabs>
        <w:snapToGrid w:val="0"/>
        <w:spacing w:line="400" w:lineRule="exact"/>
        <w:ind w:firstLine="424" w:firstLineChars="202"/>
        <w:rPr>
          <w:rFonts w:hAnsi="宋体"/>
          <w:color w:val="auto"/>
          <w:highlight w:val="none"/>
        </w:rPr>
      </w:pPr>
      <w:bookmarkStart w:id="496" w:name="_Toc152042355"/>
      <w:r>
        <w:rPr>
          <w:rFonts w:hint="eastAsia" w:hAnsi="宋体"/>
          <w:color w:val="auto"/>
          <w:highlight w:val="none"/>
        </w:rPr>
        <w:t>与评选活动有关的工作人员不得收受他人的财物或者其他好处，不得向他人透漏对参选文件的评审和比较、中选候选人的推荐情况以及评选有关的其他情况。在评选活动中，与评选活动有关的工作人员不得擅离职守，影响评选程序正常进行。</w:t>
      </w:r>
      <w:bookmarkEnd w:id="496"/>
    </w:p>
    <w:bookmarkEnd w:id="495"/>
    <w:p>
      <w:pPr>
        <w:pStyle w:val="35"/>
        <w:tabs>
          <w:tab w:val="left" w:pos="602"/>
        </w:tabs>
        <w:snapToGrid w:val="0"/>
        <w:spacing w:before="120" w:after="120" w:line="440" w:lineRule="exact"/>
        <w:jc w:val="left"/>
        <w:outlineLvl w:val="1"/>
        <w:rPr>
          <w:rFonts w:ascii="宋体" w:hAnsi="宋体"/>
          <w:color w:val="auto"/>
          <w:sz w:val="28"/>
          <w:szCs w:val="28"/>
          <w:highlight w:val="none"/>
        </w:rPr>
      </w:pPr>
      <w:bookmarkStart w:id="497" w:name="_Toc477190326"/>
      <w:bookmarkEnd w:id="497"/>
      <w:bookmarkStart w:id="498" w:name="_Toc477190328"/>
      <w:bookmarkEnd w:id="498"/>
      <w:bookmarkStart w:id="499" w:name="_Toc477190327"/>
      <w:bookmarkEnd w:id="499"/>
      <w:bookmarkStart w:id="500" w:name="_Toc3651"/>
      <w:bookmarkStart w:id="501" w:name="_Toc17202816"/>
      <w:bookmarkStart w:id="502" w:name="_Toc246996967"/>
      <w:bookmarkStart w:id="503" w:name="_Toc17203025"/>
      <w:bookmarkStart w:id="504" w:name="_Toc296602467"/>
      <w:bookmarkStart w:id="505" w:name="_Toc246996224"/>
      <w:bookmarkStart w:id="506" w:name="_Toc144974547"/>
      <w:bookmarkStart w:id="507" w:name="_Toc447265556"/>
      <w:bookmarkStart w:id="508" w:name="_Toc447265270"/>
      <w:bookmarkStart w:id="509" w:name="_Toc152042357"/>
      <w:bookmarkStart w:id="510" w:name="_Toc447188709"/>
      <w:bookmarkStart w:id="511" w:name="_Toc247085738"/>
      <w:bookmarkStart w:id="512" w:name="_Toc152045580"/>
      <w:bookmarkStart w:id="513" w:name="_Toc17203547"/>
      <w:bookmarkStart w:id="514" w:name="_Toc179632598"/>
      <w:r>
        <w:rPr>
          <w:rFonts w:hint="eastAsia" w:ascii="宋体" w:hAnsi="宋体"/>
          <w:color w:val="auto"/>
          <w:sz w:val="28"/>
          <w:szCs w:val="28"/>
          <w:highlight w:val="none"/>
        </w:rPr>
        <w:t>11.</w:t>
      </w:r>
      <w:r>
        <w:rPr>
          <w:rFonts w:ascii="宋体" w:hAnsi="宋体"/>
          <w:color w:val="auto"/>
          <w:sz w:val="28"/>
          <w:highlight w:val="none"/>
        </w:rPr>
        <w:t xml:space="preserve"> 是否采用</w:t>
      </w:r>
      <w:r>
        <w:rPr>
          <w:rFonts w:hint="eastAsia" w:ascii="宋体" w:hAnsi="宋体"/>
          <w:color w:val="auto"/>
          <w:sz w:val="28"/>
          <w:highlight w:val="none"/>
        </w:rPr>
        <w:t>电子比选参选</w:t>
      </w:r>
      <w:bookmarkEnd w:id="500"/>
    </w:p>
    <w:p>
      <w:pPr>
        <w:pStyle w:val="35"/>
        <w:tabs>
          <w:tab w:val="left" w:pos="602"/>
        </w:tabs>
        <w:snapToGrid w:val="0"/>
        <w:spacing w:before="120" w:after="120" w:line="440" w:lineRule="exact"/>
        <w:ind w:firstLine="420" w:firstLineChars="200"/>
        <w:jc w:val="left"/>
        <w:outlineLvl w:val="1"/>
        <w:rPr>
          <w:rFonts w:ascii="宋体" w:hAnsi="宋体"/>
          <w:b w:val="0"/>
          <w:bCs w:val="0"/>
          <w:color w:val="auto"/>
          <w:sz w:val="21"/>
          <w:szCs w:val="20"/>
          <w:highlight w:val="none"/>
        </w:rPr>
      </w:pPr>
      <w:bookmarkStart w:id="515" w:name="_Toc28981"/>
      <w:r>
        <w:rPr>
          <w:rFonts w:hint="eastAsia" w:ascii="宋体" w:hAnsi="宋体"/>
          <w:b w:val="0"/>
          <w:bCs w:val="0"/>
          <w:color w:val="auto"/>
          <w:sz w:val="21"/>
          <w:szCs w:val="20"/>
          <w:highlight w:val="none"/>
        </w:rPr>
        <w:t>本比选项目是否采用电子比选参选方式，见比选人须知前附表</w:t>
      </w:r>
      <w:bookmarkEnd w:id="515"/>
    </w:p>
    <w:p>
      <w:pPr>
        <w:pStyle w:val="35"/>
        <w:tabs>
          <w:tab w:val="left" w:pos="602"/>
        </w:tabs>
        <w:snapToGrid w:val="0"/>
        <w:spacing w:before="120" w:after="120" w:line="440" w:lineRule="exact"/>
        <w:jc w:val="left"/>
        <w:outlineLvl w:val="1"/>
        <w:rPr>
          <w:rFonts w:ascii="宋体" w:hAnsi="宋体"/>
          <w:color w:val="auto"/>
          <w:sz w:val="28"/>
          <w:szCs w:val="28"/>
          <w:highlight w:val="none"/>
        </w:rPr>
      </w:pPr>
      <w:bookmarkStart w:id="516" w:name="_Toc29787"/>
      <w:r>
        <w:rPr>
          <w:rFonts w:hint="eastAsia" w:ascii="宋体" w:hAnsi="宋体"/>
          <w:color w:val="auto"/>
          <w:sz w:val="28"/>
          <w:szCs w:val="28"/>
          <w:highlight w:val="none"/>
        </w:rPr>
        <w:t>12.需要补充的其他内容</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6"/>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需要补充的其他内容：见参选人须知前附表。</w:t>
      </w:r>
    </w:p>
    <w:p>
      <w:pPr>
        <w:spacing w:before="156" w:beforeLines="50" w:after="156" w:afterLines="50" w:line="400" w:lineRule="exact"/>
        <w:rPr>
          <w:rFonts w:ascii="Arial" w:hAnsi="Arial" w:eastAsia="黑体" w:cs="Arial"/>
          <w:b/>
          <w:color w:val="auto"/>
          <w:sz w:val="32"/>
          <w:szCs w:val="32"/>
          <w:highlight w:val="none"/>
        </w:rPr>
        <w:sectPr>
          <w:pgSz w:w="11906" w:h="16838"/>
          <w:pgMar w:top="1440" w:right="1800" w:bottom="1440" w:left="1800" w:header="851" w:footer="992" w:gutter="0"/>
          <w:cols w:space="425" w:num="1"/>
          <w:docGrid w:type="lines" w:linePitch="312" w:charSpace="0"/>
        </w:sectPr>
      </w:pPr>
      <w:bookmarkStart w:id="517" w:name="_Toc327739994"/>
      <w:bookmarkStart w:id="518" w:name="_Toc327827316"/>
    </w:p>
    <w:p>
      <w:pPr>
        <w:spacing w:before="156" w:beforeLines="50" w:after="156" w:afterLines="50" w:line="400" w:lineRule="exact"/>
        <w:rPr>
          <w:rFonts w:ascii="Arial" w:hAnsi="Arial" w:eastAsia="黑体" w:cs="Arial"/>
          <w:b/>
          <w:color w:val="auto"/>
          <w:sz w:val="32"/>
          <w:szCs w:val="32"/>
          <w:highlight w:val="none"/>
        </w:rPr>
      </w:pPr>
      <w:r>
        <w:rPr>
          <w:rFonts w:hint="eastAsia" w:ascii="Arial" w:hAnsi="Arial" w:eastAsia="黑体" w:cs="Arial"/>
          <w:b/>
          <w:color w:val="auto"/>
          <w:sz w:val="32"/>
          <w:szCs w:val="32"/>
          <w:highlight w:val="none"/>
        </w:rPr>
        <w:t>附录：</w:t>
      </w:r>
      <w:bookmarkEnd w:id="517"/>
      <w:bookmarkEnd w:id="518"/>
      <w:r>
        <w:rPr>
          <w:rFonts w:hint="eastAsia" w:ascii="Arial" w:hAnsi="Arial" w:eastAsia="黑体" w:cs="Arial"/>
          <w:b/>
          <w:color w:val="auto"/>
          <w:sz w:val="32"/>
          <w:szCs w:val="32"/>
          <w:highlight w:val="none"/>
        </w:rPr>
        <w:t>比选代理服务费的计算方式及价格</w:t>
      </w:r>
    </w:p>
    <w:p>
      <w:pPr>
        <w:rPr>
          <w:color w:val="auto"/>
          <w:highlight w:val="none"/>
        </w:rPr>
      </w:pPr>
      <w:r>
        <w:rPr>
          <w:rFonts w:hint="eastAsia"/>
          <w:color w:val="auto"/>
          <w:highlight w:val="none"/>
        </w:rPr>
        <w:t>一、比选代理服务费收费依据：</w:t>
      </w:r>
    </w:p>
    <w:p>
      <w:pPr>
        <w:ind w:firstLine="424" w:firstLineChars="202"/>
        <w:rPr>
          <w:color w:val="auto"/>
          <w:highlight w:val="none"/>
        </w:rPr>
      </w:pPr>
      <w:r>
        <w:rPr>
          <w:rFonts w:hint="eastAsia"/>
          <w:color w:val="auto"/>
          <w:highlight w:val="none"/>
        </w:rPr>
        <w:t>比选代理服务费收费基准如下：</w:t>
      </w:r>
    </w:p>
    <w:tbl>
      <w:tblPr>
        <w:tblStyle w:val="37"/>
        <w:tblW w:w="847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95"/>
        <w:gridCol w:w="1923"/>
        <w:gridCol w:w="1912"/>
        <w:gridCol w:w="17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7" w:hRule="atLeast"/>
        </w:trPr>
        <w:tc>
          <w:tcPr>
            <w:tcW w:w="2895" w:type="dxa"/>
            <w:shd w:val="clear" w:color="auto" w:fill="auto"/>
          </w:tcPr>
          <w:p>
            <w:pPr>
              <w:rPr>
                <w:color w:val="auto"/>
                <w:szCs w:val="21"/>
                <w:highlight w:val="none"/>
              </w:rPr>
            </w:pPr>
            <w:r>
              <w:rPr>
                <w:color w:val="auto"/>
                <w:szCs w:val="22"/>
                <w:highlight w:val="none"/>
              </w:rPr>
              <w:pict>
                <v:line id="直接连接符 2" o:spid="_x0000_s1032" o:spt="20" style="position:absolute;left:0pt;margin-left:-5.4pt;margin-top:-0.5pt;height:52.3pt;width:144pt;z-index:251664384;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">
                  <v:path arrowok="t"/>
                  <v:fill focussize="0,0"/>
                  <v:stroke/>
                  <v:imagedata o:title=""/>
                  <o:lock v:ext="edit"/>
                </v:line>
              </w:pict>
            </w:r>
            <w:r>
              <w:rPr>
                <w:rFonts w:hint="eastAsia"/>
                <w:color w:val="auto"/>
                <w:szCs w:val="21"/>
                <w:highlight w:val="none"/>
              </w:rPr>
              <w:t xml:space="preserve">               </w:t>
            </w:r>
          </w:p>
          <w:p>
            <w:pPr>
              <w:ind w:firstLine="2100" w:firstLineChars="1000"/>
              <w:rPr>
                <w:color w:val="auto"/>
                <w:szCs w:val="21"/>
                <w:highlight w:val="none"/>
              </w:rPr>
            </w:pPr>
            <w:r>
              <w:rPr>
                <w:rFonts w:hint="eastAsia"/>
                <w:color w:val="auto"/>
                <w:szCs w:val="21"/>
                <w:highlight w:val="none"/>
              </w:rPr>
              <w:t>费率</w:t>
            </w:r>
          </w:p>
          <w:p>
            <w:pPr>
              <w:rPr>
                <w:color w:val="auto"/>
                <w:szCs w:val="21"/>
                <w:highlight w:val="none"/>
              </w:rPr>
            </w:pPr>
            <w:r>
              <w:rPr>
                <w:rFonts w:hint="eastAsia"/>
                <w:color w:val="auto"/>
                <w:szCs w:val="21"/>
                <w:highlight w:val="none"/>
              </w:rPr>
              <w:t>中选金额</w:t>
            </w:r>
          </w:p>
        </w:tc>
        <w:tc>
          <w:tcPr>
            <w:tcW w:w="1923" w:type="dxa"/>
            <w:shd w:val="clear" w:color="auto" w:fill="auto"/>
            <w:vAlign w:val="center"/>
          </w:tcPr>
          <w:p>
            <w:pPr>
              <w:ind w:firstLine="105" w:firstLineChars="50"/>
              <w:jc w:val="center"/>
              <w:rPr>
                <w:color w:val="auto"/>
                <w:szCs w:val="21"/>
                <w:highlight w:val="none"/>
              </w:rPr>
            </w:pPr>
            <w:r>
              <w:rPr>
                <w:rFonts w:hint="eastAsia"/>
                <w:color w:val="auto"/>
                <w:szCs w:val="21"/>
                <w:highlight w:val="none"/>
              </w:rPr>
              <w:t>货物比选</w:t>
            </w:r>
          </w:p>
        </w:tc>
        <w:tc>
          <w:tcPr>
            <w:tcW w:w="1912" w:type="dxa"/>
            <w:shd w:val="clear" w:color="auto" w:fill="auto"/>
            <w:vAlign w:val="center"/>
          </w:tcPr>
          <w:p>
            <w:pPr>
              <w:jc w:val="center"/>
              <w:rPr>
                <w:color w:val="auto"/>
                <w:szCs w:val="21"/>
                <w:highlight w:val="none"/>
              </w:rPr>
            </w:pPr>
            <w:r>
              <w:rPr>
                <w:rFonts w:hint="eastAsia"/>
                <w:color w:val="auto"/>
                <w:szCs w:val="21"/>
                <w:highlight w:val="none"/>
              </w:rPr>
              <w:t>服务比选</w:t>
            </w:r>
          </w:p>
        </w:tc>
        <w:tc>
          <w:tcPr>
            <w:tcW w:w="1747" w:type="dxa"/>
            <w:shd w:val="clear" w:color="auto" w:fill="auto"/>
            <w:vAlign w:val="center"/>
          </w:tcPr>
          <w:p>
            <w:pPr>
              <w:jc w:val="center"/>
              <w:rPr>
                <w:color w:val="auto"/>
                <w:szCs w:val="21"/>
                <w:highlight w:val="none"/>
              </w:rPr>
            </w:pPr>
            <w:r>
              <w:rPr>
                <w:rFonts w:hint="eastAsia"/>
                <w:color w:val="auto"/>
                <w:szCs w:val="21"/>
                <w:highlight w:val="none"/>
              </w:rPr>
              <w:t>工程比选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shd w:val="clear" w:color="auto" w:fill="auto"/>
            <w:vAlign w:val="center"/>
          </w:tcPr>
          <w:p>
            <w:pPr>
              <w:jc w:val="center"/>
              <w:rPr>
                <w:color w:val="auto"/>
                <w:szCs w:val="21"/>
                <w:highlight w:val="none"/>
              </w:rPr>
            </w:pPr>
            <w:r>
              <w:rPr>
                <w:rFonts w:hint="eastAsia"/>
                <w:color w:val="auto"/>
                <w:szCs w:val="21"/>
                <w:highlight w:val="none"/>
              </w:rPr>
              <w:t>100万元以下</w:t>
            </w:r>
          </w:p>
        </w:tc>
        <w:tc>
          <w:tcPr>
            <w:tcW w:w="1923"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1.5%</w:t>
            </w:r>
          </w:p>
        </w:tc>
        <w:tc>
          <w:tcPr>
            <w:tcW w:w="1912"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1.5%</w:t>
            </w:r>
          </w:p>
        </w:tc>
        <w:tc>
          <w:tcPr>
            <w:tcW w:w="1747"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shd w:val="clear" w:color="auto" w:fill="auto"/>
            <w:vAlign w:val="center"/>
          </w:tcPr>
          <w:p>
            <w:pPr>
              <w:jc w:val="center"/>
              <w:rPr>
                <w:color w:val="auto"/>
                <w:szCs w:val="21"/>
                <w:highlight w:val="none"/>
              </w:rPr>
            </w:pPr>
            <w:r>
              <w:rPr>
                <w:rFonts w:hint="eastAsia"/>
                <w:color w:val="auto"/>
                <w:szCs w:val="21"/>
                <w:highlight w:val="none"/>
              </w:rPr>
              <w:t>10</w:t>
            </w:r>
            <w:r>
              <w:rPr>
                <w:rFonts w:hint="eastAsia" w:ascii="宋体" w:hAnsi="宋体"/>
                <w:color w:val="auto"/>
                <w:szCs w:val="21"/>
                <w:highlight w:val="none"/>
              </w:rPr>
              <w:t>0～</w:t>
            </w:r>
            <w:r>
              <w:rPr>
                <w:rFonts w:hint="eastAsia"/>
                <w:color w:val="auto"/>
                <w:szCs w:val="21"/>
                <w:highlight w:val="none"/>
              </w:rPr>
              <w:t>500万元</w:t>
            </w:r>
          </w:p>
        </w:tc>
        <w:tc>
          <w:tcPr>
            <w:tcW w:w="1923"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1.1%</w:t>
            </w:r>
          </w:p>
        </w:tc>
        <w:tc>
          <w:tcPr>
            <w:tcW w:w="1912"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0.8%</w:t>
            </w:r>
          </w:p>
        </w:tc>
        <w:tc>
          <w:tcPr>
            <w:tcW w:w="1747"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shd w:val="clear" w:color="auto" w:fill="auto"/>
            <w:vAlign w:val="center"/>
          </w:tcPr>
          <w:p>
            <w:pPr>
              <w:jc w:val="center"/>
              <w:rPr>
                <w:color w:val="auto"/>
                <w:szCs w:val="21"/>
                <w:highlight w:val="none"/>
              </w:rPr>
            </w:pPr>
            <w:r>
              <w:rPr>
                <w:rFonts w:hint="eastAsia"/>
                <w:color w:val="auto"/>
                <w:szCs w:val="21"/>
                <w:highlight w:val="none"/>
              </w:rPr>
              <w:t>50</w:t>
            </w:r>
            <w:r>
              <w:rPr>
                <w:rFonts w:hint="eastAsia" w:ascii="宋体" w:hAnsi="宋体"/>
                <w:color w:val="auto"/>
                <w:szCs w:val="21"/>
                <w:highlight w:val="none"/>
              </w:rPr>
              <w:t>0～</w:t>
            </w:r>
            <w:r>
              <w:rPr>
                <w:rFonts w:hint="eastAsia"/>
                <w:color w:val="auto"/>
                <w:szCs w:val="21"/>
                <w:highlight w:val="none"/>
              </w:rPr>
              <w:t>1000万元</w:t>
            </w:r>
          </w:p>
        </w:tc>
        <w:tc>
          <w:tcPr>
            <w:tcW w:w="1923"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0.8%</w:t>
            </w:r>
          </w:p>
        </w:tc>
        <w:tc>
          <w:tcPr>
            <w:tcW w:w="1912"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0.45%</w:t>
            </w:r>
          </w:p>
        </w:tc>
        <w:tc>
          <w:tcPr>
            <w:tcW w:w="1747"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shd w:val="clear" w:color="auto" w:fill="auto"/>
            <w:vAlign w:val="center"/>
          </w:tcPr>
          <w:p>
            <w:pPr>
              <w:jc w:val="center"/>
              <w:rPr>
                <w:color w:val="auto"/>
                <w:szCs w:val="21"/>
                <w:highlight w:val="none"/>
              </w:rPr>
            </w:pPr>
            <w:r>
              <w:rPr>
                <w:rFonts w:hint="eastAsia"/>
                <w:color w:val="auto"/>
                <w:szCs w:val="21"/>
                <w:highlight w:val="none"/>
              </w:rPr>
              <w:t>100</w:t>
            </w:r>
            <w:r>
              <w:rPr>
                <w:rFonts w:hint="eastAsia" w:ascii="宋体" w:hAnsi="宋体"/>
                <w:color w:val="auto"/>
                <w:szCs w:val="21"/>
                <w:highlight w:val="none"/>
              </w:rPr>
              <w:t>0～</w:t>
            </w:r>
            <w:r>
              <w:rPr>
                <w:rFonts w:hint="eastAsia"/>
                <w:color w:val="auto"/>
                <w:szCs w:val="21"/>
                <w:highlight w:val="none"/>
              </w:rPr>
              <w:t>5000万元</w:t>
            </w:r>
          </w:p>
        </w:tc>
        <w:tc>
          <w:tcPr>
            <w:tcW w:w="1923"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0.5%</w:t>
            </w:r>
          </w:p>
        </w:tc>
        <w:tc>
          <w:tcPr>
            <w:tcW w:w="1912"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0.25%</w:t>
            </w:r>
          </w:p>
        </w:tc>
        <w:tc>
          <w:tcPr>
            <w:tcW w:w="1747"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shd w:val="clear" w:color="auto" w:fill="auto"/>
            <w:vAlign w:val="center"/>
          </w:tcPr>
          <w:p>
            <w:pPr>
              <w:jc w:val="center"/>
              <w:rPr>
                <w:color w:val="auto"/>
                <w:szCs w:val="21"/>
                <w:highlight w:val="none"/>
              </w:rPr>
            </w:pPr>
            <w:r>
              <w:rPr>
                <w:rFonts w:hint="eastAsia"/>
                <w:color w:val="auto"/>
                <w:szCs w:val="21"/>
                <w:highlight w:val="none"/>
              </w:rPr>
              <w:t>5000万</w:t>
            </w:r>
            <w:r>
              <w:rPr>
                <w:rFonts w:hint="eastAsia" w:ascii="宋体" w:hAnsi="宋体"/>
                <w:color w:val="auto"/>
                <w:szCs w:val="21"/>
                <w:highlight w:val="none"/>
              </w:rPr>
              <w:t>元～</w:t>
            </w:r>
            <w:r>
              <w:rPr>
                <w:rFonts w:hint="eastAsia"/>
                <w:color w:val="auto"/>
                <w:szCs w:val="21"/>
                <w:highlight w:val="none"/>
              </w:rPr>
              <w:t>1亿元</w:t>
            </w:r>
          </w:p>
        </w:tc>
        <w:tc>
          <w:tcPr>
            <w:tcW w:w="1923"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0.25%</w:t>
            </w:r>
          </w:p>
        </w:tc>
        <w:tc>
          <w:tcPr>
            <w:tcW w:w="1912"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0.1%</w:t>
            </w:r>
          </w:p>
        </w:tc>
        <w:tc>
          <w:tcPr>
            <w:tcW w:w="1747"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ascii="宋体" w:hAnsi="宋体" w:cs="宋体"/>
                <w:color w:val="auto"/>
                <w:kern w:val="0"/>
                <w:szCs w:val="21"/>
                <w:highlight w:val="none"/>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shd w:val="clear" w:color="auto" w:fill="auto"/>
            <w:vAlign w:val="center"/>
          </w:tcPr>
          <w:p>
            <w:pPr>
              <w:jc w:val="center"/>
              <w:rPr>
                <w:color w:val="auto"/>
                <w:szCs w:val="21"/>
                <w:highlight w:val="none"/>
              </w:rPr>
            </w:pPr>
            <w:r>
              <w:rPr>
                <w:rFonts w:hint="eastAsia" w:ascii="宋体" w:hAnsi="宋体"/>
                <w:color w:val="auto"/>
                <w:szCs w:val="21"/>
                <w:highlight w:val="none"/>
              </w:rPr>
              <w:t>1～</w:t>
            </w:r>
            <w:r>
              <w:rPr>
                <w:rFonts w:hint="eastAsia"/>
                <w:color w:val="auto"/>
                <w:szCs w:val="21"/>
                <w:highlight w:val="none"/>
              </w:rPr>
              <w:t>5亿元</w:t>
            </w:r>
          </w:p>
        </w:tc>
        <w:tc>
          <w:tcPr>
            <w:tcW w:w="1923"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0.05%</w:t>
            </w:r>
          </w:p>
        </w:tc>
        <w:tc>
          <w:tcPr>
            <w:tcW w:w="1912"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0.05%</w:t>
            </w:r>
          </w:p>
        </w:tc>
        <w:tc>
          <w:tcPr>
            <w:tcW w:w="1747"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shd w:val="clear" w:color="auto" w:fill="auto"/>
            <w:vAlign w:val="center"/>
          </w:tcPr>
          <w:p>
            <w:pPr>
              <w:jc w:val="center"/>
              <w:rPr>
                <w:color w:val="auto"/>
                <w:szCs w:val="21"/>
                <w:highlight w:val="none"/>
              </w:rPr>
            </w:pPr>
            <w:r>
              <w:rPr>
                <w:rFonts w:hint="eastAsia" w:ascii="宋体" w:hAnsi="宋体"/>
                <w:color w:val="auto"/>
                <w:szCs w:val="21"/>
                <w:highlight w:val="none"/>
              </w:rPr>
              <w:t>5～</w:t>
            </w:r>
            <w:r>
              <w:rPr>
                <w:rFonts w:hint="eastAsia"/>
                <w:color w:val="auto"/>
                <w:szCs w:val="21"/>
                <w:highlight w:val="none"/>
              </w:rPr>
              <w:t>10亿元</w:t>
            </w:r>
          </w:p>
        </w:tc>
        <w:tc>
          <w:tcPr>
            <w:tcW w:w="1923"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0.035%</w:t>
            </w:r>
          </w:p>
        </w:tc>
        <w:tc>
          <w:tcPr>
            <w:tcW w:w="1912"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0.035%</w:t>
            </w:r>
          </w:p>
        </w:tc>
        <w:tc>
          <w:tcPr>
            <w:tcW w:w="1747"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shd w:val="clear" w:color="auto" w:fill="auto"/>
            <w:vAlign w:val="center"/>
          </w:tcPr>
          <w:p>
            <w:pPr>
              <w:jc w:val="center"/>
              <w:rPr>
                <w:color w:val="auto"/>
                <w:szCs w:val="21"/>
                <w:highlight w:val="none"/>
              </w:rPr>
            </w:pPr>
            <w:r>
              <w:rPr>
                <w:rFonts w:hint="eastAsia"/>
                <w:color w:val="auto"/>
                <w:szCs w:val="21"/>
                <w:highlight w:val="none"/>
              </w:rPr>
              <w:t>1</w:t>
            </w:r>
            <w:r>
              <w:rPr>
                <w:rFonts w:hint="eastAsia" w:ascii="宋体" w:hAnsi="宋体"/>
                <w:color w:val="auto"/>
                <w:szCs w:val="21"/>
                <w:highlight w:val="none"/>
              </w:rPr>
              <w:t>0～</w:t>
            </w:r>
            <w:r>
              <w:rPr>
                <w:rFonts w:hint="eastAsia"/>
                <w:color w:val="auto"/>
                <w:szCs w:val="21"/>
                <w:highlight w:val="none"/>
              </w:rPr>
              <w:t>50亿元</w:t>
            </w:r>
          </w:p>
        </w:tc>
        <w:tc>
          <w:tcPr>
            <w:tcW w:w="1923"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0.008%</w:t>
            </w:r>
          </w:p>
        </w:tc>
        <w:tc>
          <w:tcPr>
            <w:tcW w:w="1912"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0.008%</w:t>
            </w:r>
          </w:p>
        </w:tc>
        <w:tc>
          <w:tcPr>
            <w:tcW w:w="1747"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shd w:val="clear" w:color="auto" w:fill="auto"/>
            <w:vAlign w:val="center"/>
          </w:tcPr>
          <w:p>
            <w:pPr>
              <w:jc w:val="center"/>
              <w:rPr>
                <w:color w:val="auto"/>
                <w:szCs w:val="21"/>
                <w:highlight w:val="none"/>
              </w:rPr>
            </w:pPr>
            <w:r>
              <w:rPr>
                <w:rFonts w:hint="eastAsia"/>
                <w:color w:val="auto"/>
                <w:szCs w:val="21"/>
                <w:highlight w:val="none"/>
              </w:rPr>
              <w:t>5</w:t>
            </w:r>
            <w:r>
              <w:rPr>
                <w:rFonts w:hint="eastAsia" w:ascii="宋体" w:hAnsi="宋体"/>
                <w:color w:val="auto"/>
                <w:szCs w:val="21"/>
                <w:highlight w:val="none"/>
              </w:rPr>
              <w:t>0～</w:t>
            </w:r>
            <w:r>
              <w:rPr>
                <w:rFonts w:hint="eastAsia"/>
                <w:color w:val="auto"/>
                <w:szCs w:val="21"/>
                <w:highlight w:val="none"/>
              </w:rPr>
              <w:t>100亿元</w:t>
            </w:r>
          </w:p>
        </w:tc>
        <w:tc>
          <w:tcPr>
            <w:tcW w:w="1923"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0.006%</w:t>
            </w:r>
          </w:p>
        </w:tc>
        <w:tc>
          <w:tcPr>
            <w:tcW w:w="1912"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0.006%</w:t>
            </w:r>
          </w:p>
        </w:tc>
        <w:tc>
          <w:tcPr>
            <w:tcW w:w="1747"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shd w:val="clear" w:color="auto" w:fill="auto"/>
            <w:vAlign w:val="center"/>
          </w:tcPr>
          <w:p>
            <w:pPr>
              <w:jc w:val="center"/>
              <w:rPr>
                <w:color w:val="auto"/>
                <w:szCs w:val="21"/>
                <w:highlight w:val="none"/>
              </w:rPr>
            </w:pPr>
            <w:r>
              <w:rPr>
                <w:rFonts w:hint="eastAsia"/>
                <w:color w:val="auto"/>
                <w:szCs w:val="21"/>
                <w:highlight w:val="none"/>
              </w:rPr>
              <w:t>100亿以上</w:t>
            </w:r>
          </w:p>
        </w:tc>
        <w:tc>
          <w:tcPr>
            <w:tcW w:w="1923"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0.004%</w:t>
            </w:r>
          </w:p>
        </w:tc>
        <w:tc>
          <w:tcPr>
            <w:tcW w:w="1912"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0.004%</w:t>
            </w:r>
          </w:p>
        </w:tc>
        <w:tc>
          <w:tcPr>
            <w:tcW w:w="1747" w:type="dxa"/>
            <w:shd w:val="clear" w:color="auto" w:fill="auto"/>
            <w:vAlign w:val="center"/>
          </w:tcPr>
          <w:p>
            <w:pPr>
              <w:ind w:left="-25" w:leftChars="-12" w:right="-109" w:rightChars="-52"/>
              <w:jc w:val="center"/>
              <w:rPr>
                <w:rFonts w:ascii="宋体" w:hAnsi="宋体" w:cs="宋体"/>
                <w:color w:val="auto"/>
                <w:kern w:val="0"/>
                <w:szCs w:val="21"/>
                <w:highlight w:val="none"/>
              </w:rPr>
            </w:pPr>
            <w:r>
              <w:rPr>
                <w:rFonts w:hint="eastAsia" w:ascii="宋体" w:hAnsi="宋体" w:cs="宋体"/>
                <w:color w:val="auto"/>
                <w:kern w:val="0"/>
                <w:szCs w:val="21"/>
                <w:highlight w:val="none"/>
              </w:rPr>
              <w:t>0.004%</w:t>
            </w:r>
          </w:p>
        </w:tc>
      </w:tr>
    </w:tbl>
    <w:p>
      <w:pPr>
        <w:ind w:firstLine="424" w:firstLineChars="202"/>
        <w:rPr>
          <w:color w:val="auto"/>
          <w:highlight w:val="none"/>
        </w:rPr>
      </w:pPr>
      <w:r>
        <w:rPr>
          <w:rFonts w:hint="eastAsia"/>
          <w:color w:val="auto"/>
          <w:highlight w:val="none"/>
        </w:rPr>
        <w:t>注：</w:t>
      </w:r>
    </w:p>
    <w:p>
      <w:pPr>
        <w:ind w:firstLine="424" w:firstLineChars="202"/>
        <w:rPr>
          <w:color w:val="auto"/>
          <w:highlight w:val="none"/>
        </w:rPr>
      </w:pPr>
      <w:r>
        <w:rPr>
          <w:rFonts w:hint="eastAsia"/>
          <w:color w:val="auto"/>
          <w:highlight w:val="none"/>
        </w:rPr>
        <w:t>1.按本表费率计算的收费为比选代理服务全过程的收费基准价格，单独提供编制比选文件（有标底的含标底）服务的，可按规定标准的30%计收。</w:t>
      </w:r>
    </w:p>
    <w:p>
      <w:pPr>
        <w:ind w:firstLine="424" w:firstLineChars="202"/>
        <w:rPr>
          <w:color w:val="auto"/>
          <w:highlight w:val="none"/>
        </w:rPr>
      </w:pPr>
      <w:r>
        <w:rPr>
          <w:rFonts w:hint="eastAsia"/>
          <w:color w:val="auto"/>
          <w:highlight w:val="none"/>
        </w:rPr>
        <w:t>2.比选代理服务收费按差额定率累进法计算。例如：某工程比选代理业务中选金额为6000万元，计算比选代理服务收费额如下：</w:t>
      </w:r>
    </w:p>
    <w:p>
      <w:pPr>
        <w:ind w:firstLine="424" w:firstLineChars="202"/>
        <w:rPr>
          <w:color w:val="auto"/>
          <w:highlight w:val="none"/>
        </w:rPr>
      </w:pPr>
      <w:r>
        <w:rPr>
          <w:rFonts w:hint="eastAsia"/>
          <w:color w:val="auto"/>
          <w:highlight w:val="none"/>
        </w:rPr>
        <w:t>100万元×1.0％=1万元</w:t>
      </w:r>
    </w:p>
    <w:p>
      <w:pPr>
        <w:ind w:firstLine="424" w:firstLineChars="202"/>
        <w:rPr>
          <w:color w:val="auto"/>
          <w:highlight w:val="none"/>
        </w:rPr>
      </w:pPr>
      <w:r>
        <w:rPr>
          <w:rFonts w:hint="eastAsia"/>
          <w:color w:val="auto"/>
          <w:highlight w:val="none"/>
        </w:rPr>
        <w:t>（500-100）万元×0.7％ = 2.8万元</w:t>
      </w:r>
    </w:p>
    <w:p>
      <w:pPr>
        <w:ind w:firstLine="424" w:firstLineChars="202"/>
        <w:rPr>
          <w:color w:val="auto"/>
          <w:highlight w:val="none"/>
        </w:rPr>
      </w:pPr>
      <w:r>
        <w:rPr>
          <w:rFonts w:hint="eastAsia"/>
          <w:color w:val="auto"/>
          <w:highlight w:val="none"/>
        </w:rPr>
        <w:t>（1000-500）万元×0.55％ = 2.75万元</w:t>
      </w:r>
    </w:p>
    <w:p>
      <w:pPr>
        <w:ind w:firstLine="424" w:firstLineChars="202"/>
        <w:rPr>
          <w:color w:val="auto"/>
          <w:highlight w:val="none"/>
        </w:rPr>
      </w:pPr>
      <w:r>
        <w:rPr>
          <w:rFonts w:hint="eastAsia"/>
          <w:color w:val="auto"/>
          <w:highlight w:val="none"/>
        </w:rPr>
        <w:t>（5000-1000）万元×0.35％ = 14万元</w:t>
      </w:r>
    </w:p>
    <w:p>
      <w:pPr>
        <w:ind w:firstLine="424" w:firstLineChars="202"/>
        <w:rPr>
          <w:color w:val="auto"/>
          <w:highlight w:val="none"/>
        </w:rPr>
      </w:pPr>
      <w:r>
        <w:rPr>
          <w:rFonts w:hint="eastAsia"/>
          <w:color w:val="auto"/>
          <w:highlight w:val="none"/>
        </w:rPr>
        <w:t>（6000-5000）万元×0.2％ = 2万元</w:t>
      </w:r>
    </w:p>
    <w:p>
      <w:pPr>
        <w:ind w:firstLine="424" w:firstLineChars="202"/>
        <w:rPr>
          <w:color w:val="auto"/>
          <w:highlight w:val="none"/>
        </w:rPr>
      </w:pPr>
      <w:r>
        <w:rPr>
          <w:rFonts w:hint="eastAsia"/>
          <w:color w:val="auto"/>
          <w:highlight w:val="none"/>
        </w:rPr>
        <w:t>合计收费 = 1 + 2.8 + 2.75 + 14 + 2 = 22.55（万元）</w:t>
      </w:r>
    </w:p>
    <w:p>
      <w:pPr>
        <w:ind w:firstLine="424" w:firstLineChars="202"/>
        <w:rPr>
          <w:color w:val="auto"/>
          <w:highlight w:val="none"/>
        </w:rPr>
      </w:pPr>
      <w:r>
        <w:rPr>
          <w:rFonts w:hint="eastAsia"/>
          <w:color w:val="auto"/>
          <w:highlight w:val="none"/>
        </w:rPr>
        <w:t>二、中国电信广东公司比选代理费率按以上收费基准的6</w:t>
      </w:r>
      <w:r>
        <w:rPr>
          <w:color w:val="auto"/>
          <w:highlight w:val="none"/>
        </w:rPr>
        <w:t>7</w:t>
      </w:r>
      <w:r>
        <w:rPr>
          <w:rFonts w:hint="eastAsia"/>
          <w:color w:val="auto"/>
          <w:highlight w:val="none"/>
        </w:rPr>
        <w:t>%执行（即：按收费基准计算的招标服务代理费用*6</w:t>
      </w:r>
      <w:r>
        <w:rPr>
          <w:color w:val="auto"/>
          <w:highlight w:val="none"/>
        </w:rPr>
        <w:t>7</w:t>
      </w:r>
      <w:r>
        <w:rPr>
          <w:rFonts w:hint="eastAsia"/>
          <w:color w:val="auto"/>
          <w:highlight w:val="none"/>
        </w:rPr>
        <w:t>%）。</w:t>
      </w:r>
    </w:p>
    <w:p>
      <w:pPr>
        <w:ind w:firstLine="424" w:firstLineChars="202"/>
        <w:rPr>
          <w:color w:val="auto"/>
          <w:highlight w:val="none"/>
        </w:rPr>
      </w:pPr>
      <w:r>
        <w:rPr>
          <w:rFonts w:hint="eastAsia"/>
          <w:color w:val="auto"/>
          <w:highlight w:val="none"/>
        </w:rPr>
        <w:t>三、土建比选项目比选代理服务按以上计算方式收取费用（不含工程量清单、工程标底或工程比选控制价的编制费用）。工程量清单、工程标底或工程比选控制价的编制费用由建设单位按照国家相关规定委托工程咨询单位进行编制，费用另行计取。</w:t>
      </w:r>
    </w:p>
    <w:p>
      <w:pPr>
        <w:adjustRightInd w:val="0"/>
        <w:snapToGrid w:val="0"/>
        <w:spacing w:line="440" w:lineRule="exact"/>
        <w:ind w:firstLine="480" w:firstLineChars="200"/>
        <w:rPr>
          <w:rFonts w:ascii="宋体" w:hAnsi="宋体" w:cs="宋体"/>
          <w:color w:val="auto"/>
          <w:sz w:val="24"/>
          <w:highlight w:val="none"/>
        </w:rPr>
      </w:pPr>
    </w:p>
    <w:p>
      <w:pPr>
        <w:pStyle w:val="44"/>
        <w:spacing w:before="240" w:after="120"/>
        <w:rPr>
          <w:rFonts w:ascii="宋体" w:hAnsi="宋体" w:eastAsia="宋体" w:cs="宋体"/>
          <w:b/>
          <w:bCs w:val="0"/>
          <w:color w:val="auto"/>
          <w:kern w:val="0"/>
          <w:sz w:val="28"/>
          <w:szCs w:val="28"/>
          <w:highlight w:val="none"/>
        </w:rPr>
        <w:sectPr>
          <w:pgSz w:w="11906" w:h="16838"/>
          <w:pgMar w:top="1440" w:right="1800" w:bottom="1440" w:left="1800" w:header="851" w:footer="992" w:gutter="0"/>
          <w:cols w:space="425" w:num="1"/>
          <w:docGrid w:type="lines" w:linePitch="312" w:charSpace="0"/>
        </w:sectPr>
      </w:pPr>
      <w:bookmarkStart w:id="519" w:name="_Toc447265559"/>
      <w:bookmarkStart w:id="520" w:name="_Toc447265273"/>
    </w:p>
    <w:p>
      <w:pPr>
        <w:pStyle w:val="44"/>
        <w:spacing w:before="240" w:after="120"/>
        <w:rPr>
          <w:rFonts w:ascii="宋体" w:hAnsi="宋体" w:eastAsia="宋体" w:cs="宋体"/>
          <w:b/>
          <w:bCs w:val="0"/>
          <w:color w:val="auto"/>
          <w:kern w:val="0"/>
          <w:sz w:val="28"/>
          <w:szCs w:val="28"/>
          <w:highlight w:val="none"/>
        </w:rPr>
      </w:pPr>
      <w:bookmarkStart w:id="521" w:name="_Toc7529"/>
      <w:bookmarkStart w:id="522" w:name="_Toc17202817"/>
      <w:bookmarkStart w:id="523" w:name="_Toc17203026"/>
      <w:bookmarkStart w:id="524" w:name="_Toc17203548"/>
      <w:r>
        <w:rPr>
          <w:rFonts w:hint="eastAsia" w:ascii="宋体" w:hAnsi="宋体" w:eastAsia="宋体" w:cs="宋体"/>
          <w:b/>
          <w:bCs w:val="0"/>
          <w:color w:val="auto"/>
          <w:kern w:val="0"/>
          <w:sz w:val="28"/>
          <w:szCs w:val="28"/>
          <w:highlight w:val="none"/>
        </w:rPr>
        <w:t>第三章</w:t>
      </w:r>
      <w:r>
        <w:rPr>
          <w:rFonts w:ascii="宋体" w:hAnsi="宋体" w:eastAsia="宋体" w:cs="宋体"/>
          <w:b/>
          <w:bCs w:val="0"/>
          <w:color w:val="auto"/>
          <w:kern w:val="0"/>
          <w:sz w:val="28"/>
          <w:szCs w:val="28"/>
          <w:highlight w:val="none"/>
        </w:rPr>
        <w:t xml:space="preserve"> </w:t>
      </w:r>
      <w:r>
        <w:rPr>
          <w:rFonts w:hint="eastAsia" w:ascii="宋体" w:hAnsi="宋体" w:eastAsia="宋体" w:cs="宋体"/>
          <w:b/>
          <w:bCs w:val="0"/>
          <w:color w:val="auto"/>
          <w:kern w:val="0"/>
          <w:sz w:val="28"/>
          <w:szCs w:val="28"/>
          <w:highlight w:val="none"/>
        </w:rPr>
        <w:t>评选办法</w:t>
      </w:r>
      <w:bookmarkEnd w:id="519"/>
      <w:bookmarkEnd w:id="520"/>
      <w:bookmarkEnd w:id="521"/>
      <w:bookmarkEnd w:id="522"/>
      <w:bookmarkEnd w:id="523"/>
      <w:bookmarkEnd w:id="524"/>
    </w:p>
    <w:p>
      <w:pPr>
        <w:pStyle w:val="35"/>
        <w:tabs>
          <w:tab w:val="left" w:pos="602"/>
        </w:tabs>
        <w:snapToGrid w:val="0"/>
        <w:spacing w:before="120" w:after="120" w:line="440" w:lineRule="exact"/>
        <w:jc w:val="left"/>
        <w:outlineLvl w:val="1"/>
        <w:rPr>
          <w:rFonts w:hint="eastAsia" w:ascii="宋体" w:hAnsi="宋体" w:eastAsia="宋体"/>
          <w:color w:val="auto"/>
          <w:sz w:val="28"/>
          <w:szCs w:val="28"/>
          <w:highlight w:val="none"/>
          <w:lang w:eastAsia="zh-CN"/>
        </w:rPr>
      </w:pPr>
      <w:bookmarkStart w:id="525" w:name="_Toc10097"/>
      <w:bookmarkStart w:id="526" w:name="_Toc450489344"/>
      <w:bookmarkStart w:id="527" w:name="_Toc17203027"/>
      <w:bookmarkStart w:id="528" w:name="_Toc17202818"/>
      <w:bookmarkStart w:id="529" w:name="_Toc17203549"/>
      <w:bookmarkStart w:id="530" w:name="_Toc447265274"/>
      <w:bookmarkStart w:id="531" w:name="_Toc447265560"/>
      <w:bookmarkStart w:id="532" w:name="_Toc447265276"/>
      <w:bookmarkStart w:id="533" w:name="_Toc227057922"/>
      <w:bookmarkStart w:id="534" w:name="_Toc226969316"/>
      <w:bookmarkStart w:id="535" w:name="_Toc447265562"/>
      <w:bookmarkStart w:id="536" w:name="_Toc107822520"/>
      <w:r>
        <w:rPr>
          <w:rFonts w:hint="eastAsia" w:ascii="宋体" w:hAnsi="宋体"/>
          <w:color w:val="auto"/>
          <w:sz w:val="28"/>
          <w:szCs w:val="28"/>
          <w:highlight w:val="none"/>
        </w:rPr>
        <w:t>评选办法前附表</w:t>
      </w:r>
      <w:bookmarkEnd w:id="525"/>
      <w:bookmarkEnd w:id="526"/>
      <w:bookmarkEnd w:id="527"/>
      <w:bookmarkEnd w:id="528"/>
      <w:bookmarkEnd w:id="529"/>
      <w:bookmarkEnd w:id="530"/>
      <w:bookmarkEnd w:id="531"/>
      <w:r>
        <w:rPr>
          <w:rFonts w:hint="eastAsia" w:ascii="宋体" w:hAnsi="宋体"/>
          <w:color w:val="auto"/>
          <w:sz w:val="28"/>
          <w:szCs w:val="28"/>
          <w:highlight w:val="none"/>
          <w:lang w:eastAsia="zh-CN"/>
        </w:rPr>
        <w:t>（</w:t>
      </w:r>
      <w:r>
        <w:rPr>
          <w:rFonts w:hint="eastAsia" w:ascii="宋体" w:hAnsi="宋体"/>
          <w:color w:val="auto"/>
          <w:sz w:val="28"/>
          <w:szCs w:val="28"/>
          <w:highlight w:val="none"/>
          <w:lang w:val="en-US" w:eastAsia="zh-CN"/>
        </w:rPr>
        <w:t>标段一</w:t>
      </w:r>
      <w:r>
        <w:rPr>
          <w:rFonts w:hint="eastAsia" w:ascii="宋体" w:hAnsi="宋体"/>
          <w:color w:val="auto"/>
          <w:sz w:val="28"/>
          <w:szCs w:val="28"/>
          <w:highlight w:val="none"/>
          <w:lang w:eastAsia="zh-CN"/>
        </w:rPr>
        <w:t>）</w:t>
      </w:r>
    </w:p>
    <w:p>
      <w:pPr>
        <w:adjustRightInd w:val="0"/>
        <w:snapToGrid w:val="0"/>
        <w:spacing w:line="40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本项目采用综合评估法，总分共100分，其中商务</w:t>
      </w:r>
      <w:r>
        <w:rPr>
          <w:rFonts w:hint="eastAsia" w:ascii="宋体" w:hAnsi="宋体" w:cs="宋体"/>
          <w:color w:val="auto"/>
          <w:szCs w:val="21"/>
          <w:highlight w:val="none"/>
          <w:lang w:val="en-US" w:eastAsia="zh-CN"/>
        </w:rPr>
        <w:t>5</w:t>
      </w:r>
      <w:r>
        <w:rPr>
          <w:rFonts w:hint="eastAsia" w:ascii="宋体" w:hAnsi="宋体" w:cs="宋体"/>
          <w:color w:val="auto"/>
          <w:szCs w:val="21"/>
          <w:highlight w:val="none"/>
        </w:rPr>
        <w:t>分，技术</w:t>
      </w:r>
      <w:r>
        <w:rPr>
          <w:rFonts w:hint="eastAsia" w:ascii="宋体" w:hAnsi="宋体" w:cs="宋体"/>
          <w:color w:val="auto"/>
          <w:szCs w:val="21"/>
          <w:highlight w:val="none"/>
          <w:lang w:val="en-US" w:eastAsia="zh-CN"/>
        </w:rPr>
        <w:t>35</w:t>
      </w:r>
      <w:r>
        <w:rPr>
          <w:rFonts w:hint="eastAsia" w:ascii="宋体" w:hAnsi="宋体" w:cs="宋体"/>
          <w:color w:val="auto"/>
          <w:szCs w:val="21"/>
          <w:highlight w:val="none"/>
        </w:rPr>
        <w:t>分，</w:t>
      </w:r>
      <w:r>
        <w:rPr>
          <w:rFonts w:hint="eastAsia" w:ascii="宋体" w:hAnsi="宋体" w:cs="宋体"/>
          <w:color w:val="auto"/>
          <w:szCs w:val="21"/>
          <w:highlight w:val="none"/>
          <w:lang w:val="en-US" w:eastAsia="zh-CN"/>
        </w:rPr>
        <w:t>服务10分</w:t>
      </w:r>
      <w:r>
        <w:rPr>
          <w:rFonts w:hint="eastAsia" w:ascii="宋体" w:hAnsi="宋体" w:cs="宋体"/>
          <w:color w:val="auto"/>
          <w:szCs w:val="21"/>
          <w:highlight w:val="none"/>
          <w:lang w:eastAsia="zh-CN"/>
        </w:rPr>
        <w:t>，</w:t>
      </w:r>
      <w:r>
        <w:rPr>
          <w:rFonts w:hint="eastAsia" w:ascii="宋体" w:hAnsi="宋体" w:cs="宋体"/>
          <w:color w:val="auto"/>
          <w:szCs w:val="21"/>
          <w:highlight w:val="none"/>
        </w:rPr>
        <w:t>价格50分。评选时，评选委员会按照比选文件规定的量化因素和权重比值打分。</w:t>
      </w:r>
    </w:p>
    <w:tbl>
      <w:tblPr>
        <w:tblStyle w:val="37"/>
        <w:tblW w:w="10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0"/>
        <w:gridCol w:w="1022"/>
        <w:gridCol w:w="10"/>
        <w:gridCol w:w="1110"/>
        <w:gridCol w:w="10"/>
        <w:gridCol w:w="1735"/>
        <w:gridCol w:w="4673"/>
        <w:gridCol w:w="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jc w:val="center"/>
        </w:trPr>
        <w:tc>
          <w:tcPr>
            <w:tcW w:w="1792" w:type="dxa"/>
            <w:gridSpan w:val="3"/>
            <w:vAlign w:val="center"/>
          </w:tcPr>
          <w:p>
            <w:pPr>
              <w:snapToGrid w:val="0"/>
              <w:jc w:val="center"/>
              <w:rPr>
                <w:rFonts w:ascii="宋体" w:hAnsi="宋体" w:cs="宋体"/>
                <w:color w:val="auto"/>
                <w:kern w:val="0"/>
                <w:szCs w:val="21"/>
                <w:highlight w:val="none"/>
              </w:rPr>
            </w:pPr>
            <w:r>
              <w:rPr>
                <w:rFonts w:hint="eastAsia" w:ascii="宋体" w:hAnsi="宋体" w:cs="宋体"/>
                <w:color w:val="auto"/>
                <w:szCs w:val="21"/>
                <w:highlight w:val="none"/>
              </w:rPr>
              <w:t>条款号</w:t>
            </w:r>
          </w:p>
        </w:tc>
        <w:tc>
          <w:tcPr>
            <w:tcW w:w="1120"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评审内容</w:t>
            </w:r>
          </w:p>
        </w:tc>
        <w:tc>
          <w:tcPr>
            <w:tcW w:w="1735" w:type="dxa"/>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评审因素</w:t>
            </w:r>
          </w:p>
        </w:tc>
        <w:tc>
          <w:tcPr>
            <w:tcW w:w="5422"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评审标准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760" w:type="dxa"/>
            <w:vMerge w:val="restart"/>
            <w:vAlign w:val="center"/>
          </w:tcPr>
          <w:p>
            <w:pPr>
              <w:snapToGrid w:val="0"/>
              <w:jc w:val="center"/>
              <w:rPr>
                <w:rFonts w:ascii="宋体" w:hAnsi="宋体" w:cs="宋体"/>
                <w:color w:val="auto"/>
                <w:szCs w:val="21"/>
                <w:highlight w:val="none"/>
              </w:rPr>
            </w:pPr>
            <w:r>
              <w:rPr>
                <w:rFonts w:ascii="宋体" w:hAnsi="宋体" w:cs="宋体"/>
                <w:color w:val="auto"/>
                <w:szCs w:val="21"/>
                <w:highlight w:val="none"/>
              </w:rPr>
              <w:t>2.1</w:t>
            </w:r>
          </w:p>
        </w:tc>
        <w:tc>
          <w:tcPr>
            <w:tcW w:w="1022" w:type="dxa"/>
            <w:vMerge w:val="restart"/>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初步评审</w:t>
            </w:r>
          </w:p>
        </w:tc>
        <w:tc>
          <w:tcPr>
            <w:tcW w:w="1120" w:type="dxa"/>
            <w:gridSpan w:val="2"/>
            <w:vMerge w:val="restart"/>
            <w:vAlign w:val="center"/>
          </w:tcPr>
          <w:p>
            <w:pPr>
              <w:snapToGrid w:val="0"/>
              <w:jc w:val="left"/>
              <w:rPr>
                <w:rFonts w:ascii="宋体" w:hAnsi="宋体" w:cs="宋体"/>
                <w:color w:val="auto"/>
                <w:szCs w:val="21"/>
                <w:highlight w:val="none"/>
              </w:rPr>
            </w:pPr>
            <w:r>
              <w:rPr>
                <w:rFonts w:hint="eastAsia" w:ascii="宋体" w:hAnsi="宋体" w:cs="宋体"/>
                <w:color w:val="auto"/>
                <w:kern w:val="0"/>
                <w:szCs w:val="21"/>
                <w:highlight w:val="none"/>
              </w:rPr>
              <w:t>形式评审</w:t>
            </w: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参选人名称</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color w:val="auto"/>
                <w:kern w:val="0"/>
                <w:szCs w:val="21"/>
                <w:highlight w:val="none"/>
              </w:rPr>
              <w:t>与营业执照一致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760" w:type="dxa"/>
            <w:vMerge w:val="continue"/>
            <w:vAlign w:val="center"/>
          </w:tcPr>
          <w:p>
            <w:pPr>
              <w:snapToGrid w:val="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szCs w:val="21"/>
                <w:highlight w:val="none"/>
              </w:rPr>
            </w:pP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营业执照</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color w:val="auto"/>
                <w:szCs w:val="21"/>
                <w:highlight w:val="none"/>
              </w:rPr>
              <w:t>具有有效的营业执照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760" w:type="dxa"/>
            <w:vMerge w:val="continue"/>
            <w:vAlign w:val="center"/>
          </w:tcPr>
          <w:p>
            <w:pPr>
              <w:snapToGrid w:val="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szCs w:val="21"/>
                <w:highlight w:val="none"/>
              </w:rPr>
            </w:pP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法定代表人（负责人）证明书及授权委托书</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color w:val="auto"/>
                <w:szCs w:val="21"/>
                <w:highlight w:val="none"/>
              </w:rPr>
              <w:t>提供有效的法定代表人（负责人）证明书（如有法定代表人（负责人）授权委托书的，一并提供），且有身份证复印件。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szCs w:val="21"/>
                <w:highlight w:val="none"/>
              </w:rPr>
            </w:pP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参选文件签字盖章</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rPr>
              <w:tab/>
            </w:r>
            <w:r>
              <w:rPr>
                <w:rFonts w:hint="eastAsia" w:ascii="宋体" w:hAnsi="宋体" w:cs="宋体"/>
                <w:color w:val="auto"/>
                <w:szCs w:val="21"/>
                <w:highlight w:val="none"/>
              </w:rPr>
              <w:t>参选文件中凡出现单位名称和法定代表人/负责人或其委托代理人签字落款的地方均须：逐页加盖单位公章并由法定代表人/负责人逐页手签或盖人名章；或者逐页加盖单位公章并由法定代表人/负责人授权的委托代理人逐页手签，如使用依照国家行政部门要求已备案的投标专用章、业务专用章的，应提供所使用印章的合法备案证明。</w:t>
            </w:r>
          </w:p>
          <w:p>
            <w:pPr>
              <w:snapToGrid w:val="0"/>
              <w:jc w:val="left"/>
              <w:rPr>
                <w:rFonts w:ascii="宋体" w:hAnsi="宋体" w:cs="宋体"/>
                <w:color w:val="auto"/>
                <w:szCs w:val="21"/>
                <w:highlight w:val="none"/>
              </w:rPr>
            </w:pPr>
            <w:r>
              <w:rPr>
                <w:rFonts w:hint="eastAsia" w:ascii="宋体" w:hAnsi="宋体" w:cs="宋体"/>
                <w:color w:val="auto"/>
                <w:szCs w:val="21"/>
                <w:highlight w:val="none"/>
              </w:rPr>
              <w:t>法定代表人/负责人授权委托代理人签字的，应提供法定代表人/负责人授权委托书。法定代表人/负责人授权委托书应逐页加盖单位公章，并由法定代表人/负责人逐页手签或盖人名章、委托代理人逐页手签。</w:t>
            </w:r>
          </w:p>
          <w:p>
            <w:pPr>
              <w:snapToGrid w:val="0"/>
              <w:jc w:val="left"/>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rPr>
              <w:tab/>
            </w:r>
            <w:r>
              <w:rPr>
                <w:rFonts w:hint="eastAsia" w:ascii="宋体" w:hAnsi="宋体" w:cs="宋体"/>
                <w:color w:val="auto"/>
                <w:szCs w:val="21"/>
                <w:highlight w:val="none"/>
              </w:rPr>
              <w:t>同时参选文件签字盖章必须符合以下其中一种：</w:t>
            </w:r>
          </w:p>
          <w:p>
            <w:pPr>
              <w:snapToGrid w:val="0"/>
              <w:jc w:val="left"/>
              <w:rPr>
                <w:rFonts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rPr>
              <w:tab/>
            </w:r>
            <w:r>
              <w:rPr>
                <w:rFonts w:hint="eastAsia" w:ascii="宋体" w:hAnsi="宋体" w:cs="宋体"/>
                <w:color w:val="auto"/>
                <w:szCs w:val="21"/>
                <w:highlight w:val="none"/>
              </w:rPr>
              <w:t>参选人的法定代表人/负责人逐页手签或盖人名章，或者由法定代表人/负责人委托代理人逐页手签法定代表人（负责人）或其授权的代理人逐页签字；</w:t>
            </w:r>
          </w:p>
          <w:p>
            <w:pPr>
              <w:snapToGrid w:val="0"/>
              <w:jc w:val="left"/>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rPr>
              <w:tab/>
            </w:r>
            <w:r>
              <w:rPr>
                <w:rFonts w:hint="eastAsia" w:ascii="宋体" w:hAnsi="宋体" w:cs="宋体"/>
                <w:color w:val="auto"/>
                <w:szCs w:val="21"/>
                <w:highlight w:val="none"/>
              </w:rPr>
              <w:t>加盖参选人单位骑缝章；</w:t>
            </w:r>
          </w:p>
          <w:p>
            <w:pPr>
              <w:snapToGrid w:val="0"/>
              <w:jc w:val="left"/>
              <w:rPr>
                <w:rFonts w:ascii="宋体" w:hAnsi="宋体" w:cs="宋体"/>
                <w:color w:val="auto"/>
                <w:szCs w:val="21"/>
                <w:highlight w:val="none"/>
              </w:rPr>
            </w:pPr>
            <w:r>
              <w:rPr>
                <w:rFonts w:hint="eastAsia" w:ascii="宋体" w:hAnsi="宋体" w:cs="宋体"/>
                <w:color w:val="auto"/>
                <w:szCs w:val="21"/>
                <w:highlight w:val="none"/>
              </w:rPr>
              <w:t>3)</w:t>
            </w:r>
            <w:r>
              <w:rPr>
                <w:rFonts w:hint="eastAsia" w:ascii="宋体" w:hAnsi="宋体" w:cs="宋体"/>
                <w:color w:val="auto"/>
                <w:szCs w:val="21"/>
                <w:highlight w:val="none"/>
              </w:rPr>
              <w:tab/>
            </w:r>
            <w:r>
              <w:rPr>
                <w:rFonts w:hint="eastAsia" w:ascii="宋体" w:hAnsi="宋体" w:cs="宋体"/>
                <w:color w:val="auto"/>
                <w:szCs w:val="21"/>
                <w:highlight w:val="none"/>
              </w:rPr>
              <w:t xml:space="preserve">逐页加盖参选人单位印章。 </w:t>
            </w:r>
          </w:p>
          <w:p>
            <w:pPr>
              <w:snapToGrid w:val="0"/>
              <w:jc w:val="left"/>
              <w:rPr>
                <w:rFonts w:ascii="宋体" w:hAnsi="宋体" w:cs="宋体"/>
                <w:color w:val="auto"/>
                <w:szCs w:val="21"/>
                <w:highlight w:val="none"/>
              </w:rPr>
            </w:pPr>
            <w:r>
              <w:rPr>
                <w:rFonts w:ascii="宋体" w:hAnsi="宋体" w:cs="宋体"/>
                <w:color w:val="auto"/>
                <w:szCs w:val="21"/>
                <w:highlight w:val="none"/>
              </w:rPr>
              <w:t>3</w:t>
            </w:r>
            <w:r>
              <w:rPr>
                <w:rFonts w:hint="eastAsia" w:ascii="宋体" w:hAnsi="宋体" w:cs="宋体"/>
                <w:color w:val="auto"/>
                <w:szCs w:val="21"/>
                <w:highlight w:val="none"/>
              </w:rPr>
              <w:t>、投标文件签字或盖章要求（适用于以电子投标文件为准的情况）</w:t>
            </w:r>
          </w:p>
          <w:p>
            <w:pPr>
              <w:snapToGrid w:val="0"/>
              <w:jc w:val="left"/>
              <w:rPr>
                <w:rFonts w:ascii="宋体" w:hAnsi="宋体" w:cs="宋体"/>
                <w:color w:val="auto"/>
                <w:szCs w:val="21"/>
                <w:highlight w:val="none"/>
              </w:rPr>
            </w:pPr>
            <w:r>
              <w:rPr>
                <w:rFonts w:hint="eastAsia" w:ascii="宋体" w:hAnsi="宋体" w:cs="宋体"/>
                <w:color w:val="auto"/>
                <w:szCs w:val="21"/>
                <w:highlight w:val="none"/>
              </w:rPr>
              <w:t>（1）电子投标文件须在“投标文件制作软件”中完成CA数字证书签章和加密。签章完成后生成加密（后缀为.ZGDXTF）和非加密（后缀为.nZGDXTF）电子投标文件一对。未按规定签章和加密的将导致电子投标文件无法上传。</w:t>
            </w:r>
          </w:p>
          <w:p>
            <w:pPr>
              <w:snapToGrid w:val="0"/>
              <w:jc w:val="left"/>
              <w:rPr>
                <w:rFonts w:ascii="宋体" w:hAnsi="宋体" w:cs="宋体"/>
                <w:color w:val="auto"/>
                <w:szCs w:val="21"/>
                <w:highlight w:val="none"/>
              </w:rPr>
            </w:pPr>
            <w:r>
              <w:rPr>
                <w:rFonts w:hint="eastAsia" w:ascii="宋体" w:hAnsi="宋体" w:cs="宋体"/>
                <w:color w:val="auto"/>
                <w:szCs w:val="21"/>
                <w:highlight w:val="none"/>
              </w:rPr>
              <w:t>（2）需要第三方签字盖章确认的文件，如制造商资格声明等，投标人应在投标文件正文上传签字或盖章后的扫描件。</w:t>
            </w:r>
          </w:p>
          <w:p>
            <w:pPr>
              <w:snapToGrid w:val="0"/>
              <w:jc w:val="left"/>
              <w:rPr>
                <w:rFonts w:ascii="宋体" w:hAnsi="宋体" w:cs="宋体"/>
                <w:color w:val="auto"/>
                <w:szCs w:val="21"/>
                <w:highlight w:val="none"/>
              </w:rPr>
            </w:pPr>
            <w:r>
              <w:rPr>
                <w:rFonts w:ascii="宋体" w:hAnsi="宋体" w:cs="宋体"/>
                <w:color w:val="auto"/>
                <w:szCs w:val="21"/>
                <w:highlight w:val="none"/>
              </w:rPr>
              <w:t>4</w:t>
            </w:r>
            <w:r>
              <w:rPr>
                <w:rFonts w:hint="eastAsia" w:ascii="宋体" w:hAnsi="宋体" w:cs="宋体"/>
                <w:color w:val="auto"/>
                <w:szCs w:val="21"/>
                <w:highlight w:val="none"/>
              </w:rPr>
              <w:t>.</w:t>
            </w:r>
            <w:r>
              <w:rPr>
                <w:rFonts w:hint="eastAsia" w:ascii="宋体" w:hAnsi="宋体" w:cs="宋体"/>
                <w:color w:val="auto"/>
                <w:szCs w:val="21"/>
                <w:highlight w:val="none"/>
              </w:rPr>
              <w:tab/>
            </w:r>
            <w:r>
              <w:rPr>
                <w:rFonts w:hint="eastAsia" w:ascii="宋体" w:hAnsi="宋体" w:cs="宋体"/>
                <w:color w:val="auto"/>
                <w:szCs w:val="21"/>
                <w:highlight w:val="none"/>
              </w:rPr>
              <w:t>请按上述要求制作参选文件，否则其参选将被否决。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restart"/>
            <w:vAlign w:val="center"/>
          </w:tcPr>
          <w:p>
            <w:pPr>
              <w:snapToGrid w:val="0"/>
              <w:jc w:val="left"/>
              <w:rPr>
                <w:rFonts w:ascii="宋体" w:hAnsi="宋体" w:cs="宋体"/>
                <w:color w:val="auto"/>
                <w:szCs w:val="21"/>
                <w:highlight w:val="none"/>
              </w:rPr>
            </w:pPr>
            <w:r>
              <w:rPr>
                <w:rFonts w:hint="eastAsia" w:ascii="宋体" w:hAnsi="宋体" w:cs="宋体"/>
                <w:color w:val="auto"/>
                <w:kern w:val="0"/>
                <w:szCs w:val="21"/>
                <w:highlight w:val="none"/>
              </w:rPr>
              <w:t>资格评审</w:t>
            </w: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资格条件</w:t>
            </w:r>
          </w:p>
        </w:tc>
        <w:tc>
          <w:tcPr>
            <w:tcW w:w="5422" w:type="dxa"/>
            <w:gridSpan w:val="2"/>
            <w:vAlign w:val="center"/>
          </w:tcPr>
          <w:p>
            <w:pPr>
              <w:numPr>
                <w:ilvl w:val="0"/>
                <w:numId w:val="0"/>
              </w:numPr>
              <w:spacing w:line="400" w:lineRule="exact"/>
              <w:rPr>
                <w:rFonts w:ascii="宋体" w:hAnsi="宋体"/>
                <w:color w:val="auto"/>
                <w:szCs w:val="21"/>
                <w:highlight w:val="none"/>
              </w:rPr>
            </w:pPr>
            <w:r>
              <w:rPr>
                <w:rFonts w:hint="eastAsia" w:ascii="宋体" w:hAnsi="宋体"/>
                <w:color w:val="auto"/>
                <w:szCs w:val="21"/>
                <w:highlight w:val="none"/>
              </w:rPr>
              <w:t>参选人基本资格要求：</w:t>
            </w:r>
          </w:p>
          <w:p>
            <w:pPr>
              <w:spacing w:line="400" w:lineRule="exact"/>
              <w:ind w:firstLine="424" w:firstLineChars="202"/>
              <w:rPr>
                <w:rFonts w:hAnsi="宋体"/>
                <w:color w:val="auto"/>
                <w:szCs w:val="21"/>
                <w:highlight w:val="none"/>
              </w:rPr>
            </w:pPr>
            <w:r>
              <w:rPr>
                <w:rFonts w:hint="eastAsia" w:hAnsi="宋体"/>
                <w:color w:val="auto"/>
                <w:szCs w:val="21"/>
                <w:highlight w:val="none"/>
              </w:rPr>
              <w:t>（1）参选人须为独立法人或其他组织，</w:t>
            </w:r>
            <w:r>
              <w:rPr>
                <w:rFonts w:hint="eastAsia"/>
                <w:color w:val="auto"/>
                <w:szCs w:val="21"/>
                <w:highlight w:val="none"/>
              </w:rPr>
              <w:t>注册资本或开办资金应不低于</w:t>
            </w:r>
            <w:r>
              <w:rPr>
                <w:rFonts w:hint="eastAsia" w:ascii="宋体" w:hAnsi="宋体"/>
                <w:color w:val="auto"/>
                <w:szCs w:val="21"/>
                <w:highlight w:val="none"/>
                <w:u w:val="single"/>
                <w:lang w:val="en-US" w:eastAsia="zh-CN"/>
              </w:rPr>
              <w:t>1</w:t>
            </w:r>
            <w:r>
              <w:rPr>
                <w:rFonts w:ascii="宋体" w:hAnsi="宋体"/>
                <w:color w:val="auto"/>
                <w:szCs w:val="21"/>
                <w:highlight w:val="none"/>
                <w:u w:val="single"/>
              </w:rPr>
              <w:t>00</w:t>
            </w:r>
            <w:r>
              <w:rPr>
                <w:rFonts w:hint="eastAsia"/>
                <w:color w:val="auto"/>
                <w:szCs w:val="21"/>
                <w:highlight w:val="none"/>
              </w:rPr>
              <w:t>万元（含）人民币或等值货币</w:t>
            </w:r>
            <w:r>
              <w:rPr>
                <w:rFonts w:hint="eastAsia" w:hAnsi="宋体"/>
                <w:color w:val="auto"/>
                <w:szCs w:val="21"/>
                <w:highlight w:val="none"/>
              </w:rPr>
              <w:t>（如注册资本或开办资金为其他外币的，按照参选文件递交截止之日中国银行公布的汇率中间价换算成人民币）。</w:t>
            </w:r>
            <w:r>
              <w:rPr>
                <w:rFonts w:hint="eastAsia"/>
                <w:color w:val="auto"/>
                <w:szCs w:val="21"/>
                <w:highlight w:val="none"/>
              </w:rPr>
              <w:t>法人下属不具备法人资格的分支机构参选的，应具备法人针对本项目或覆盖本项目的经营事项的有效授权。同一法人授权多个不具备法人资格的分支机构同时参加本项目，或该法人与其下属不具备法人资格的分支机构同时参加本项目，均视为同一参选人参选，在同一标段参选或者未划分标段的同一比选项目参选的，除比选文件允许递交备选参选方案且参选文件有明确区分所有备选参选方案的外，否则按否决参选处理。</w:t>
            </w:r>
          </w:p>
          <w:p>
            <w:pPr>
              <w:pStyle w:val="16"/>
              <w:tabs>
                <w:tab w:val="left" w:pos="0"/>
              </w:tabs>
              <w:topLinePunct/>
              <w:spacing w:after="0" w:line="400" w:lineRule="exact"/>
              <w:ind w:firstLine="424" w:firstLineChars="202"/>
              <w:rPr>
                <w:color w:val="auto"/>
                <w:sz w:val="21"/>
                <w:szCs w:val="21"/>
                <w:highlight w:val="none"/>
              </w:rPr>
            </w:pPr>
            <w:r>
              <w:rPr>
                <w:rFonts w:hint="eastAsia"/>
                <w:color w:val="auto"/>
                <w:sz w:val="21"/>
                <w:szCs w:val="21"/>
                <w:highlight w:val="none"/>
              </w:rPr>
              <w:t>1）如参选人为企业的，提供营业执照同时应提供</w:t>
            </w:r>
            <w:r>
              <w:rPr>
                <w:color w:val="auto"/>
                <w:sz w:val="21"/>
                <w:szCs w:val="21"/>
                <w:highlight w:val="none"/>
              </w:rPr>
              <w:t xml:space="preserve">“全国企业信用信息公示系统（http://www.gsxt.gov.cn）” </w:t>
            </w:r>
            <w:r>
              <w:rPr>
                <w:rFonts w:hint="eastAsia"/>
                <w:color w:val="auto"/>
                <w:sz w:val="21"/>
                <w:szCs w:val="21"/>
                <w:highlight w:val="none"/>
              </w:rPr>
              <w:t>查询结果（显示注册资本等信息）的截屏打印件；</w:t>
            </w:r>
          </w:p>
          <w:p>
            <w:pPr>
              <w:pStyle w:val="16"/>
              <w:tabs>
                <w:tab w:val="left" w:pos="0"/>
              </w:tabs>
              <w:topLinePunct/>
              <w:spacing w:after="0" w:line="400" w:lineRule="exact"/>
              <w:rPr>
                <w:color w:val="auto"/>
                <w:sz w:val="21"/>
                <w:szCs w:val="21"/>
                <w:highlight w:val="none"/>
              </w:rPr>
            </w:pPr>
            <w:r>
              <w:rPr>
                <w:rFonts w:hint="eastAsia"/>
                <w:color w:val="auto"/>
                <w:sz w:val="21"/>
                <w:szCs w:val="21"/>
                <w:highlight w:val="none"/>
              </w:rPr>
              <w:t>2）如参选人为事业单位的，提供事业单位法人证书同时应提供“事业单位在线（</w:t>
            </w:r>
            <w:r>
              <w:rPr>
                <w:color w:val="auto"/>
                <w:sz w:val="21"/>
                <w:szCs w:val="21"/>
                <w:highlight w:val="none"/>
              </w:rPr>
              <w:t>http://www.gjsy.gov.cn/）”查询结果（显示开办资金、证书有效日期等信息）的截屏打印件</w:t>
            </w:r>
            <w:r>
              <w:rPr>
                <w:rFonts w:hint="eastAsia"/>
                <w:color w:val="auto"/>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项目团队要求</w:t>
            </w:r>
          </w:p>
        </w:tc>
        <w:tc>
          <w:tcPr>
            <w:tcW w:w="5422" w:type="dxa"/>
            <w:gridSpan w:val="2"/>
            <w:vAlign w:val="center"/>
          </w:tcPr>
          <w:p>
            <w:pPr>
              <w:spacing w:line="400" w:lineRule="exact"/>
              <w:rPr>
                <w:rFonts w:ascii="宋体" w:hAnsi="宋体" w:cs="宋体"/>
                <w:color w:val="auto"/>
                <w:szCs w:val="21"/>
                <w:highlight w:val="none"/>
              </w:rPr>
            </w:pPr>
            <w:r>
              <w:rPr>
                <w:rFonts w:hint="eastAsia" w:ascii="宋体" w:hAnsi="宋体" w:cs="宋体"/>
                <w:color w:val="auto"/>
                <w:szCs w:val="21"/>
                <w:highlight w:val="none"/>
              </w:rPr>
              <w:t>参选人拟派项目负责人1人。参选人拟派专职项目团队成员要求【3】人或以上，项目负责人和专职项目团队成员均需提供人员名单、二代身份证。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不得存在的情形</w:t>
            </w:r>
          </w:p>
        </w:tc>
        <w:tc>
          <w:tcPr>
            <w:tcW w:w="5422" w:type="dxa"/>
            <w:gridSpan w:val="2"/>
            <w:vAlign w:val="center"/>
          </w:tcPr>
          <w:p>
            <w:pPr>
              <w:snapToGrid w:val="0"/>
              <w:jc w:val="left"/>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参选人不得存在的详见第一章比选公告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olor w:val="auto"/>
                <w:szCs w:val="21"/>
                <w:highlight w:val="none"/>
              </w:rPr>
              <w:t>信誉要求</w:t>
            </w:r>
          </w:p>
        </w:tc>
        <w:tc>
          <w:tcPr>
            <w:tcW w:w="5422" w:type="dxa"/>
            <w:gridSpan w:val="2"/>
            <w:vAlign w:val="center"/>
          </w:tcPr>
          <w:p>
            <w:pPr>
              <w:snapToGrid w:val="0"/>
              <w:jc w:val="left"/>
              <w:rPr>
                <w:rFonts w:ascii="宋体" w:hAnsi="宋体"/>
                <w:color w:val="auto"/>
                <w:szCs w:val="21"/>
                <w:highlight w:val="none"/>
              </w:rPr>
            </w:pPr>
            <w:r>
              <w:rPr>
                <w:rFonts w:hint="eastAsia" w:ascii="宋体" w:hAnsi="宋体"/>
                <w:color w:val="auto"/>
                <w:szCs w:val="21"/>
                <w:highlight w:val="none"/>
              </w:rPr>
              <w:t>参选人不得存在比选文件规定的“参选人不得存在的情形”，须提供《参选信誉承诺函》。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olor w:val="auto"/>
                <w:szCs w:val="21"/>
                <w:highlight w:val="none"/>
              </w:rPr>
              <w:t>其他要求</w:t>
            </w:r>
          </w:p>
        </w:tc>
        <w:tc>
          <w:tcPr>
            <w:tcW w:w="5422" w:type="dxa"/>
            <w:gridSpan w:val="2"/>
            <w:vAlign w:val="center"/>
          </w:tcPr>
          <w:p>
            <w:pPr>
              <w:snapToGrid w:val="0"/>
              <w:jc w:val="left"/>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1</w:t>
            </w:r>
            <w:r>
              <w:rPr>
                <w:rFonts w:hint="eastAsia" w:ascii="宋体" w:hAnsi="宋体"/>
                <w:color w:val="auto"/>
                <w:szCs w:val="21"/>
                <w:highlight w:val="none"/>
                <w:lang w:eastAsia="zh-CN"/>
              </w:rPr>
              <w:t>）</w:t>
            </w:r>
            <w:r>
              <w:rPr>
                <w:rFonts w:hint="eastAsia" w:ascii="宋体" w:hAnsi="宋体"/>
                <w:color w:val="auto"/>
                <w:szCs w:val="21"/>
                <w:highlight w:val="none"/>
              </w:rPr>
              <w:t>单位负责人为同一人、控股股东为同一自然人或者存在控股、管理关系的不同单位，不得同时参加本项目中同一标段比选或者未划分标段的同一项目比选；参选人提交参选文件时必须提供《参选人控股及管理关系情况申报表》，没有提供该表的，其参选文件一律无效。</w:t>
            </w:r>
          </w:p>
          <w:p>
            <w:pPr>
              <w:snapToGrid w:val="0"/>
              <w:jc w:val="left"/>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2</w:t>
            </w:r>
            <w:r>
              <w:rPr>
                <w:rFonts w:hint="eastAsia" w:ascii="宋体" w:hAnsi="宋体"/>
                <w:color w:val="auto"/>
                <w:szCs w:val="21"/>
                <w:highlight w:val="none"/>
                <w:lang w:eastAsia="zh-CN"/>
              </w:rPr>
              <w:t>）</w:t>
            </w:r>
            <w:r>
              <w:rPr>
                <w:rFonts w:hint="eastAsia" w:ascii="宋体" w:hAnsi="宋体"/>
                <w:color w:val="auto"/>
                <w:szCs w:val="21"/>
                <w:highlight w:val="none"/>
              </w:rPr>
              <w:t>本项目不接受联合体参选。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restart"/>
            <w:vAlign w:val="center"/>
          </w:tcPr>
          <w:p>
            <w:pPr>
              <w:snapToGrid w:val="0"/>
              <w:jc w:val="left"/>
              <w:rPr>
                <w:rFonts w:ascii="宋体" w:hAnsi="宋体" w:cs="宋体"/>
                <w:color w:val="auto"/>
                <w:szCs w:val="21"/>
                <w:highlight w:val="none"/>
              </w:rPr>
            </w:pPr>
            <w:r>
              <w:rPr>
                <w:rFonts w:hint="eastAsia" w:ascii="宋体" w:hAnsi="宋体" w:cs="宋体"/>
                <w:color w:val="auto"/>
                <w:kern w:val="0"/>
                <w:szCs w:val="21"/>
                <w:highlight w:val="none"/>
              </w:rPr>
              <w:t>响应性评审</w:t>
            </w: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b/>
                <w:color w:val="auto"/>
                <w:kern w:val="0"/>
                <w:szCs w:val="21"/>
                <w:highlight w:val="none"/>
              </w:rPr>
              <w:t>合同及项目要求应答</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b/>
                <w:color w:val="auto"/>
                <w:kern w:val="0"/>
                <w:szCs w:val="21"/>
                <w:highlight w:val="none"/>
              </w:rPr>
              <w:t>对</w:t>
            </w:r>
            <w:r>
              <w:rPr>
                <w:rFonts w:ascii="宋体" w:hAnsi="宋体" w:cs="宋体"/>
                <w:b/>
                <w:color w:val="auto"/>
                <w:kern w:val="0"/>
                <w:szCs w:val="21"/>
                <w:highlight w:val="none"/>
              </w:rPr>
              <w:t>第</w:t>
            </w:r>
            <w:r>
              <w:rPr>
                <w:rFonts w:hint="eastAsia" w:ascii="宋体" w:hAnsi="宋体" w:cs="宋体"/>
                <w:b/>
                <w:color w:val="auto"/>
                <w:kern w:val="0"/>
                <w:szCs w:val="21"/>
                <w:highlight w:val="none"/>
              </w:rPr>
              <w:t>四</w:t>
            </w:r>
            <w:r>
              <w:rPr>
                <w:rFonts w:ascii="宋体" w:hAnsi="宋体" w:cs="宋体"/>
                <w:b/>
                <w:color w:val="auto"/>
                <w:kern w:val="0"/>
                <w:szCs w:val="21"/>
                <w:highlight w:val="none"/>
              </w:rPr>
              <w:t>章</w:t>
            </w:r>
            <w:r>
              <w:rPr>
                <w:rFonts w:hint="eastAsia" w:ascii="宋体" w:hAnsi="宋体" w:cs="宋体"/>
                <w:b/>
                <w:color w:val="auto"/>
                <w:kern w:val="0"/>
                <w:szCs w:val="21"/>
                <w:highlight w:val="none"/>
              </w:rPr>
              <w:t>“合同条款及格式”</w:t>
            </w:r>
            <w:r>
              <w:rPr>
                <w:rFonts w:ascii="宋体" w:hAnsi="宋体" w:cs="宋体"/>
                <w:b/>
                <w:color w:val="auto"/>
                <w:kern w:val="0"/>
                <w:szCs w:val="21"/>
                <w:highlight w:val="none"/>
              </w:rPr>
              <w:t xml:space="preserve"> 第</w:t>
            </w:r>
            <w:r>
              <w:rPr>
                <w:rFonts w:hint="eastAsia" w:ascii="宋体" w:hAnsi="宋体" w:cs="宋体"/>
                <w:b/>
                <w:color w:val="auto"/>
                <w:kern w:val="0"/>
                <w:szCs w:val="21"/>
                <w:highlight w:val="none"/>
              </w:rPr>
              <w:t>五</w:t>
            </w:r>
            <w:r>
              <w:rPr>
                <w:rFonts w:ascii="宋体" w:hAnsi="宋体" w:cs="宋体"/>
                <w:b/>
                <w:color w:val="auto"/>
                <w:kern w:val="0"/>
                <w:szCs w:val="21"/>
                <w:highlight w:val="none"/>
              </w:rPr>
              <w:t>章</w:t>
            </w:r>
            <w:r>
              <w:rPr>
                <w:rFonts w:hint="eastAsia" w:ascii="宋体" w:hAnsi="宋体" w:cs="宋体"/>
                <w:b/>
                <w:color w:val="auto"/>
                <w:kern w:val="0"/>
                <w:szCs w:val="21"/>
                <w:highlight w:val="none"/>
              </w:rPr>
              <w:t>“项目要求”进行点对点应答或填写偏离表，且满足实质性条款（标识“※”的条款）要求。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参选有效期</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b/>
                <w:color w:val="auto"/>
                <w:kern w:val="0"/>
                <w:szCs w:val="21"/>
                <w:highlight w:val="none"/>
              </w:rPr>
              <w:t>满足比选文件参选有效期要求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参选保证金</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color w:val="auto"/>
                <w:szCs w:val="21"/>
                <w:highlight w:val="none"/>
              </w:rPr>
              <w:t>按照比选文件要求的金额及形式提交参选保证金</w:t>
            </w:r>
          </w:p>
          <w:p>
            <w:pPr>
              <w:snapToGrid w:val="0"/>
              <w:jc w:val="left"/>
              <w:rPr>
                <w:rFonts w:ascii="宋体" w:hAnsi="宋体" w:cs="宋体"/>
                <w:color w:val="auto"/>
                <w:szCs w:val="21"/>
                <w:highlight w:val="none"/>
              </w:rPr>
            </w:pPr>
            <w:r>
              <w:rPr>
                <w:rFonts w:hint="eastAsia" w:ascii="宋体" w:hAnsi="宋体" w:cs="宋体"/>
                <w:color w:val="auto"/>
                <w:szCs w:val="21"/>
                <w:highlight w:val="none"/>
              </w:rPr>
              <w:t>（1）※如采用银行电汇方式的，参选保证金必须从参选人的基本账户转出，并提供中国人民银行颁发的基本账户开户证明复印件或“基本账户信息”说明材料等。</w:t>
            </w:r>
          </w:p>
          <w:p>
            <w:pPr>
              <w:snapToGrid w:val="0"/>
              <w:jc w:val="left"/>
              <w:rPr>
                <w:rFonts w:ascii="宋体" w:hAnsi="宋体" w:cs="宋体"/>
                <w:color w:val="auto"/>
                <w:szCs w:val="21"/>
                <w:highlight w:val="none"/>
              </w:rPr>
            </w:pPr>
            <w:r>
              <w:rPr>
                <w:rFonts w:hint="eastAsia" w:ascii="宋体" w:hAnsi="宋体" w:cs="宋体"/>
                <w:color w:val="auto"/>
                <w:szCs w:val="21"/>
                <w:highlight w:val="none"/>
              </w:rPr>
              <w:t>（2）※如采用纸质银行保函方式的或支票的，纸质银行保函或支票需提供原件，银行保函的并按照比选文件第六章“参选文件格式”中的担保内容提供有效的银行保函。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商务报价</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b/>
                <w:color w:val="auto"/>
                <w:kern w:val="0"/>
                <w:szCs w:val="21"/>
                <w:highlight w:val="none"/>
              </w:rPr>
              <w:t>报价唯一且有效。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760" w:type="dxa"/>
            <w:vMerge w:val="restart"/>
            <w:vAlign w:val="center"/>
          </w:tcPr>
          <w:p>
            <w:pPr>
              <w:snapToGrid w:val="0"/>
              <w:jc w:val="center"/>
              <w:rPr>
                <w:rFonts w:ascii="宋体" w:hAnsi="宋体" w:cs="宋体"/>
                <w:color w:val="auto"/>
                <w:szCs w:val="21"/>
                <w:highlight w:val="none"/>
              </w:rPr>
            </w:pPr>
            <w:r>
              <w:rPr>
                <w:rFonts w:ascii="宋体" w:hAnsi="宋体" w:cs="宋体"/>
                <w:color w:val="auto"/>
                <w:szCs w:val="21"/>
                <w:highlight w:val="none"/>
              </w:rPr>
              <w:t>2.2</w:t>
            </w:r>
          </w:p>
        </w:tc>
        <w:tc>
          <w:tcPr>
            <w:tcW w:w="1022" w:type="dxa"/>
            <w:vMerge w:val="restart"/>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详细评审</w:t>
            </w:r>
          </w:p>
        </w:tc>
        <w:tc>
          <w:tcPr>
            <w:tcW w:w="1120" w:type="dxa"/>
            <w:gridSpan w:val="2"/>
            <w:vAlign w:val="center"/>
          </w:tcPr>
          <w:p>
            <w:pPr>
              <w:snapToGrid w:val="0"/>
              <w:jc w:val="left"/>
              <w:rPr>
                <w:rFonts w:ascii="宋体" w:hAnsi="宋体" w:cs="宋体"/>
                <w:color w:val="auto"/>
                <w:kern w:val="0"/>
                <w:szCs w:val="21"/>
                <w:highlight w:val="none"/>
              </w:rPr>
            </w:pPr>
            <w:r>
              <w:rPr>
                <w:rFonts w:hint="eastAsia" w:ascii="宋体" w:hAnsi="宋体" w:cs="宋体"/>
                <w:color w:val="auto"/>
                <w:kern w:val="0"/>
                <w:szCs w:val="21"/>
                <w:highlight w:val="none"/>
              </w:rPr>
              <w:t>评审内容</w:t>
            </w: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评分因素</w:t>
            </w:r>
          </w:p>
        </w:tc>
        <w:tc>
          <w:tcPr>
            <w:tcW w:w="4673" w:type="dxa"/>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评分</w:t>
            </w:r>
            <w:r>
              <w:rPr>
                <w:rFonts w:ascii="宋体" w:hAnsi="宋体" w:cs="宋体"/>
                <w:color w:val="auto"/>
                <w:kern w:val="0"/>
                <w:szCs w:val="21"/>
                <w:highlight w:val="none"/>
              </w:rPr>
              <w:t>标准</w:t>
            </w:r>
          </w:p>
        </w:tc>
        <w:tc>
          <w:tcPr>
            <w:tcW w:w="749" w:type="dxa"/>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restart"/>
            <w:vAlign w:val="center"/>
          </w:tcPr>
          <w:p>
            <w:pPr>
              <w:snapToGrid w:val="0"/>
              <w:jc w:val="center"/>
              <w:rPr>
                <w:rFonts w:ascii="宋体" w:hAnsi="宋体" w:cs="宋体"/>
                <w:color w:val="auto"/>
                <w:szCs w:val="21"/>
                <w:highlight w:val="none"/>
              </w:rPr>
            </w:pPr>
            <w:r>
              <w:rPr>
                <w:rFonts w:hint="eastAsia" w:ascii="宋体" w:hAnsi="宋体" w:cs="宋体"/>
                <w:color w:val="auto"/>
                <w:szCs w:val="21"/>
                <w:highlight w:val="none"/>
              </w:rPr>
              <w:t>商务</w:t>
            </w:r>
          </w:p>
        </w:tc>
        <w:tc>
          <w:tcPr>
            <w:tcW w:w="1745" w:type="dxa"/>
            <w:gridSpan w:val="2"/>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资质证书</w:t>
            </w:r>
          </w:p>
        </w:tc>
        <w:tc>
          <w:tcPr>
            <w:tcW w:w="4673" w:type="dxa"/>
            <w:vAlign w:val="center"/>
          </w:tcPr>
          <w:p>
            <w:pPr>
              <w:keepNext w:val="0"/>
              <w:keepLines w:val="0"/>
              <w:widowControl/>
              <w:suppressLineNumbers w:val="0"/>
              <w:jc w:val="both"/>
              <w:textAlignment w:val="center"/>
              <w:rPr>
                <w:b/>
                <w:color w:val="auto"/>
                <w:szCs w:val="21"/>
                <w:highlight w:val="none"/>
              </w:rPr>
            </w:pPr>
            <w:r>
              <w:rPr>
                <w:rFonts w:hint="eastAsia" w:ascii="宋体" w:hAnsi="宋体" w:eastAsia="宋体" w:cs="宋体"/>
                <w:i w:val="0"/>
                <w:iCs w:val="0"/>
                <w:color w:val="000000"/>
                <w:kern w:val="0"/>
                <w:sz w:val="21"/>
                <w:szCs w:val="21"/>
                <w:highlight w:val="none"/>
                <w:u w:val="none"/>
                <w:lang w:val="en-US" w:eastAsia="zh-CN" w:bidi="ar"/>
              </w:rPr>
              <w:t>参选人具有国家测绘行政主管部门颁发的测绘资质证书的甲级测绘资质证书得</w:t>
            </w:r>
            <w:r>
              <w:rPr>
                <w:rFonts w:hint="eastAsia" w:ascii="宋体" w:hAnsi="宋体" w:cs="宋体"/>
                <w:i w:val="0"/>
                <w:iCs w:val="0"/>
                <w:color w:val="000000"/>
                <w:kern w:val="0"/>
                <w:sz w:val="21"/>
                <w:szCs w:val="21"/>
                <w:highlight w:val="none"/>
                <w:u w:val="none"/>
                <w:lang w:val="en-US" w:eastAsia="zh-CN" w:bidi="ar"/>
              </w:rPr>
              <w:t>2</w:t>
            </w:r>
            <w:r>
              <w:rPr>
                <w:rFonts w:hint="eastAsia" w:ascii="宋体" w:hAnsi="宋体" w:eastAsia="宋体" w:cs="宋体"/>
                <w:i w:val="0"/>
                <w:iCs w:val="0"/>
                <w:color w:val="000000"/>
                <w:kern w:val="0"/>
                <w:sz w:val="21"/>
                <w:szCs w:val="21"/>
                <w:highlight w:val="none"/>
                <w:u w:val="none"/>
                <w:lang w:val="en-US" w:eastAsia="zh-CN" w:bidi="ar"/>
              </w:rPr>
              <w:t>分，乙级测绘资质证书得</w:t>
            </w:r>
            <w:r>
              <w:rPr>
                <w:rFonts w:hint="eastAsia" w:ascii="宋体" w:hAnsi="宋体" w:cs="宋体"/>
                <w:i w:val="0"/>
                <w:iCs w:val="0"/>
                <w:color w:val="000000"/>
                <w:kern w:val="0"/>
                <w:sz w:val="21"/>
                <w:szCs w:val="21"/>
                <w:highlight w:val="none"/>
                <w:u w:val="none"/>
                <w:lang w:val="en-US" w:eastAsia="zh-CN" w:bidi="ar"/>
              </w:rPr>
              <w:t>1</w:t>
            </w:r>
            <w:r>
              <w:rPr>
                <w:rFonts w:hint="eastAsia" w:ascii="宋体" w:hAnsi="宋体" w:eastAsia="宋体" w:cs="宋体"/>
                <w:i w:val="0"/>
                <w:iCs w:val="0"/>
                <w:color w:val="000000"/>
                <w:kern w:val="0"/>
                <w:sz w:val="21"/>
                <w:szCs w:val="21"/>
                <w:highlight w:val="none"/>
                <w:u w:val="none"/>
                <w:lang w:val="en-US" w:eastAsia="zh-CN" w:bidi="ar"/>
              </w:rPr>
              <w:t>分，其他不得分，本项最高得</w:t>
            </w:r>
            <w:r>
              <w:rPr>
                <w:rFonts w:hint="eastAsia" w:ascii="宋体" w:hAnsi="宋体" w:cs="宋体"/>
                <w:i w:val="0"/>
                <w:iCs w:val="0"/>
                <w:color w:val="000000"/>
                <w:kern w:val="0"/>
                <w:sz w:val="21"/>
                <w:szCs w:val="21"/>
                <w:highlight w:val="none"/>
                <w:u w:val="none"/>
                <w:lang w:val="en-US" w:eastAsia="zh-CN" w:bidi="ar"/>
              </w:rPr>
              <w:t>2</w:t>
            </w:r>
            <w:r>
              <w:rPr>
                <w:rFonts w:hint="eastAsia" w:ascii="宋体" w:hAnsi="宋体" w:eastAsia="宋体" w:cs="宋体"/>
                <w:i w:val="0"/>
                <w:iCs w:val="0"/>
                <w:color w:val="000000"/>
                <w:kern w:val="0"/>
                <w:sz w:val="21"/>
                <w:szCs w:val="21"/>
                <w:highlight w:val="none"/>
                <w:u w:val="none"/>
                <w:lang w:val="en-US" w:eastAsia="zh-CN" w:bidi="ar"/>
              </w:rPr>
              <w:t>分；（提供相关证书复印件，不提供不得分）</w:t>
            </w:r>
          </w:p>
        </w:tc>
        <w:tc>
          <w:tcPr>
            <w:tcW w:w="749" w:type="dxa"/>
            <w:vAlign w:val="center"/>
          </w:tcPr>
          <w:p>
            <w:pPr>
              <w:keepNext w:val="0"/>
              <w:keepLines w:val="0"/>
              <w:widowControl/>
              <w:suppressLineNumbers w:val="0"/>
              <w:jc w:val="center"/>
              <w:textAlignment w:val="center"/>
              <w:rPr>
                <w:rFonts w:ascii="宋体" w:hAnsi="宋体"/>
                <w:b/>
                <w:color w:val="auto"/>
                <w:szCs w:val="21"/>
                <w:highlight w:val="none"/>
              </w:rPr>
            </w:pPr>
            <w:r>
              <w:rPr>
                <w:rFonts w:hint="eastAsia" w:cs="Times New Roman"/>
                <w:i w:val="0"/>
                <w:iCs w:val="0"/>
                <w:color w:val="000000"/>
                <w:kern w:val="0"/>
                <w:sz w:val="21"/>
                <w:szCs w:val="21"/>
                <w:highlight w:val="none"/>
                <w:u w:val="none"/>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Align w:val="center"/>
          </w:tcPr>
          <w:p>
            <w:pPr>
              <w:keepNext w:val="0"/>
              <w:keepLines w:val="0"/>
              <w:widowControl/>
              <w:suppressLineNumbers w:val="0"/>
              <w:jc w:val="center"/>
              <w:textAlignment w:val="center"/>
              <w:rPr>
                <w:rFonts w:hint="eastAsia" w:ascii="宋体" w:hAnsi="宋体" w:eastAsia="宋体" w:cs="宋体"/>
                <w:b/>
                <w:color w:val="auto"/>
                <w:kern w:val="0"/>
                <w:sz w:val="20"/>
                <w:szCs w:val="20"/>
                <w:highlight w:val="none"/>
              </w:rPr>
            </w:pPr>
            <w:r>
              <w:rPr>
                <w:rFonts w:hint="eastAsia" w:ascii="宋体" w:hAnsi="宋体" w:eastAsia="宋体" w:cs="宋体"/>
                <w:i w:val="0"/>
                <w:iCs w:val="0"/>
                <w:color w:val="000000"/>
                <w:kern w:val="0"/>
                <w:sz w:val="21"/>
                <w:szCs w:val="21"/>
                <w:highlight w:val="none"/>
                <w:u w:val="none"/>
                <w:lang w:val="en-US" w:eastAsia="zh-CN" w:bidi="ar"/>
              </w:rPr>
              <w:t>管理体系认证</w:t>
            </w:r>
          </w:p>
        </w:tc>
        <w:tc>
          <w:tcPr>
            <w:tcW w:w="4673" w:type="dxa"/>
            <w:vAlign w:val="center"/>
          </w:tcPr>
          <w:p>
            <w:pPr>
              <w:keepNext w:val="0"/>
              <w:keepLines w:val="0"/>
              <w:widowControl/>
              <w:suppressLineNumbers w:val="0"/>
              <w:jc w:val="both"/>
              <w:textAlignment w:val="center"/>
              <w:rPr>
                <w:rFonts w:hint="eastAsia" w:ascii="宋体" w:hAnsi="宋体" w:eastAsia="宋体" w:cs="宋体"/>
                <w:b/>
                <w:color w:val="auto"/>
                <w:sz w:val="20"/>
                <w:szCs w:val="20"/>
                <w:highlight w:val="none"/>
              </w:rPr>
            </w:pPr>
            <w:r>
              <w:rPr>
                <w:rFonts w:hint="eastAsia" w:ascii="宋体" w:hAnsi="宋体" w:eastAsia="宋体" w:cs="宋体"/>
                <w:i w:val="0"/>
                <w:iCs w:val="0"/>
                <w:color w:val="000000"/>
                <w:kern w:val="0"/>
                <w:sz w:val="21"/>
                <w:szCs w:val="21"/>
                <w:highlight w:val="none"/>
                <w:u w:val="none"/>
                <w:lang w:val="en-US" w:eastAsia="zh-CN" w:bidi="ar"/>
              </w:rPr>
              <w:t>根据参选人具备管理体系认证情况评分：</w:t>
            </w:r>
            <w:r>
              <w:rPr>
                <w:rFonts w:hint="eastAsia" w:ascii="宋体" w:hAnsi="宋体" w:eastAsia="宋体" w:cs="宋体"/>
                <w:i w:val="0"/>
                <w:iCs w:val="0"/>
                <w:color w:val="000000"/>
                <w:kern w:val="0"/>
                <w:sz w:val="21"/>
                <w:szCs w:val="21"/>
                <w:highlight w:val="none"/>
                <w:u w:val="none"/>
                <w:lang w:val="en-US" w:eastAsia="zh-CN" w:bidi="ar"/>
              </w:rPr>
              <w:br w:type="textWrapping"/>
            </w:r>
            <w:r>
              <w:rPr>
                <w:rFonts w:hint="eastAsia" w:ascii="宋体" w:hAnsi="宋体" w:eastAsia="宋体" w:cs="宋体"/>
                <w:i w:val="0"/>
                <w:iCs w:val="0"/>
                <w:color w:val="000000"/>
                <w:kern w:val="0"/>
                <w:sz w:val="21"/>
                <w:szCs w:val="21"/>
                <w:highlight w:val="none"/>
                <w:u w:val="none"/>
                <w:lang w:val="en-US" w:eastAsia="zh-CN" w:bidi="ar"/>
              </w:rPr>
              <w:t>①具有ISO20000族信息技术服务管理体系认证</w:t>
            </w:r>
            <w:r>
              <w:rPr>
                <w:rFonts w:hint="eastAsia" w:ascii="宋体" w:hAnsi="宋体" w:eastAsia="宋体" w:cs="宋体"/>
                <w:i w:val="0"/>
                <w:iCs w:val="0"/>
                <w:color w:val="000000"/>
                <w:kern w:val="0"/>
                <w:sz w:val="21"/>
                <w:szCs w:val="21"/>
                <w:highlight w:val="none"/>
                <w:u w:val="none"/>
                <w:lang w:val="en-US" w:eastAsia="zh-CN" w:bidi="ar"/>
              </w:rPr>
              <w:br w:type="textWrapping"/>
            </w:r>
            <w:r>
              <w:rPr>
                <w:rFonts w:hint="eastAsia" w:ascii="宋体" w:hAnsi="宋体" w:eastAsia="宋体" w:cs="宋体"/>
                <w:i w:val="0"/>
                <w:iCs w:val="0"/>
                <w:color w:val="000000"/>
                <w:kern w:val="0"/>
                <w:sz w:val="21"/>
                <w:szCs w:val="21"/>
                <w:highlight w:val="none"/>
                <w:u w:val="none"/>
                <w:lang w:val="en-US" w:eastAsia="zh-CN" w:bidi="ar"/>
              </w:rPr>
              <w:t>②具有ISO27000族信息安全管理体系认证</w:t>
            </w:r>
            <w:r>
              <w:rPr>
                <w:rFonts w:hint="eastAsia" w:ascii="宋体" w:hAnsi="宋体" w:eastAsia="宋体" w:cs="宋体"/>
                <w:i w:val="0"/>
                <w:iCs w:val="0"/>
                <w:color w:val="000000"/>
                <w:kern w:val="0"/>
                <w:sz w:val="21"/>
                <w:szCs w:val="21"/>
                <w:highlight w:val="none"/>
                <w:u w:val="none"/>
                <w:lang w:val="en-US" w:eastAsia="zh-CN" w:bidi="ar"/>
              </w:rPr>
              <w:br w:type="textWrapping"/>
            </w:r>
            <w:r>
              <w:rPr>
                <w:rFonts w:hint="eastAsia" w:ascii="宋体" w:hAnsi="宋体" w:eastAsia="宋体" w:cs="宋体"/>
                <w:i w:val="0"/>
                <w:iCs w:val="0"/>
                <w:color w:val="000000"/>
                <w:kern w:val="0"/>
                <w:sz w:val="21"/>
                <w:szCs w:val="21"/>
                <w:highlight w:val="none"/>
                <w:u w:val="none"/>
                <w:lang w:val="en-US" w:eastAsia="zh-CN" w:bidi="ar"/>
              </w:rPr>
              <w:t>③具有ISO9000族质量管理体系认证</w:t>
            </w:r>
            <w:r>
              <w:rPr>
                <w:rFonts w:hint="eastAsia" w:ascii="宋体" w:hAnsi="宋体" w:eastAsia="宋体" w:cs="宋体"/>
                <w:i w:val="0"/>
                <w:iCs w:val="0"/>
                <w:color w:val="000000"/>
                <w:kern w:val="0"/>
                <w:sz w:val="21"/>
                <w:szCs w:val="21"/>
                <w:highlight w:val="none"/>
                <w:u w:val="none"/>
                <w:lang w:val="en-US" w:eastAsia="zh-CN" w:bidi="ar"/>
              </w:rPr>
              <w:br w:type="textWrapping"/>
            </w:r>
            <w:r>
              <w:rPr>
                <w:rFonts w:hint="eastAsia" w:ascii="宋体" w:hAnsi="宋体" w:eastAsia="宋体" w:cs="宋体"/>
                <w:i w:val="0"/>
                <w:iCs w:val="0"/>
                <w:color w:val="000000"/>
                <w:kern w:val="0"/>
                <w:sz w:val="21"/>
                <w:szCs w:val="21"/>
                <w:highlight w:val="none"/>
                <w:u w:val="none"/>
                <w:lang w:val="en-US" w:eastAsia="zh-CN" w:bidi="ar"/>
              </w:rPr>
              <w:t>④具有ISO14000族环境管理体系认证</w:t>
            </w:r>
            <w:r>
              <w:rPr>
                <w:rFonts w:hint="eastAsia" w:ascii="宋体" w:hAnsi="宋体" w:eastAsia="宋体" w:cs="宋体"/>
                <w:i w:val="0"/>
                <w:iCs w:val="0"/>
                <w:color w:val="000000"/>
                <w:kern w:val="0"/>
                <w:sz w:val="21"/>
                <w:szCs w:val="21"/>
                <w:highlight w:val="none"/>
                <w:u w:val="none"/>
                <w:lang w:val="en-US" w:eastAsia="zh-CN" w:bidi="ar"/>
              </w:rPr>
              <w:br w:type="textWrapping"/>
            </w:r>
            <w:r>
              <w:rPr>
                <w:rFonts w:hint="eastAsia" w:ascii="宋体" w:hAnsi="宋体" w:eastAsia="宋体" w:cs="宋体"/>
                <w:i w:val="0"/>
                <w:iCs w:val="0"/>
                <w:color w:val="000000"/>
                <w:kern w:val="0"/>
                <w:sz w:val="21"/>
                <w:szCs w:val="21"/>
                <w:highlight w:val="none"/>
                <w:u w:val="none"/>
                <w:lang w:val="en-US" w:eastAsia="zh-CN" w:bidi="ar"/>
              </w:rPr>
              <w:t>需提供全国认证认可信息公共服务平台网站查询截图证明http://cx.cnca.cn/CertECloud/index/index/page</w:t>
            </w:r>
            <w:r>
              <w:rPr>
                <w:rFonts w:hint="eastAsia" w:ascii="宋体" w:hAnsi="宋体" w:eastAsia="宋体" w:cs="宋体"/>
                <w:i w:val="0"/>
                <w:iCs w:val="0"/>
                <w:color w:val="000000"/>
                <w:kern w:val="0"/>
                <w:sz w:val="21"/>
                <w:szCs w:val="21"/>
                <w:highlight w:val="none"/>
                <w:u w:val="none"/>
                <w:lang w:val="en-US" w:eastAsia="zh-CN" w:bidi="ar"/>
              </w:rPr>
              <w:br w:type="textWrapping"/>
            </w:r>
            <w:r>
              <w:rPr>
                <w:rFonts w:hint="eastAsia" w:ascii="宋体" w:hAnsi="宋体" w:eastAsia="宋体" w:cs="宋体"/>
                <w:i w:val="0"/>
                <w:iCs w:val="0"/>
                <w:color w:val="000000"/>
                <w:kern w:val="0"/>
                <w:sz w:val="21"/>
                <w:szCs w:val="21"/>
                <w:highlight w:val="none"/>
                <w:u w:val="none"/>
                <w:lang w:val="en-US" w:eastAsia="zh-CN" w:bidi="ar"/>
              </w:rPr>
              <w:t>参选人同时具备以上证书的得</w:t>
            </w:r>
            <w:r>
              <w:rPr>
                <w:rFonts w:hint="eastAsia" w:ascii="宋体" w:hAnsi="宋体" w:cs="宋体"/>
                <w:i w:val="0"/>
                <w:iCs w:val="0"/>
                <w:color w:val="000000"/>
                <w:kern w:val="0"/>
                <w:sz w:val="21"/>
                <w:szCs w:val="21"/>
                <w:highlight w:val="none"/>
                <w:u w:val="none"/>
                <w:lang w:val="en-US" w:eastAsia="zh-CN" w:bidi="ar"/>
              </w:rPr>
              <w:t>1</w:t>
            </w:r>
            <w:r>
              <w:rPr>
                <w:rFonts w:hint="eastAsia" w:ascii="宋体" w:hAnsi="宋体" w:eastAsia="宋体" w:cs="宋体"/>
                <w:i w:val="0"/>
                <w:iCs w:val="0"/>
                <w:color w:val="000000"/>
                <w:kern w:val="0"/>
                <w:sz w:val="21"/>
                <w:szCs w:val="21"/>
                <w:highlight w:val="none"/>
                <w:u w:val="none"/>
                <w:lang w:val="en-US" w:eastAsia="zh-CN" w:bidi="ar"/>
              </w:rPr>
              <w:t>分，每少一个扣0.5分，扣完为止。（提供相关证书复印件，不提供不得分）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b/>
                <w:color w:val="auto"/>
                <w:sz w:val="20"/>
                <w:szCs w:val="20"/>
                <w:highlight w:val="none"/>
                <w:lang w:eastAsia="zh-CN"/>
              </w:rPr>
            </w:pPr>
            <w:r>
              <w:rPr>
                <w:rFonts w:hint="eastAsia" w:cs="Times New Roman"/>
                <w:i w:val="0"/>
                <w:iCs w:val="0"/>
                <w:color w:val="000000"/>
                <w:kern w:val="0"/>
                <w:sz w:val="21"/>
                <w:szCs w:val="21"/>
                <w:highlight w:val="none"/>
                <w:u w:val="none"/>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Align w:val="center"/>
          </w:tcPr>
          <w:p>
            <w:pPr>
              <w:keepNext w:val="0"/>
              <w:keepLines w:val="0"/>
              <w:widowControl/>
              <w:suppressLineNumbers w:val="0"/>
              <w:jc w:val="center"/>
              <w:textAlignment w:val="center"/>
              <w:rPr>
                <w:rFonts w:hint="eastAsia" w:ascii="宋体" w:hAnsi="宋体" w:eastAsia="宋体" w:cs="宋体"/>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参选文件制作质量</w:t>
            </w:r>
          </w:p>
        </w:tc>
        <w:tc>
          <w:tcPr>
            <w:tcW w:w="4673" w:type="dxa"/>
            <w:vAlign w:val="center"/>
          </w:tcPr>
          <w:p>
            <w:pPr>
              <w:keepNext w:val="0"/>
              <w:keepLines w:val="0"/>
              <w:widowControl/>
              <w:suppressLineNumbers w:val="0"/>
              <w:jc w:val="both"/>
              <w:textAlignment w:val="center"/>
              <w:rPr>
                <w:rFonts w:hint="eastAsia" w:ascii="宋体" w:hAnsi="宋体" w:eastAsia="宋体" w:cs="宋体"/>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参选文件格式和内容严格按照比选文件要求编制，需满足如下要求：</w:t>
            </w:r>
            <w:r>
              <w:rPr>
                <w:rFonts w:hint="default" w:ascii="Times New Roman" w:hAnsi="Times New Roman" w:eastAsia="宋体" w:cs="Times New Roman"/>
                <w:i w:val="0"/>
                <w:iCs w:val="0"/>
                <w:color w:val="000000"/>
                <w:kern w:val="0"/>
                <w:sz w:val="21"/>
                <w:szCs w:val="21"/>
                <w:highlight w:val="none"/>
                <w:u w:val="none"/>
                <w:lang w:val="en-US" w:eastAsia="zh-CN" w:bidi="ar"/>
              </w:rPr>
              <w:t>1</w:t>
            </w:r>
            <w:r>
              <w:rPr>
                <w:rFonts w:hint="eastAsia" w:ascii="宋体" w:hAnsi="宋体" w:eastAsia="宋体" w:cs="宋体"/>
                <w:i w:val="0"/>
                <w:iCs w:val="0"/>
                <w:color w:val="000000"/>
                <w:kern w:val="0"/>
                <w:sz w:val="21"/>
                <w:szCs w:val="21"/>
                <w:highlight w:val="none"/>
                <w:u w:val="none"/>
                <w:lang w:val="en-US" w:eastAsia="zh-CN" w:bidi="ar"/>
              </w:rPr>
              <w:t>）文字清晰，</w:t>
            </w:r>
            <w:r>
              <w:rPr>
                <w:rFonts w:hint="default" w:ascii="Times New Roman" w:hAnsi="Times New Roman" w:eastAsia="宋体" w:cs="Times New Roman"/>
                <w:i w:val="0"/>
                <w:iCs w:val="0"/>
                <w:color w:val="000000"/>
                <w:kern w:val="0"/>
                <w:sz w:val="21"/>
                <w:szCs w:val="21"/>
                <w:highlight w:val="none"/>
                <w:u w:val="none"/>
                <w:lang w:val="en-US" w:eastAsia="zh-CN" w:bidi="ar"/>
              </w:rPr>
              <w:t>2</w:t>
            </w:r>
            <w:r>
              <w:rPr>
                <w:rFonts w:hint="eastAsia" w:ascii="宋体" w:hAnsi="宋体" w:eastAsia="宋体" w:cs="宋体"/>
                <w:i w:val="0"/>
                <w:iCs w:val="0"/>
                <w:color w:val="000000"/>
                <w:kern w:val="0"/>
                <w:sz w:val="21"/>
                <w:szCs w:val="21"/>
                <w:highlight w:val="none"/>
                <w:u w:val="none"/>
                <w:lang w:val="en-US" w:eastAsia="zh-CN" w:bidi="ar"/>
              </w:rPr>
              <w:t>）目录清晰，</w:t>
            </w:r>
            <w:r>
              <w:rPr>
                <w:rFonts w:hint="default" w:ascii="Times New Roman" w:hAnsi="Times New Roman" w:eastAsia="宋体" w:cs="Times New Roman"/>
                <w:i w:val="0"/>
                <w:iCs w:val="0"/>
                <w:color w:val="000000"/>
                <w:kern w:val="0"/>
                <w:sz w:val="21"/>
                <w:szCs w:val="21"/>
                <w:highlight w:val="none"/>
                <w:u w:val="none"/>
                <w:lang w:val="en-US" w:eastAsia="zh-CN" w:bidi="ar"/>
              </w:rPr>
              <w:t>3</w:t>
            </w:r>
            <w:r>
              <w:rPr>
                <w:rFonts w:hint="eastAsia" w:ascii="宋体" w:hAnsi="宋体" w:eastAsia="宋体" w:cs="宋体"/>
                <w:i w:val="0"/>
                <w:iCs w:val="0"/>
                <w:color w:val="000000"/>
                <w:kern w:val="0"/>
                <w:sz w:val="21"/>
                <w:szCs w:val="21"/>
                <w:highlight w:val="none"/>
                <w:u w:val="none"/>
                <w:lang w:val="en-US" w:eastAsia="zh-CN" w:bidi="ar"/>
              </w:rPr>
              <w:t>）证明材料内容完整，</w:t>
            </w:r>
            <w:r>
              <w:rPr>
                <w:rFonts w:hint="default" w:ascii="Times New Roman" w:hAnsi="Times New Roman" w:eastAsia="宋体" w:cs="Times New Roman"/>
                <w:i w:val="0"/>
                <w:iCs w:val="0"/>
                <w:color w:val="000000"/>
                <w:kern w:val="0"/>
                <w:sz w:val="21"/>
                <w:szCs w:val="21"/>
                <w:highlight w:val="none"/>
                <w:u w:val="none"/>
                <w:lang w:val="en-US" w:eastAsia="zh-CN" w:bidi="ar"/>
              </w:rPr>
              <w:t>4</w:t>
            </w:r>
            <w:r>
              <w:rPr>
                <w:rFonts w:hint="eastAsia" w:ascii="宋体" w:hAnsi="宋体" w:eastAsia="宋体" w:cs="宋体"/>
                <w:i w:val="0"/>
                <w:iCs w:val="0"/>
                <w:color w:val="000000"/>
                <w:kern w:val="0"/>
                <w:sz w:val="21"/>
                <w:szCs w:val="21"/>
                <w:highlight w:val="none"/>
                <w:u w:val="none"/>
                <w:lang w:val="en-US" w:eastAsia="zh-CN" w:bidi="ar"/>
              </w:rPr>
              <w:t>）装订整齐，</w:t>
            </w:r>
            <w:r>
              <w:rPr>
                <w:rFonts w:hint="default" w:ascii="Times New Roman" w:hAnsi="Times New Roman" w:eastAsia="宋体" w:cs="Times New Roman"/>
                <w:i w:val="0"/>
                <w:iCs w:val="0"/>
                <w:color w:val="000000"/>
                <w:kern w:val="0"/>
                <w:sz w:val="21"/>
                <w:szCs w:val="21"/>
                <w:highlight w:val="none"/>
                <w:u w:val="none"/>
                <w:lang w:val="en-US" w:eastAsia="zh-CN" w:bidi="ar"/>
              </w:rPr>
              <w:t>5</w:t>
            </w:r>
            <w:r>
              <w:rPr>
                <w:rFonts w:hint="eastAsia" w:ascii="宋体" w:hAnsi="宋体" w:eastAsia="宋体" w:cs="宋体"/>
                <w:i w:val="0"/>
                <w:iCs w:val="0"/>
                <w:color w:val="000000"/>
                <w:kern w:val="0"/>
                <w:sz w:val="21"/>
                <w:szCs w:val="21"/>
                <w:highlight w:val="none"/>
                <w:u w:val="none"/>
                <w:lang w:val="en-US" w:eastAsia="zh-CN" w:bidi="ar"/>
              </w:rPr>
              <w:t>）查找方便（有索引页码）。满足得满分，每不满足一条按</w:t>
            </w:r>
            <w:r>
              <w:rPr>
                <w:rFonts w:hint="default" w:ascii="Times New Roman" w:hAnsi="Times New Roman" w:eastAsia="宋体" w:cs="Times New Roman"/>
                <w:i w:val="0"/>
                <w:iCs w:val="0"/>
                <w:color w:val="000000"/>
                <w:kern w:val="0"/>
                <w:sz w:val="21"/>
                <w:szCs w:val="21"/>
                <w:highlight w:val="none"/>
                <w:u w:val="none"/>
                <w:lang w:val="en-US" w:eastAsia="zh-CN" w:bidi="ar"/>
              </w:rPr>
              <w:t>0.2</w:t>
            </w:r>
            <w:r>
              <w:rPr>
                <w:rFonts w:hint="eastAsia" w:ascii="宋体" w:hAnsi="宋体" w:eastAsia="宋体" w:cs="宋体"/>
                <w:i w:val="0"/>
                <w:iCs w:val="0"/>
                <w:color w:val="000000"/>
                <w:kern w:val="0"/>
                <w:sz w:val="21"/>
                <w:szCs w:val="21"/>
                <w:highlight w:val="none"/>
                <w:u w:val="none"/>
                <w:lang w:val="en-US" w:eastAsia="zh-CN" w:bidi="ar"/>
              </w:rPr>
              <w:t>分扣分，扣完为止。</w:t>
            </w:r>
          </w:p>
        </w:tc>
        <w:tc>
          <w:tcPr>
            <w:tcW w:w="749" w:type="dxa"/>
            <w:vAlign w:val="center"/>
          </w:tcPr>
          <w:p>
            <w:pPr>
              <w:keepNext w:val="0"/>
              <w:keepLines w:val="0"/>
              <w:widowControl/>
              <w:suppressLineNumbers w:val="0"/>
              <w:jc w:val="center"/>
              <w:textAlignment w:val="center"/>
              <w:rPr>
                <w:rFonts w:hint="eastAsia" w:ascii="宋体" w:hAnsi="宋体" w:eastAsia="宋体" w:cs="宋体"/>
                <w:i w:val="0"/>
                <w:color w:val="000000"/>
                <w:kern w:val="0"/>
                <w:sz w:val="20"/>
                <w:szCs w:val="20"/>
                <w:highlight w:val="none"/>
                <w:u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restart"/>
            <w:vAlign w:val="center"/>
          </w:tcPr>
          <w:p>
            <w:pPr>
              <w:snapToGrid w:val="0"/>
              <w:jc w:val="center"/>
              <w:rPr>
                <w:rFonts w:ascii="宋体" w:hAnsi="宋体" w:cs="宋体"/>
                <w:color w:val="auto"/>
                <w:szCs w:val="21"/>
                <w:highlight w:val="none"/>
              </w:rPr>
            </w:pPr>
            <w:r>
              <w:rPr>
                <w:rFonts w:hint="eastAsia" w:ascii="宋体" w:hAnsi="宋体" w:cs="宋体"/>
                <w:color w:val="auto"/>
                <w:szCs w:val="21"/>
                <w:highlight w:val="none"/>
              </w:rPr>
              <w:t>技术</w:t>
            </w:r>
          </w:p>
        </w:tc>
        <w:tc>
          <w:tcPr>
            <w:tcW w:w="1745" w:type="dxa"/>
            <w:gridSpan w:val="2"/>
            <w:vMerge w:val="restart"/>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项目实施方案</w:t>
            </w:r>
          </w:p>
        </w:tc>
        <w:tc>
          <w:tcPr>
            <w:tcW w:w="4673" w:type="dxa"/>
            <w:vAlign w:val="center"/>
          </w:tcPr>
          <w:p>
            <w:pPr>
              <w:keepNext w:val="0"/>
              <w:keepLines w:val="0"/>
              <w:widowControl/>
              <w:suppressLineNumbers w:val="0"/>
              <w:jc w:val="both"/>
              <w:textAlignment w:val="center"/>
              <w:rPr>
                <w:b/>
                <w:color w:val="auto"/>
                <w:szCs w:val="21"/>
                <w:highlight w:val="none"/>
              </w:rPr>
            </w:pPr>
            <w:r>
              <w:rPr>
                <w:rFonts w:hint="default" w:ascii="Times New Roman" w:hAnsi="Times New Roman" w:eastAsia="宋体" w:cs="Times New Roman"/>
                <w:i w:val="0"/>
                <w:iCs w:val="0"/>
                <w:color w:val="000000"/>
                <w:kern w:val="0"/>
                <w:sz w:val="21"/>
                <w:szCs w:val="21"/>
                <w:highlight w:val="none"/>
                <w:u w:val="none"/>
                <w:lang w:val="en-US" w:eastAsia="zh-CN" w:bidi="ar"/>
              </w:rPr>
              <w:t>1</w:t>
            </w:r>
            <w:r>
              <w:rPr>
                <w:rFonts w:hint="eastAsia" w:ascii="宋体" w:hAnsi="宋体" w:eastAsia="宋体" w:cs="宋体"/>
                <w:i w:val="0"/>
                <w:iCs w:val="0"/>
                <w:color w:val="000000"/>
                <w:kern w:val="0"/>
                <w:sz w:val="21"/>
                <w:szCs w:val="21"/>
                <w:highlight w:val="none"/>
                <w:u w:val="none"/>
                <w:lang w:val="en-US" w:eastAsia="zh-CN" w:bidi="ar"/>
              </w:rPr>
              <w:t>、有对普查需求认知清晰，对项目实施重点、关键点分析得满分，否则不得分。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color w:val="auto"/>
                <w:kern w:val="0"/>
                <w:szCs w:val="21"/>
                <w:highlight w:val="none"/>
                <w:lang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hint="eastAsia" w:ascii="宋体" w:hAnsi="宋体" w:cs="宋体"/>
                <w:color w:val="auto"/>
                <w:szCs w:val="21"/>
                <w:highlight w:val="none"/>
              </w:rPr>
            </w:pPr>
          </w:p>
        </w:tc>
        <w:tc>
          <w:tcPr>
            <w:tcW w:w="1745" w:type="dxa"/>
            <w:gridSpan w:val="2"/>
            <w:vMerge w:val="continue"/>
            <w:vAlign w:val="center"/>
          </w:tcPr>
          <w:p>
            <w:pPr>
              <w:jc w:val="center"/>
              <w:rPr>
                <w:rFonts w:hint="eastAsia" w:ascii="宋体" w:hAnsi="宋体" w:cs="宋体"/>
                <w:kern w:val="0"/>
                <w:sz w:val="20"/>
                <w:szCs w:val="20"/>
                <w:highlight w:val="none"/>
                <w:lang w:bidi="ar"/>
              </w:rPr>
            </w:pPr>
          </w:p>
        </w:tc>
        <w:tc>
          <w:tcPr>
            <w:tcW w:w="4673" w:type="dxa"/>
            <w:vAlign w:val="center"/>
          </w:tcPr>
          <w:p>
            <w:pPr>
              <w:keepNext w:val="0"/>
              <w:keepLines w:val="0"/>
              <w:widowControl/>
              <w:suppressLineNumbers w:val="0"/>
              <w:jc w:val="both"/>
              <w:textAlignment w:val="center"/>
              <w:rPr>
                <w:rFonts w:hint="eastAsia" w:ascii="宋体" w:hAnsi="宋体" w:cs="宋体"/>
                <w:kern w:val="0"/>
                <w:sz w:val="20"/>
                <w:szCs w:val="20"/>
                <w:highlight w:val="none"/>
                <w:lang w:bidi="ar"/>
              </w:rPr>
            </w:pPr>
            <w:r>
              <w:rPr>
                <w:rFonts w:hint="default" w:ascii="Times New Roman" w:hAnsi="Times New Roman" w:eastAsia="宋体" w:cs="Times New Roman"/>
                <w:i w:val="0"/>
                <w:iCs w:val="0"/>
                <w:color w:val="000000"/>
                <w:kern w:val="0"/>
                <w:sz w:val="21"/>
                <w:szCs w:val="21"/>
                <w:highlight w:val="none"/>
                <w:u w:val="none"/>
                <w:lang w:val="en-US" w:eastAsia="zh-CN" w:bidi="ar"/>
              </w:rPr>
              <w:t>2</w:t>
            </w:r>
            <w:r>
              <w:rPr>
                <w:rFonts w:hint="eastAsia" w:ascii="宋体" w:hAnsi="宋体" w:eastAsia="宋体" w:cs="宋体"/>
                <w:i w:val="0"/>
                <w:iCs w:val="0"/>
                <w:color w:val="000000"/>
                <w:kern w:val="0"/>
                <w:sz w:val="21"/>
                <w:szCs w:val="21"/>
                <w:highlight w:val="none"/>
                <w:u w:val="none"/>
                <w:lang w:val="en-US" w:eastAsia="zh-CN" w:bidi="ar"/>
              </w:rPr>
              <w:t>、根据参选单位应答的完善性、合理性及可行性进行横向比较评价，方案表述是否清晰、严谨、合理，措施先进、具体、有效、成熟；优得[4.30～5.00]分，良得[3.50～4.30)分，中得[3.00～3.50)的分数，差得[0～3.00)分，分值须保留2位小数，等级可并列。</w:t>
            </w:r>
          </w:p>
        </w:tc>
        <w:tc>
          <w:tcPr>
            <w:tcW w:w="749" w:type="dxa"/>
            <w:vAlign w:val="center"/>
          </w:tcPr>
          <w:p>
            <w:pPr>
              <w:keepNext w:val="0"/>
              <w:keepLines w:val="0"/>
              <w:widowControl/>
              <w:suppressLineNumbers w:val="0"/>
              <w:jc w:val="center"/>
              <w:textAlignment w:val="center"/>
              <w:rPr>
                <w:rFonts w:hint="eastAsia" w:ascii="宋体" w:hAnsi="宋体" w:eastAsia="宋体" w:cs="宋体"/>
                <w:kern w:val="0"/>
                <w:sz w:val="20"/>
                <w:szCs w:val="20"/>
                <w:highlight w:val="none"/>
                <w:lang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restart"/>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项目技术方案</w:t>
            </w:r>
          </w:p>
        </w:tc>
        <w:tc>
          <w:tcPr>
            <w:tcW w:w="4673" w:type="dxa"/>
            <w:vAlign w:val="center"/>
          </w:tcPr>
          <w:p>
            <w:pPr>
              <w:keepNext w:val="0"/>
              <w:keepLines w:val="0"/>
              <w:widowControl/>
              <w:suppressLineNumbers w:val="0"/>
              <w:jc w:val="both"/>
              <w:textAlignment w:val="center"/>
              <w:rPr>
                <w:rFonts w:hint="eastAsia"/>
                <w:color w:val="auto"/>
                <w:highlight w:val="none"/>
              </w:rPr>
            </w:pPr>
            <w:r>
              <w:rPr>
                <w:rFonts w:hint="eastAsia" w:ascii="宋体" w:hAnsi="宋体" w:eastAsia="宋体" w:cs="宋体"/>
                <w:i w:val="0"/>
                <w:iCs w:val="0"/>
                <w:color w:val="000000"/>
                <w:kern w:val="0"/>
                <w:sz w:val="21"/>
                <w:szCs w:val="21"/>
                <w:highlight w:val="none"/>
                <w:u w:val="none"/>
                <w:lang w:val="en-US" w:eastAsia="zh-CN" w:bidi="ar"/>
              </w:rPr>
              <w:t>1、有提供完整的技术方案，包括普查服务、技术服务和交付时间等等得满分，否则不得分。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color w:val="auto"/>
                <w:kern w:val="0"/>
                <w:szCs w:val="21"/>
                <w:highlight w:val="none"/>
                <w:lang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continue"/>
            <w:vAlign w:val="center"/>
          </w:tcPr>
          <w:p>
            <w:pPr>
              <w:jc w:val="center"/>
              <w:rPr>
                <w:rFonts w:ascii="宋体" w:hAnsi="宋体" w:cs="宋体"/>
                <w:b/>
                <w:color w:val="auto"/>
                <w:kern w:val="0"/>
                <w:szCs w:val="21"/>
                <w:highlight w:val="none"/>
              </w:rPr>
            </w:pPr>
          </w:p>
        </w:tc>
        <w:tc>
          <w:tcPr>
            <w:tcW w:w="4673" w:type="dxa"/>
            <w:vAlign w:val="center"/>
          </w:tcPr>
          <w:p>
            <w:pPr>
              <w:keepNext w:val="0"/>
              <w:keepLines w:val="0"/>
              <w:widowControl/>
              <w:suppressLineNumbers w:val="0"/>
              <w:jc w:val="both"/>
              <w:textAlignment w:val="center"/>
              <w:rPr>
                <w:rFonts w:hint="eastAsia"/>
                <w:color w:val="auto"/>
                <w:highlight w:val="none"/>
              </w:rPr>
            </w:pPr>
            <w:r>
              <w:rPr>
                <w:rFonts w:hint="default" w:ascii="Times New Roman" w:hAnsi="Times New Roman" w:eastAsia="宋体" w:cs="Times New Roman"/>
                <w:i w:val="0"/>
                <w:iCs w:val="0"/>
                <w:color w:val="000000"/>
                <w:kern w:val="0"/>
                <w:sz w:val="21"/>
                <w:szCs w:val="21"/>
                <w:highlight w:val="none"/>
                <w:u w:val="none"/>
                <w:lang w:val="en-US" w:eastAsia="zh-CN" w:bidi="ar"/>
              </w:rPr>
              <w:t>2</w:t>
            </w:r>
            <w:r>
              <w:rPr>
                <w:rFonts w:hint="eastAsia" w:ascii="宋体" w:hAnsi="宋体" w:eastAsia="宋体" w:cs="宋体"/>
                <w:i w:val="0"/>
                <w:iCs w:val="0"/>
                <w:color w:val="000000"/>
                <w:kern w:val="0"/>
                <w:sz w:val="21"/>
                <w:szCs w:val="21"/>
                <w:highlight w:val="none"/>
                <w:u w:val="none"/>
                <w:lang w:val="en-US" w:eastAsia="zh-CN" w:bidi="ar"/>
              </w:rPr>
              <w:t>、有针对本项目的技术路线设计合理、实施方法符合本项目实际情况。</w:t>
            </w:r>
          </w:p>
        </w:tc>
        <w:tc>
          <w:tcPr>
            <w:tcW w:w="749" w:type="dxa"/>
            <w:vAlign w:val="center"/>
          </w:tcPr>
          <w:p>
            <w:pPr>
              <w:keepNext w:val="0"/>
              <w:keepLines w:val="0"/>
              <w:widowControl/>
              <w:suppressLineNumbers w:val="0"/>
              <w:jc w:val="center"/>
              <w:textAlignment w:val="center"/>
              <w:rPr>
                <w:rFonts w:hint="eastAsia" w:ascii="宋体" w:hAnsi="宋体" w:eastAsia="宋体" w:cs="宋体"/>
                <w:color w:val="auto"/>
                <w:kern w:val="0"/>
                <w:szCs w:val="21"/>
                <w:highlight w:val="none"/>
                <w:lang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continue"/>
            <w:vAlign w:val="center"/>
          </w:tcPr>
          <w:p>
            <w:pPr>
              <w:jc w:val="center"/>
              <w:rPr>
                <w:rFonts w:ascii="宋体" w:hAnsi="宋体" w:cs="宋体"/>
                <w:b/>
                <w:color w:val="auto"/>
                <w:kern w:val="0"/>
                <w:szCs w:val="21"/>
                <w:highlight w:val="none"/>
              </w:rPr>
            </w:pPr>
          </w:p>
        </w:tc>
        <w:tc>
          <w:tcPr>
            <w:tcW w:w="4673" w:type="dxa"/>
            <w:vAlign w:val="center"/>
          </w:tcPr>
          <w:p>
            <w:pPr>
              <w:keepNext w:val="0"/>
              <w:keepLines w:val="0"/>
              <w:widowControl/>
              <w:suppressLineNumbers w:val="0"/>
              <w:jc w:val="both"/>
              <w:textAlignment w:val="center"/>
              <w:rPr>
                <w:b/>
                <w:color w:val="auto"/>
                <w:szCs w:val="21"/>
                <w:highlight w:val="none"/>
              </w:rPr>
            </w:pPr>
            <w:r>
              <w:rPr>
                <w:rFonts w:hint="default" w:ascii="Times New Roman" w:hAnsi="Times New Roman" w:eastAsia="宋体" w:cs="Times New Roman"/>
                <w:i w:val="0"/>
                <w:iCs w:val="0"/>
                <w:color w:val="000000"/>
                <w:kern w:val="0"/>
                <w:sz w:val="21"/>
                <w:szCs w:val="21"/>
                <w:highlight w:val="none"/>
                <w:u w:val="none"/>
                <w:lang w:val="en-US" w:eastAsia="zh-CN" w:bidi="ar"/>
              </w:rPr>
              <w:t>3</w:t>
            </w:r>
            <w:r>
              <w:rPr>
                <w:rFonts w:hint="eastAsia" w:ascii="宋体" w:hAnsi="宋体" w:eastAsia="宋体" w:cs="宋体"/>
                <w:i w:val="0"/>
                <w:iCs w:val="0"/>
                <w:color w:val="000000"/>
                <w:kern w:val="0"/>
                <w:sz w:val="21"/>
                <w:szCs w:val="21"/>
                <w:highlight w:val="none"/>
                <w:u w:val="none"/>
                <w:lang w:val="en-US" w:eastAsia="zh-CN" w:bidi="ar"/>
              </w:rPr>
              <w:t>、根据参选单位应答的完善性、合理性及可行性进行横向比较评价，方案表述是否清晰、严谨、合理，措施先进、具体、有效、成熟；优得[4.30～5.00]分，良得[3.50～4.30)分，中得[3.00～3.50)的分数，差得[0～3.00)分，分值须保留2位小数，等级可并列。</w:t>
            </w:r>
          </w:p>
        </w:tc>
        <w:tc>
          <w:tcPr>
            <w:tcW w:w="749" w:type="dxa"/>
            <w:vAlign w:val="center"/>
          </w:tcPr>
          <w:p>
            <w:pPr>
              <w:keepNext w:val="0"/>
              <w:keepLines w:val="0"/>
              <w:widowControl/>
              <w:suppressLineNumbers w:val="0"/>
              <w:jc w:val="center"/>
              <w:textAlignment w:val="center"/>
              <w:rPr>
                <w:rFonts w:ascii="宋体" w:hAnsi="宋体" w:cs="宋体"/>
                <w:color w:val="auto"/>
                <w:kern w:val="0"/>
                <w:szCs w:val="21"/>
                <w:highlight w:val="none"/>
                <w:lang w:bidi="ar"/>
              </w:rPr>
            </w:pPr>
            <w:r>
              <w:rPr>
                <w:rFonts w:hint="default" w:ascii="Times New Roman" w:hAnsi="Times New Roman" w:eastAsia="宋体" w:cs="Times New Roman"/>
                <w:i w:val="0"/>
                <w:iCs w:val="0"/>
                <w:color w:val="000000"/>
                <w:kern w:val="0"/>
                <w:sz w:val="21"/>
                <w:szCs w:val="21"/>
                <w:highlight w:val="none"/>
                <w:u w:val="none"/>
                <w:lang w:val="en-US" w:eastAsia="zh-CN"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restart"/>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普查成果应用规划</w:t>
            </w:r>
          </w:p>
        </w:tc>
        <w:tc>
          <w:tcPr>
            <w:tcW w:w="4673" w:type="dxa"/>
            <w:vAlign w:val="center"/>
          </w:tcPr>
          <w:p>
            <w:pPr>
              <w:keepNext w:val="0"/>
              <w:keepLines w:val="0"/>
              <w:widowControl/>
              <w:suppressLineNumbers w:val="0"/>
              <w:jc w:val="both"/>
              <w:textAlignment w:val="center"/>
              <w:rPr>
                <w:rFonts w:hint="eastAsia" w:ascii="宋体" w:hAnsi="宋体" w:cs="宋体"/>
                <w:kern w:val="0"/>
                <w:sz w:val="20"/>
                <w:szCs w:val="20"/>
                <w:highlight w:val="none"/>
                <w:lang w:bidi="ar"/>
              </w:rPr>
            </w:pPr>
            <w:r>
              <w:rPr>
                <w:rFonts w:hint="eastAsia" w:ascii="宋体" w:hAnsi="宋体" w:eastAsia="宋体" w:cs="宋体"/>
                <w:i w:val="0"/>
                <w:iCs w:val="0"/>
                <w:color w:val="000000"/>
                <w:kern w:val="0"/>
                <w:sz w:val="21"/>
                <w:szCs w:val="21"/>
                <w:highlight w:val="none"/>
                <w:u w:val="none"/>
                <w:lang w:val="en-US" w:eastAsia="zh-CN" w:bidi="ar"/>
              </w:rPr>
              <w:t>1、有提供完整的普查成果应用规划，包括普查成果在自然灾害综合监测预警和应急指挥业务领域的应用规划方案。提供得满分，否则不得分。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kern w:val="0"/>
                <w:sz w:val="20"/>
                <w:szCs w:val="20"/>
                <w:highlight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continue"/>
            <w:vAlign w:val="center"/>
          </w:tcPr>
          <w:p>
            <w:pPr>
              <w:jc w:val="center"/>
              <w:rPr>
                <w:rFonts w:ascii="宋体" w:hAnsi="宋体" w:cs="宋体"/>
                <w:b/>
                <w:color w:val="auto"/>
                <w:kern w:val="0"/>
                <w:szCs w:val="21"/>
                <w:highlight w:val="none"/>
              </w:rPr>
            </w:pPr>
          </w:p>
        </w:tc>
        <w:tc>
          <w:tcPr>
            <w:tcW w:w="4673" w:type="dxa"/>
            <w:vAlign w:val="center"/>
          </w:tcPr>
          <w:p>
            <w:pPr>
              <w:keepNext w:val="0"/>
              <w:keepLines w:val="0"/>
              <w:widowControl/>
              <w:suppressLineNumbers w:val="0"/>
              <w:jc w:val="both"/>
              <w:textAlignment w:val="center"/>
              <w:rPr>
                <w:b/>
                <w:color w:val="auto"/>
                <w:szCs w:val="21"/>
                <w:highlight w:val="none"/>
              </w:rPr>
            </w:pPr>
            <w:r>
              <w:rPr>
                <w:rFonts w:hint="eastAsia" w:ascii="宋体" w:hAnsi="宋体" w:eastAsia="宋体" w:cs="宋体"/>
                <w:i w:val="0"/>
                <w:iCs w:val="0"/>
                <w:color w:val="000000"/>
                <w:kern w:val="0"/>
                <w:sz w:val="21"/>
                <w:szCs w:val="21"/>
                <w:highlight w:val="none"/>
                <w:u w:val="none"/>
                <w:lang w:val="en-US" w:eastAsia="zh-CN" w:bidi="ar"/>
              </w:rPr>
              <w:t>2、根据参选单位应答的完善性、合理性及可行性进行横向比较评价，方案表述是否清晰、严谨、合理，措施先进、具体、有效、成熟；优得[3.40～4.00]分，良得[2.80～3.40)分，中得[2.40～2.80)的分数，差得[0～2.40)分，分值须保留2位小数，等级可并列。</w:t>
            </w:r>
          </w:p>
        </w:tc>
        <w:tc>
          <w:tcPr>
            <w:tcW w:w="749" w:type="dxa"/>
            <w:vAlign w:val="center"/>
          </w:tcPr>
          <w:p>
            <w:pPr>
              <w:keepNext w:val="0"/>
              <w:keepLines w:val="0"/>
              <w:widowControl/>
              <w:suppressLineNumbers w:val="0"/>
              <w:jc w:val="center"/>
              <w:textAlignment w:val="center"/>
              <w:rPr>
                <w:rFonts w:hint="eastAsia" w:ascii="宋体" w:hAnsi="宋体" w:eastAsia="宋体" w:cs="宋体"/>
                <w:color w:val="auto"/>
                <w:kern w:val="0"/>
                <w:szCs w:val="21"/>
                <w:highlight w:val="none"/>
                <w:lang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质量保障</w:t>
            </w:r>
          </w:p>
        </w:tc>
        <w:tc>
          <w:tcPr>
            <w:tcW w:w="4673" w:type="dxa"/>
            <w:vAlign w:val="center"/>
          </w:tcPr>
          <w:p>
            <w:pPr>
              <w:keepNext w:val="0"/>
              <w:keepLines w:val="0"/>
              <w:widowControl/>
              <w:suppressLineNumbers w:val="0"/>
              <w:jc w:val="both"/>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供应商提供完整的质量及保证措施方案，提供得满分，否则不得分。</w:t>
            </w:r>
          </w:p>
        </w:tc>
        <w:tc>
          <w:tcPr>
            <w:tcW w:w="749"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highlight w:val="none"/>
                <w:u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企业能力</w:t>
            </w:r>
          </w:p>
        </w:tc>
        <w:tc>
          <w:tcPr>
            <w:tcW w:w="4673" w:type="dxa"/>
            <w:vAlign w:val="center"/>
          </w:tcPr>
          <w:p>
            <w:pPr>
              <w:keepNext w:val="0"/>
              <w:keepLines w:val="0"/>
              <w:widowControl/>
              <w:numPr>
                <w:ilvl w:val="0"/>
                <w:numId w:val="12"/>
              </w:numPr>
              <w:suppressLineNumbers w:val="0"/>
              <w:jc w:val="both"/>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参选人取得相关领域创新能力证明材料，应与自然灾害或安全相关且证书名称中包含“调查及评估分析”、“综合风险评估与区划”、“综合风险普查”、“普查成果管理”、“自然灾害综合监测预警”、“应急地理信息服务”、“城镇综合承灾能力评估”关键词，每提供一项得1分，最多得2分。</w:t>
            </w:r>
            <w:r>
              <w:rPr>
                <w:rFonts w:hint="eastAsia" w:ascii="宋体" w:hAnsi="宋体" w:eastAsia="宋体" w:cs="宋体"/>
                <w:i w:val="0"/>
                <w:iCs w:val="0"/>
                <w:color w:val="000000"/>
                <w:kern w:val="0"/>
                <w:sz w:val="21"/>
                <w:szCs w:val="21"/>
                <w:highlight w:val="none"/>
                <w:u w:val="none"/>
                <w:lang w:val="en-US" w:eastAsia="zh-CN" w:bidi="ar"/>
              </w:rPr>
              <w:br w:type="textWrapping"/>
            </w:r>
            <w:r>
              <w:rPr>
                <w:rFonts w:hint="eastAsia" w:ascii="宋体" w:hAnsi="宋体" w:eastAsia="宋体" w:cs="宋体"/>
                <w:i w:val="0"/>
                <w:iCs w:val="0"/>
                <w:color w:val="000000"/>
                <w:kern w:val="0"/>
                <w:sz w:val="21"/>
                <w:szCs w:val="21"/>
                <w:highlight w:val="none"/>
                <w:u w:val="none"/>
                <w:lang w:val="en-US" w:eastAsia="zh-CN" w:bidi="ar"/>
              </w:rPr>
              <w:t>2.参选人获得自然灾害或应急相关的国家级奖项，其中获得国家级一等奖的得3分，获得国家级二等奖的得2分，获得过国家级三等奖的得1分，其他不得分，此项最高得3分，获得多个奖项的得分不累计，只计算其中最高得分的一个奖项。</w:t>
            </w:r>
          </w:p>
          <w:p>
            <w:pPr>
              <w:keepNext w:val="0"/>
              <w:keepLines w:val="0"/>
              <w:widowControl/>
              <w:numPr>
                <w:ilvl w:val="0"/>
                <w:numId w:val="12"/>
              </w:numPr>
              <w:suppressLineNumbers w:val="0"/>
              <w:jc w:val="both"/>
              <w:textAlignment w:val="center"/>
              <w:rPr>
                <w:rFonts w:hint="eastAsia" w:ascii="宋体" w:hAnsi="宋体" w:cs="宋体"/>
                <w:kern w:val="0"/>
                <w:sz w:val="20"/>
                <w:szCs w:val="20"/>
                <w:highlight w:val="none"/>
                <w:lang w:bidi="ar"/>
              </w:rPr>
            </w:pPr>
            <w:r>
              <w:rPr>
                <w:rFonts w:hint="eastAsia" w:ascii="宋体" w:hAnsi="宋体" w:eastAsia="宋体" w:cs="宋体"/>
                <w:i w:val="0"/>
                <w:iCs w:val="0"/>
                <w:color w:val="000000"/>
                <w:kern w:val="0"/>
                <w:sz w:val="21"/>
                <w:szCs w:val="21"/>
                <w:highlight w:val="none"/>
                <w:u w:val="none"/>
                <w:lang w:val="en-US" w:eastAsia="zh-CN" w:bidi="ar"/>
              </w:rPr>
              <w:t>注：证明材料需提供复印件并加盖单位公章，否则不得分。</w:t>
            </w:r>
          </w:p>
        </w:tc>
        <w:tc>
          <w:tcPr>
            <w:tcW w:w="749" w:type="dxa"/>
            <w:vAlign w:val="center"/>
          </w:tcPr>
          <w:p>
            <w:pPr>
              <w:keepNext w:val="0"/>
              <w:keepLines w:val="0"/>
              <w:widowControl/>
              <w:suppressLineNumbers w:val="0"/>
              <w:jc w:val="center"/>
              <w:textAlignment w:val="center"/>
              <w:rPr>
                <w:rFonts w:hint="eastAsia" w:ascii="宋体" w:hAnsi="宋体" w:cs="宋体"/>
                <w:kern w:val="0"/>
                <w:sz w:val="20"/>
                <w:szCs w:val="20"/>
                <w:highlight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项目团队实力</w:t>
            </w:r>
          </w:p>
        </w:tc>
        <w:tc>
          <w:tcPr>
            <w:tcW w:w="4673" w:type="dxa"/>
            <w:vAlign w:val="center"/>
          </w:tcPr>
          <w:p>
            <w:pPr>
              <w:keepNext w:val="0"/>
              <w:keepLines w:val="0"/>
              <w:widowControl/>
              <w:suppressLineNumbers w:val="0"/>
              <w:jc w:val="both"/>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1.拟投入本项目的项目技术负责人同时具有安全科学与工程高级工程师证书及安全科学与工程博士学位，得2分。</w:t>
            </w:r>
            <w:r>
              <w:rPr>
                <w:rFonts w:hint="eastAsia" w:ascii="宋体" w:hAnsi="宋体" w:eastAsia="宋体" w:cs="宋体"/>
                <w:i w:val="0"/>
                <w:iCs w:val="0"/>
                <w:color w:val="000000"/>
                <w:kern w:val="0"/>
                <w:sz w:val="21"/>
                <w:szCs w:val="21"/>
                <w:highlight w:val="none"/>
                <w:u w:val="none"/>
                <w:lang w:val="en-US" w:eastAsia="zh-CN" w:bidi="ar"/>
              </w:rPr>
              <w:br w:type="textWrapping"/>
            </w:r>
            <w:r>
              <w:rPr>
                <w:rFonts w:hint="eastAsia" w:ascii="宋体" w:hAnsi="宋体" w:eastAsia="宋体" w:cs="宋体"/>
                <w:i w:val="0"/>
                <w:iCs w:val="0"/>
                <w:color w:val="000000"/>
                <w:kern w:val="0"/>
                <w:sz w:val="21"/>
                <w:szCs w:val="21"/>
                <w:highlight w:val="none"/>
                <w:u w:val="none"/>
                <w:lang w:val="en-US" w:eastAsia="zh-CN" w:bidi="ar"/>
              </w:rPr>
              <w:t>2.拟投入本项目的项目经理（与技术负责人不得为同一人）具有安全工程高级工程师证书及博士学位，得1分。</w:t>
            </w:r>
            <w:r>
              <w:rPr>
                <w:rFonts w:hint="eastAsia" w:ascii="宋体" w:hAnsi="宋体" w:eastAsia="宋体" w:cs="宋体"/>
                <w:i w:val="0"/>
                <w:iCs w:val="0"/>
                <w:color w:val="000000"/>
                <w:kern w:val="0"/>
                <w:sz w:val="21"/>
                <w:szCs w:val="21"/>
                <w:highlight w:val="none"/>
                <w:u w:val="none"/>
                <w:lang w:val="en-US" w:eastAsia="zh-CN" w:bidi="ar"/>
              </w:rPr>
              <w:br w:type="textWrapping"/>
            </w:r>
            <w:r>
              <w:rPr>
                <w:rFonts w:hint="eastAsia" w:ascii="宋体" w:hAnsi="宋体" w:eastAsia="宋体" w:cs="宋体"/>
                <w:i w:val="0"/>
                <w:iCs w:val="0"/>
                <w:color w:val="000000"/>
                <w:kern w:val="0"/>
                <w:sz w:val="21"/>
                <w:szCs w:val="21"/>
                <w:highlight w:val="none"/>
                <w:u w:val="none"/>
                <w:lang w:val="en-US" w:eastAsia="zh-CN" w:bidi="ar"/>
              </w:rPr>
              <w:t>3. 拟投入本项目的技术人员中包含计算机、地质勘察、地矿相关专业高级工程师的，每个提供一个得1分，最高得2分（人员不得重复）。</w:t>
            </w:r>
            <w:r>
              <w:rPr>
                <w:rFonts w:hint="eastAsia" w:ascii="宋体" w:hAnsi="宋体" w:eastAsia="宋体" w:cs="宋体"/>
                <w:i w:val="0"/>
                <w:iCs w:val="0"/>
                <w:color w:val="000000"/>
                <w:kern w:val="0"/>
                <w:sz w:val="21"/>
                <w:szCs w:val="21"/>
                <w:highlight w:val="none"/>
                <w:u w:val="none"/>
                <w:lang w:val="en-US" w:eastAsia="zh-CN" w:bidi="ar"/>
              </w:rPr>
              <w:br w:type="textWrapping"/>
            </w:r>
            <w:r>
              <w:rPr>
                <w:rFonts w:hint="eastAsia" w:ascii="宋体" w:hAnsi="宋体" w:eastAsia="宋体" w:cs="宋体"/>
                <w:i w:val="0"/>
                <w:iCs w:val="0"/>
                <w:color w:val="000000"/>
                <w:kern w:val="0"/>
                <w:sz w:val="21"/>
                <w:szCs w:val="21"/>
                <w:highlight w:val="none"/>
                <w:u w:val="none"/>
                <w:lang w:val="en-US" w:eastAsia="zh-CN" w:bidi="ar"/>
              </w:rPr>
              <w:t>以上所有人员须提供证书复印件。</w:t>
            </w:r>
          </w:p>
        </w:tc>
        <w:tc>
          <w:tcPr>
            <w:tcW w:w="749" w:type="dxa"/>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restart"/>
            <w:vAlign w:val="center"/>
          </w:tcPr>
          <w:p>
            <w:pPr>
              <w:snapToGrid w:val="0"/>
              <w:jc w:val="center"/>
              <w:rPr>
                <w:rFonts w:hint="eastAsia" w:ascii="宋体" w:hAnsi="宋体" w:eastAsia="宋体" w:cs="宋体"/>
                <w:color w:val="auto"/>
                <w:szCs w:val="21"/>
                <w:highlight w:val="none"/>
                <w:lang w:val="en-US" w:eastAsia="zh-CN"/>
              </w:rPr>
            </w:pPr>
            <w:r>
              <w:rPr>
                <w:rFonts w:hint="eastAsia" w:ascii="宋体" w:hAnsi="宋体" w:cs="宋体"/>
                <w:color w:val="auto"/>
                <w:szCs w:val="21"/>
                <w:highlight w:val="none"/>
                <w:lang w:val="en-US" w:eastAsia="zh-CN"/>
              </w:rPr>
              <w:t>服务</w:t>
            </w:r>
          </w:p>
        </w:tc>
        <w:tc>
          <w:tcPr>
            <w:tcW w:w="1745" w:type="dxa"/>
            <w:gridSpan w:val="2"/>
            <w:vMerge w:val="restart"/>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项目售后服务</w:t>
            </w:r>
          </w:p>
        </w:tc>
        <w:tc>
          <w:tcPr>
            <w:tcW w:w="4673" w:type="dxa"/>
            <w:vAlign w:val="center"/>
          </w:tcPr>
          <w:p>
            <w:pPr>
              <w:keepNext w:val="0"/>
              <w:keepLines w:val="0"/>
              <w:widowControl/>
              <w:suppressLineNumbers w:val="0"/>
              <w:jc w:val="both"/>
              <w:textAlignment w:val="center"/>
              <w:rPr>
                <w:rFonts w:hint="eastAsia" w:ascii="宋体" w:hAnsi="宋体" w:eastAsia="宋体" w:cs="宋体"/>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1、有对本项目的售后服务计划得满分，否则不得分。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i w:val="0"/>
                <w:color w:val="000000"/>
                <w:kern w:val="0"/>
                <w:sz w:val="20"/>
                <w:szCs w:val="20"/>
                <w:highlight w:val="none"/>
                <w:u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hint="eastAsia" w:ascii="宋体" w:hAnsi="宋体" w:cs="宋体"/>
                <w:color w:val="auto"/>
                <w:szCs w:val="21"/>
                <w:highlight w:val="none"/>
                <w:lang w:val="en-US" w:eastAsia="zh-CN"/>
              </w:rPr>
            </w:pPr>
          </w:p>
        </w:tc>
        <w:tc>
          <w:tcPr>
            <w:tcW w:w="1745" w:type="dxa"/>
            <w:gridSpan w:val="2"/>
            <w:vMerge w:val="continue"/>
            <w:vAlign w:val="center"/>
          </w:tcPr>
          <w:p>
            <w:pPr>
              <w:jc w:val="center"/>
              <w:rPr>
                <w:rFonts w:ascii="宋体" w:hAnsi="宋体" w:cs="宋体"/>
                <w:b/>
                <w:color w:val="auto"/>
                <w:kern w:val="0"/>
                <w:szCs w:val="21"/>
                <w:highlight w:val="none"/>
              </w:rPr>
            </w:pPr>
          </w:p>
        </w:tc>
        <w:tc>
          <w:tcPr>
            <w:tcW w:w="4673" w:type="dxa"/>
            <w:vAlign w:val="center"/>
          </w:tcPr>
          <w:p>
            <w:pPr>
              <w:keepNext w:val="0"/>
              <w:keepLines w:val="0"/>
              <w:widowControl/>
              <w:suppressLineNumbers w:val="0"/>
              <w:jc w:val="both"/>
              <w:textAlignment w:val="center"/>
              <w:rPr>
                <w:rFonts w:hint="eastAsia" w:ascii="宋体" w:hAnsi="宋体" w:eastAsia="宋体" w:cs="宋体"/>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2、有对本项目售后服务承诺得满分，否则不得分。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i w:val="0"/>
                <w:color w:val="000000"/>
                <w:kern w:val="0"/>
                <w:sz w:val="20"/>
                <w:szCs w:val="20"/>
                <w:highlight w:val="none"/>
                <w:u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continue"/>
            <w:vAlign w:val="center"/>
          </w:tcPr>
          <w:p>
            <w:pPr>
              <w:jc w:val="center"/>
              <w:rPr>
                <w:rFonts w:ascii="宋体" w:hAnsi="宋体" w:cs="宋体"/>
                <w:b/>
                <w:color w:val="auto"/>
                <w:kern w:val="0"/>
                <w:szCs w:val="21"/>
                <w:highlight w:val="none"/>
              </w:rPr>
            </w:pPr>
          </w:p>
        </w:tc>
        <w:tc>
          <w:tcPr>
            <w:tcW w:w="4673" w:type="dxa"/>
            <w:vAlign w:val="center"/>
          </w:tcPr>
          <w:p>
            <w:pPr>
              <w:keepNext w:val="0"/>
              <w:keepLines w:val="0"/>
              <w:widowControl/>
              <w:suppressLineNumbers w:val="0"/>
              <w:jc w:val="both"/>
              <w:textAlignment w:val="center"/>
              <w:rPr>
                <w:rFonts w:hint="eastAsia" w:ascii="宋体" w:hAnsi="宋体" w:eastAsia="宋体" w:cs="宋体"/>
                <w:i w:val="0"/>
                <w:color w:val="000000"/>
                <w:kern w:val="0"/>
                <w:sz w:val="20"/>
                <w:szCs w:val="20"/>
                <w:highlight w:val="none"/>
                <w:u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3</w:t>
            </w:r>
            <w:r>
              <w:rPr>
                <w:rFonts w:hint="eastAsia" w:ascii="宋体" w:hAnsi="宋体" w:eastAsia="宋体" w:cs="宋体"/>
                <w:i w:val="0"/>
                <w:iCs w:val="0"/>
                <w:color w:val="000000"/>
                <w:kern w:val="0"/>
                <w:sz w:val="21"/>
                <w:szCs w:val="21"/>
                <w:highlight w:val="none"/>
                <w:u w:val="none"/>
                <w:lang w:val="en-US" w:eastAsia="zh-CN" w:bidi="ar"/>
              </w:rPr>
              <w:t>、根据参选单位应答的完善性、合理性及可行性进行横向比较评价，方案表述是否清晰、严谨、合理，措施先进、具体、有效、成熟；优得[1.70～2.00]分，良得[1.40～1.70)分，中得[1.20～1.40)的分数，差得[0～1.20)分，分值须保留2位小数，等级可并列。</w:t>
            </w:r>
          </w:p>
        </w:tc>
        <w:tc>
          <w:tcPr>
            <w:tcW w:w="749" w:type="dxa"/>
            <w:vAlign w:val="center"/>
          </w:tcPr>
          <w:p>
            <w:pPr>
              <w:keepNext w:val="0"/>
              <w:keepLines w:val="0"/>
              <w:widowControl/>
              <w:suppressLineNumbers w:val="0"/>
              <w:jc w:val="center"/>
              <w:textAlignment w:val="center"/>
              <w:rPr>
                <w:rFonts w:hint="eastAsia" w:ascii="宋体" w:hAnsi="宋体" w:cs="宋体"/>
                <w:i w:val="0"/>
                <w:color w:val="000000"/>
                <w:kern w:val="0"/>
                <w:sz w:val="20"/>
                <w:szCs w:val="20"/>
                <w:highlight w:val="none"/>
                <w:u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Align w:val="center"/>
          </w:tcPr>
          <w:p>
            <w:pPr>
              <w:keepNext w:val="0"/>
              <w:keepLines w:val="0"/>
              <w:widowControl/>
              <w:suppressLineNumbers w:val="0"/>
              <w:jc w:val="center"/>
              <w:textAlignment w:val="center"/>
              <w:rPr>
                <w:rFonts w:hint="eastAsia" w:ascii="宋体" w:hAnsi="宋体" w:cs="宋体"/>
                <w:kern w:val="0"/>
                <w:sz w:val="20"/>
                <w:szCs w:val="20"/>
                <w:highlight w:val="none"/>
                <w:lang w:bidi="ar"/>
              </w:rPr>
            </w:pPr>
            <w:r>
              <w:rPr>
                <w:rFonts w:hint="eastAsia" w:ascii="宋体" w:hAnsi="宋体" w:eastAsia="宋体" w:cs="宋体"/>
                <w:i w:val="0"/>
                <w:iCs w:val="0"/>
                <w:color w:val="000000"/>
                <w:kern w:val="0"/>
                <w:sz w:val="21"/>
                <w:szCs w:val="21"/>
                <w:highlight w:val="none"/>
                <w:u w:val="none"/>
                <w:lang w:val="en-US" w:eastAsia="zh-CN" w:bidi="ar"/>
              </w:rPr>
              <w:t>额外服务承诺</w:t>
            </w:r>
          </w:p>
        </w:tc>
        <w:tc>
          <w:tcPr>
            <w:tcW w:w="4673" w:type="dxa"/>
            <w:vAlign w:val="center"/>
          </w:tcPr>
          <w:p>
            <w:pPr>
              <w:keepNext w:val="0"/>
              <w:keepLines w:val="0"/>
              <w:widowControl/>
              <w:suppressLineNumbers w:val="0"/>
              <w:jc w:val="left"/>
              <w:textAlignment w:val="center"/>
              <w:rPr>
                <w:rFonts w:hint="eastAsia" w:ascii="宋体" w:hAnsi="宋体" w:cs="宋体"/>
                <w:kern w:val="0"/>
                <w:sz w:val="20"/>
                <w:szCs w:val="20"/>
                <w:highlight w:val="none"/>
                <w:lang w:bidi="ar"/>
              </w:rPr>
            </w:pPr>
            <w:r>
              <w:rPr>
                <w:rFonts w:hint="eastAsia" w:ascii="宋体" w:hAnsi="宋体" w:eastAsia="宋体" w:cs="宋体"/>
                <w:i w:val="0"/>
                <w:iCs w:val="0"/>
                <w:color w:val="000000"/>
                <w:kern w:val="0"/>
                <w:sz w:val="21"/>
                <w:szCs w:val="21"/>
                <w:highlight w:val="none"/>
                <w:u w:val="none"/>
                <w:lang w:val="en-US" w:eastAsia="zh-CN" w:bidi="ar"/>
              </w:rPr>
              <w:t>提供针对本项目有利的额外服务承诺，满足一条得1分，本项最高得5分。（承诺函格式自拟）</w:t>
            </w:r>
          </w:p>
        </w:tc>
        <w:tc>
          <w:tcPr>
            <w:tcW w:w="749" w:type="dxa"/>
            <w:vAlign w:val="center"/>
          </w:tcPr>
          <w:p>
            <w:pPr>
              <w:keepNext w:val="0"/>
              <w:keepLines w:val="0"/>
              <w:widowControl/>
              <w:suppressLineNumbers w:val="0"/>
              <w:jc w:val="center"/>
              <w:textAlignment w:val="center"/>
              <w:rPr>
                <w:rFonts w:hint="eastAsia" w:ascii="宋体" w:hAnsi="宋体" w:cs="宋体"/>
                <w:kern w:val="0"/>
                <w:sz w:val="20"/>
                <w:szCs w:val="20"/>
                <w:highlight w:val="none"/>
                <w:lang w:bidi="ar"/>
              </w:rPr>
            </w:pPr>
            <w:r>
              <w:rPr>
                <w:rFonts w:hint="eastAsia" w:ascii="宋体" w:hAnsi="宋体" w:eastAsia="宋体" w:cs="宋体"/>
                <w:i w:val="0"/>
                <w:iCs w:val="0"/>
                <w:color w:val="000000"/>
                <w:kern w:val="0"/>
                <w:sz w:val="21"/>
                <w:szCs w:val="21"/>
                <w:highlight w:val="none"/>
                <w:u w:val="none"/>
                <w:lang w:val="en-US" w:eastAsia="zh-CN"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2"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Align w:val="center"/>
          </w:tcPr>
          <w:p>
            <w:pPr>
              <w:snapToGrid w:val="0"/>
              <w:jc w:val="left"/>
              <w:rPr>
                <w:rFonts w:ascii="宋体" w:hAnsi="宋体" w:cs="宋体"/>
                <w:color w:val="auto"/>
                <w:kern w:val="0"/>
                <w:szCs w:val="21"/>
                <w:highlight w:val="none"/>
              </w:rPr>
            </w:pPr>
            <w:r>
              <w:rPr>
                <w:rFonts w:hint="eastAsia" w:ascii="宋体" w:hAnsi="宋体" w:cs="宋体"/>
                <w:color w:val="auto"/>
                <w:kern w:val="0"/>
                <w:szCs w:val="21"/>
                <w:highlight w:val="none"/>
              </w:rPr>
              <w:t>价格</w:t>
            </w:r>
          </w:p>
        </w:tc>
        <w:tc>
          <w:tcPr>
            <w:tcW w:w="7167" w:type="dxa"/>
            <w:gridSpan w:val="4"/>
            <w:vAlign w:val="center"/>
          </w:tcPr>
          <w:p>
            <w:pPr>
              <w:rPr>
                <w:rFonts w:hint="eastAsia" w:eastAsia="宋体"/>
                <w:color w:val="auto"/>
                <w:szCs w:val="21"/>
                <w:highlight w:val="none"/>
                <w:lang w:eastAsia="zh-CN"/>
              </w:rPr>
            </w:pPr>
            <w:r>
              <w:rPr>
                <w:rFonts w:hint="eastAsia"/>
                <w:color w:val="auto"/>
                <w:szCs w:val="21"/>
                <w:highlight w:val="none"/>
              </w:rPr>
              <w:t>本项目以</w:t>
            </w:r>
            <w:r>
              <w:rPr>
                <w:rFonts w:hint="eastAsia"/>
                <w:color w:val="auto"/>
                <w:szCs w:val="21"/>
                <w:highlight w:val="none"/>
                <w:lang w:val="en-US" w:eastAsia="zh-CN"/>
              </w:rPr>
              <w:t>供应商报价的</w:t>
            </w:r>
            <w:r>
              <w:rPr>
                <w:rFonts w:hint="eastAsia"/>
                <w:b/>
                <w:bCs/>
                <w:color w:val="auto"/>
                <w:szCs w:val="21"/>
                <w:highlight w:val="none"/>
                <w:lang w:val="en-US" w:eastAsia="zh-CN"/>
              </w:rPr>
              <w:t>参选总报价（不含税）</w:t>
            </w:r>
            <w:r>
              <w:rPr>
                <w:rFonts w:hint="eastAsia"/>
                <w:color w:val="auto"/>
                <w:szCs w:val="21"/>
                <w:highlight w:val="none"/>
              </w:rPr>
              <w:t>作为评审价格，</w:t>
            </w:r>
            <w:r>
              <w:rPr>
                <w:color w:val="auto"/>
                <w:szCs w:val="21"/>
                <w:highlight w:val="none"/>
              </w:rPr>
              <w:t>开具增值税专用发票</w:t>
            </w:r>
            <w:r>
              <w:rPr>
                <w:rFonts w:hint="eastAsia"/>
                <w:color w:val="auto"/>
                <w:szCs w:val="21"/>
                <w:highlight w:val="none"/>
                <w:lang w:eastAsia="zh-CN"/>
              </w:rPr>
              <w:t>。</w:t>
            </w:r>
          </w:p>
          <w:p>
            <w:pPr>
              <w:snapToGrid w:val="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采用基准价法进行计算。</w:t>
            </w:r>
          </w:p>
          <w:p>
            <w:pPr>
              <w:snapToGrid w:val="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所有有效的评审模型价格平均值*0.9即为报价基准点（记为A）,得50分。然后，将其与各参选单位的评审模型价格比较。评审价格B1比A值每低1%（评审价格与基准点的差值（差的绝对值）在基准价中的占比）扣0.2分，计算公式=50-（A-B1）/A×100×0.2。评审价格B1比A值每高1%（评审价格与基准点的差值（差的绝对值）在基准价中的占比）扣0.4分，计算公式=50-（B1-A）/A×100×0.4；</w:t>
            </w:r>
          </w:p>
          <w:p>
            <w:pPr>
              <w:snapToGrid w:val="0"/>
              <w:jc w:val="left"/>
              <w:rPr>
                <w:rFonts w:ascii="宋体" w:hAnsi="宋体" w:cs="宋体"/>
                <w:color w:val="auto"/>
                <w:kern w:val="0"/>
                <w:szCs w:val="21"/>
                <w:highlight w:val="none"/>
              </w:rPr>
            </w:pPr>
            <w:r>
              <w:rPr>
                <w:rFonts w:hint="eastAsia" w:ascii="宋体" w:hAnsi="宋体" w:cs="宋体"/>
                <w:color w:val="auto"/>
                <w:kern w:val="0"/>
                <w:szCs w:val="21"/>
                <w:highlight w:val="none"/>
              </w:rPr>
              <w:t>（所有数值均保留小数点后两位，按比例取值，经济部分总分为50分，扣完为止。）</w:t>
            </w:r>
          </w:p>
          <w:p>
            <w:pPr>
              <w:snapToGrid w:val="0"/>
              <w:jc w:val="left"/>
              <w:rPr>
                <w:rFonts w:ascii="宋体" w:hAnsi="宋体" w:cs="宋体"/>
                <w:color w:val="auto"/>
                <w:kern w:val="0"/>
                <w:szCs w:val="21"/>
                <w:highlight w:val="none"/>
              </w:rPr>
            </w:pPr>
            <w:r>
              <w:rPr>
                <w:rFonts w:hint="eastAsia" w:ascii="宋体" w:hAnsi="宋体" w:cs="宋体"/>
                <w:color w:val="auto"/>
                <w:kern w:val="0"/>
                <w:szCs w:val="21"/>
                <w:highlight w:val="none"/>
              </w:rPr>
              <w:t>（异常价格判定和处理：</w:t>
            </w:r>
            <w:r>
              <w:rPr>
                <w:rFonts w:hint="eastAsia" w:ascii="宋体" w:hAnsi="宋体" w:cs="宋体"/>
                <w:color w:val="auto"/>
                <w:kern w:val="0"/>
                <w:szCs w:val="21"/>
                <w:highlight w:val="none"/>
              </w:rPr>
              <w:br w:type="textWrapping"/>
            </w:r>
            <w:r>
              <w:rPr>
                <w:rFonts w:hint="eastAsia" w:ascii="宋体" w:hAnsi="宋体" w:cs="宋体"/>
                <w:color w:val="auto"/>
                <w:kern w:val="0"/>
                <w:szCs w:val="21"/>
                <w:highlight w:val="none"/>
              </w:rPr>
              <w:t>判定：异常价格是指与整体报价水平相比过高或过低的有效参选报价。一般以所有有效参选价算术平均值的 50%作为异常价格判定下限，200%作为异常价格判定上限，高于（不含）上限的为异常高价，低于（不含）下限的为异常低价。</w:t>
            </w:r>
          </w:p>
          <w:p>
            <w:pPr>
              <w:snapToGrid w:val="0"/>
              <w:jc w:val="left"/>
              <w:rPr>
                <w:rFonts w:ascii="宋体" w:hAnsi="宋体" w:cs="宋体"/>
                <w:color w:val="auto"/>
                <w:kern w:val="0"/>
                <w:szCs w:val="21"/>
                <w:highlight w:val="none"/>
              </w:rPr>
            </w:pPr>
            <w:r>
              <w:rPr>
                <w:rFonts w:hint="eastAsia" w:ascii="宋体" w:hAnsi="宋体" w:cs="宋体"/>
                <w:color w:val="auto"/>
                <w:kern w:val="0"/>
                <w:szCs w:val="21"/>
                <w:highlight w:val="none"/>
              </w:rPr>
              <w:t>处理：一般应剔除异常价格后取其余有效报价进行价格分计算，如剔除异常价格后有效报价不足 2 个，可以将异常价格判定上限和下限分别作为最高价和最低价进行价格分计算。）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Align w:val="center"/>
          </w:tcPr>
          <w:p>
            <w:pPr>
              <w:snapToGrid w:val="0"/>
              <w:jc w:val="left"/>
              <w:rPr>
                <w:rFonts w:ascii="宋体" w:hAnsi="宋体" w:cs="宋体"/>
                <w:color w:val="auto"/>
                <w:kern w:val="0"/>
                <w:szCs w:val="21"/>
                <w:highlight w:val="none"/>
              </w:rPr>
            </w:pPr>
            <w:r>
              <w:rPr>
                <w:rFonts w:hint="eastAsia"/>
                <w:color w:val="auto"/>
                <w:szCs w:val="21"/>
                <w:highlight w:val="none"/>
              </w:rPr>
              <w:t>扣分项：《中国电信供应商不良行为管理规则》及处理结果应用</w:t>
            </w:r>
          </w:p>
        </w:tc>
        <w:tc>
          <w:tcPr>
            <w:tcW w:w="7167" w:type="dxa"/>
            <w:gridSpan w:val="4"/>
            <w:vAlign w:val="center"/>
          </w:tcPr>
          <w:p>
            <w:pPr>
              <w:snapToGrid w:val="0"/>
              <w:ind w:firstLine="420" w:firstLineChars="200"/>
              <w:rPr>
                <w:color w:val="auto"/>
                <w:szCs w:val="21"/>
                <w:highlight w:val="none"/>
              </w:rPr>
            </w:pPr>
            <w:r>
              <w:rPr>
                <w:rFonts w:hint="eastAsia"/>
                <w:color w:val="auto"/>
                <w:szCs w:val="21"/>
                <w:highlight w:val="none"/>
              </w:rPr>
              <w:t>按照《中国电信供应商不良行为管理规则》及处理结果，应对参选人的本次参选执行限制采购处理措施的,评选委员会应按照规则及处理结果扣减相应分值；参选人存在多例相关处理结果的，累计扣减对应分值。</w:t>
            </w:r>
          </w:p>
          <w:p>
            <w:pPr>
              <w:snapToGrid w:val="0"/>
              <w:ind w:firstLine="420" w:firstLineChars="200"/>
              <w:rPr>
                <w:color w:val="auto"/>
                <w:szCs w:val="21"/>
                <w:highlight w:val="none"/>
              </w:rPr>
            </w:pPr>
            <w:r>
              <w:rPr>
                <w:rFonts w:hint="eastAsia"/>
                <w:color w:val="auto"/>
                <w:szCs w:val="21"/>
                <w:highlight w:val="none"/>
              </w:rPr>
              <w:t>同一分包（标包）或未划分分包（标包）的同一比选项目涉及多个产品评估品类的，参选人及其任一产品品类涉及相关限制采购处理结果的，该分包（标包）或比选项目均应适用相关的限制采购处理措施。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1" w:hRule="atLeast"/>
          <w:jc w:val="center"/>
        </w:trPr>
        <w:tc>
          <w:tcPr>
            <w:tcW w:w="760" w:type="dxa"/>
            <w:vAlign w:val="center"/>
          </w:tcPr>
          <w:p>
            <w:pPr>
              <w:snapToGrid w:val="0"/>
              <w:jc w:val="center"/>
              <w:rPr>
                <w:rFonts w:ascii="宋体" w:hAnsi="宋体" w:cs="宋体"/>
                <w:color w:val="auto"/>
                <w:kern w:val="0"/>
                <w:szCs w:val="21"/>
                <w:highlight w:val="none"/>
              </w:rPr>
            </w:pPr>
            <w:r>
              <w:rPr>
                <w:rFonts w:ascii="宋体" w:hAnsi="宋体" w:cs="宋体"/>
                <w:color w:val="auto"/>
                <w:kern w:val="0"/>
                <w:szCs w:val="21"/>
                <w:highlight w:val="none"/>
              </w:rPr>
              <w:t>3.2</w:t>
            </w:r>
            <w:r>
              <w:rPr>
                <w:rFonts w:hint="eastAsia" w:ascii="宋体" w:hAnsi="宋体" w:cs="宋体"/>
                <w:color w:val="auto"/>
                <w:kern w:val="0"/>
                <w:szCs w:val="21"/>
                <w:highlight w:val="none"/>
              </w:rPr>
              <w:t>.</w:t>
            </w:r>
            <w:r>
              <w:rPr>
                <w:rFonts w:ascii="宋体" w:hAnsi="宋体" w:cs="宋体"/>
                <w:color w:val="auto"/>
                <w:kern w:val="0"/>
                <w:szCs w:val="21"/>
                <w:highlight w:val="none"/>
              </w:rPr>
              <w:t>2</w:t>
            </w:r>
          </w:p>
        </w:tc>
        <w:tc>
          <w:tcPr>
            <w:tcW w:w="1022" w:type="dxa"/>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评分计算原则</w:t>
            </w:r>
          </w:p>
        </w:tc>
        <w:tc>
          <w:tcPr>
            <w:tcW w:w="8287" w:type="dxa"/>
            <w:gridSpan w:val="6"/>
            <w:vAlign w:val="center"/>
          </w:tcPr>
          <w:p>
            <w:pPr>
              <w:snapToGrid w:val="0"/>
              <w:jc w:val="left"/>
              <w:rPr>
                <w:rFonts w:ascii="宋体" w:hAnsi="宋体" w:cs="宋体"/>
                <w:color w:val="auto"/>
                <w:kern w:val="0"/>
                <w:szCs w:val="21"/>
                <w:highlight w:val="none"/>
              </w:rPr>
            </w:pPr>
            <w:r>
              <w:rPr>
                <w:rFonts w:ascii="宋体" w:hAnsi="宋体" w:cs="宋体"/>
                <w:color w:val="auto"/>
                <w:kern w:val="0"/>
                <w:szCs w:val="21"/>
                <w:highlight w:val="none"/>
              </w:rPr>
              <w:t>1、保留小数2位数，小数位后处理原则：2位小数之后的数值四舍五入</w:t>
            </w:r>
          </w:p>
          <w:p>
            <w:pPr>
              <w:snapToGrid w:val="0"/>
              <w:rPr>
                <w:rFonts w:ascii="宋体" w:hAnsi="宋体" w:cs="宋体"/>
                <w:color w:val="auto"/>
                <w:kern w:val="0"/>
                <w:szCs w:val="21"/>
                <w:highlight w:val="none"/>
              </w:rPr>
            </w:pPr>
            <w:r>
              <w:rPr>
                <w:rFonts w:ascii="宋体" w:hAnsi="宋体" w:cs="宋体"/>
                <w:color w:val="auto"/>
                <w:kern w:val="0"/>
                <w:szCs w:val="21"/>
                <w:highlight w:val="none"/>
              </w:rPr>
              <w:t>2、评选委员会人数为5人的，商务技术总分取各项算术平均值合计。</w:t>
            </w:r>
          </w:p>
          <w:p>
            <w:pPr>
              <w:snapToGrid w:val="0"/>
              <w:rPr>
                <w:rFonts w:hint="eastAsia" w:ascii="宋体" w:hAnsi="宋体" w:eastAsia="宋体" w:cs="宋体"/>
                <w:color w:val="auto"/>
                <w:kern w:val="0"/>
                <w:szCs w:val="21"/>
                <w:highlight w:val="none"/>
                <w:lang w:eastAsia="zh-CN"/>
              </w:rPr>
            </w:pPr>
            <w:r>
              <w:rPr>
                <w:rFonts w:hint="eastAsia" w:ascii="宋体" w:hAnsi="宋体" w:cs="宋体"/>
                <w:color w:val="auto"/>
                <w:kern w:val="0"/>
                <w:szCs w:val="21"/>
                <w:highlight w:val="none"/>
              </w:rPr>
              <w:t>3、按照《中国电信供应商不良行为管理规则》及处理结果，应对参选人的本次参选执行限制采购处理措施的,评选委员会应按照该管理规则及处理结果扣减相应分值。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7" w:hRule="atLeast"/>
          <w:jc w:val="center"/>
        </w:trPr>
        <w:tc>
          <w:tcPr>
            <w:tcW w:w="760" w:type="dxa"/>
            <w:vAlign w:val="center"/>
          </w:tcPr>
          <w:p>
            <w:pPr>
              <w:snapToGrid w:val="0"/>
              <w:jc w:val="center"/>
              <w:rPr>
                <w:rFonts w:ascii="宋体" w:hAnsi="宋体" w:cs="宋体"/>
                <w:color w:val="auto"/>
                <w:kern w:val="0"/>
                <w:szCs w:val="21"/>
                <w:highlight w:val="none"/>
              </w:rPr>
            </w:pPr>
            <w:r>
              <w:rPr>
                <w:rFonts w:ascii="宋体" w:hAnsi="宋体" w:cs="宋体"/>
                <w:color w:val="auto"/>
                <w:kern w:val="0"/>
                <w:szCs w:val="21"/>
                <w:highlight w:val="none"/>
              </w:rPr>
              <w:t>3.4</w:t>
            </w:r>
          </w:p>
        </w:tc>
        <w:tc>
          <w:tcPr>
            <w:tcW w:w="1022" w:type="dxa"/>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中选候选人推荐原则</w:t>
            </w:r>
          </w:p>
        </w:tc>
        <w:tc>
          <w:tcPr>
            <w:tcW w:w="8287" w:type="dxa"/>
            <w:gridSpan w:val="6"/>
            <w:vAlign w:val="center"/>
          </w:tcPr>
          <w:p>
            <w:pPr>
              <w:widowControl/>
              <w:jc w:val="left"/>
              <w:rPr>
                <w:rFonts w:ascii="宋体" w:hAnsi="宋体"/>
                <w:color w:val="auto"/>
                <w:szCs w:val="21"/>
                <w:highlight w:val="none"/>
              </w:rPr>
            </w:pPr>
            <w:r>
              <w:rPr>
                <w:rFonts w:hint="eastAsia" w:ascii="宋体" w:hAnsi="宋体"/>
                <w:color w:val="auto"/>
                <w:szCs w:val="21"/>
                <w:highlight w:val="none"/>
              </w:rPr>
              <w:t>（1）中选候选人推荐数量：</w:t>
            </w:r>
            <w:r>
              <w:rPr>
                <w:rFonts w:ascii="宋体" w:hAnsi="宋体"/>
                <w:color w:val="auto"/>
                <w:szCs w:val="21"/>
                <w:highlight w:val="none"/>
              </w:rPr>
              <w:t>1</w:t>
            </w:r>
            <w:r>
              <w:rPr>
                <w:rFonts w:hint="eastAsia" w:ascii="宋体" w:hAnsi="宋体"/>
                <w:color w:val="auto"/>
                <w:szCs w:val="21"/>
                <w:highlight w:val="none"/>
              </w:rPr>
              <w:t>人</w:t>
            </w:r>
            <w:r>
              <w:rPr>
                <w:rFonts w:hint="eastAsia" w:ascii="宋体" w:hAnsi="宋体"/>
                <w:b/>
                <w:bCs/>
                <w:color w:val="auto"/>
                <w:szCs w:val="21"/>
                <w:highlight w:val="none"/>
              </w:rPr>
              <w:t>。</w:t>
            </w:r>
          </w:p>
          <w:p>
            <w:pPr>
              <w:snapToGrid w:val="0"/>
              <w:jc w:val="left"/>
              <w:rPr>
                <w:rFonts w:ascii="宋体" w:hAnsi="宋体" w:cs="宋体"/>
                <w:color w:val="auto"/>
                <w:kern w:val="0"/>
                <w:szCs w:val="21"/>
                <w:highlight w:val="none"/>
              </w:rPr>
            </w:pPr>
            <w:r>
              <w:rPr>
                <w:rFonts w:hint="eastAsia" w:ascii="宋体" w:hAnsi="宋体"/>
                <w:color w:val="auto"/>
                <w:szCs w:val="21"/>
                <w:highlight w:val="none"/>
              </w:rPr>
              <w:t>（2）中选候选人推荐规则：按照本章规定的评分标准进行打分，并按得分由高到低顺序推荐中选候选人。</w:t>
            </w:r>
          </w:p>
          <w:p>
            <w:pPr>
              <w:snapToGrid w:val="0"/>
              <w:jc w:val="left"/>
              <w:rPr>
                <w:rFonts w:ascii="宋体" w:hAnsi="宋体" w:cs="宋体"/>
                <w:color w:val="auto"/>
                <w:kern w:val="0"/>
                <w:szCs w:val="21"/>
                <w:highlight w:val="none"/>
              </w:rPr>
            </w:pPr>
            <w:r>
              <w:rPr>
                <w:rFonts w:hint="eastAsia" w:ascii="宋体" w:hAnsi="宋体" w:cs="宋体"/>
                <w:color w:val="auto"/>
                <w:kern w:val="0"/>
                <w:szCs w:val="21"/>
                <w:highlight w:val="none"/>
              </w:rPr>
              <w:t>（3）综合得分相同的处理原则：综合评分相等时，以参选报价低的优先；参选报价也相等的，由比选人或其授权的评选委员会自行确定（如综合得分且报价相同时，建议评选委员会根据如下原则确定中选候选人：按技术得分由高到低顺序排列决定，若技术得分也相同，按商务得分由高到低顺序排列决定，若技术、商务得分也相同时，由评选委员会投票决定推选中选候选人）</w:t>
            </w:r>
          </w:p>
        </w:tc>
      </w:tr>
    </w:tbl>
    <w:p>
      <w:pPr>
        <w:pStyle w:val="2"/>
        <w:rPr>
          <w:rFonts w:ascii="宋体" w:hAnsi="宋体"/>
          <w:b/>
          <w:color w:val="auto"/>
          <w:szCs w:val="21"/>
          <w:highlight w:val="none"/>
        </w:rPr>
      </w:pPr>
    </w:p>
    <w:p>
      <w:pPr>
        <w:pStyle w:val="35"/>
        <w:tabs>
          <w:tab w:val="left" w:pos="602"/>
        </w:tabs>
        <w:snapToGrid w:val="0"/>
        <w:spacing w:before="120" w:after="120" w:line="440" w:lineRule="exact"/>
        <w:jc w:val="left"/>
        <w:outlineLvl w:val="1"/>
        <w:rPr>
          <w:rFonts w:hint="eastAsia" w:ascii="宋体" w:hAnsi="宋体" w:eastAsia="宋体"/>
          <w:color w:val="auto"/>
          <w:sz w:val="28"/>
          <w:szCs w:val="28"/>
          <w:highlight w:val="none"/>
          <w:lang w:eastAsia="zh-CN"/>
        </w:rPr>
      </w:pPr>
      <w:r>
        <w:rPr>
          <w:rFonts w:hint="eastAsia" w:ascii="宋体" w:hAnsi="宋体"/>
          <w:color w:val="auto"/>
          <w:sz w:val="28"/>
          <w:szCs w:val="28"/>
          <w:highlight w:val="none"/>
        </w:rPr>
        <w:t>评选办法前附表</w:t>
      </w:r>
      <w:r>
        <w:rPr>
          <w:rFonts w:hint="eastAsia" w:ascii="宋体" w:hAnsi="宋体"/>
          <w:color w:val="auto"/>
          <w:sz w:val="28"/>
          <w:szCs w:val="28"/>
          <w:highlight w:val="none"/>
          <w:lang w:eastAsia="zh-CN"/>
        </w:rPr>
        <w:t>（</w:t>
      </w:r>
      <w:r>
        <w:rPr>
          <w:rFonts w:hint="eastAsia" w:ascii="宋体" w:hAnsi="宋体"/>
          <w:color w:val="auto"/>
          <w:sz w:val="28"/>
          <w:szCs w:val="28"/>
          <w:highlight w:val="none"/>
          <w:lang w:val="en-US" w:eastAsia="zh-CN"/>
        </w:rPr>
        <w:t>标段二</w:t>
      </w:r>
      <w:r>
        <w:rPr>
          <w:rFonts w:hint="eastAsia" w:ascii="宋体" w:hAnsi="宋体"/>
          <w:color w:val="auto"/>
          <w:sz w:val="28"/>
          <w:szCs w:val="28"/>
          <w:highlight w:val="none"/>
          <w:lang w:eastAsia="zh-CN"/>
        </w:rPr>
        <w:t>）</w:t>
      </w:r>
    </w:p>
    <w:p>
      <w:pPr>
        <w:adjustRightInd w:val="0"/>
        <w:snapToGrid w:val="0"/>
        <w:spacing w:line="40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本项目采用综合评估法，总分共100分，其中商务</w:t>
      </w:r>
      <w:r>
        <w:rPr>
          <w:rFonts w:hint="eastAsia" w:ascii="宋体" w:hAnsi="宋体" w:cs="宋体"/>
          <w:color w:val="auto"/>
          <w:szCs w:val="21"/>
          <w:highlight w:val="none"/>
          <w:lang w:val="en-US" w:eastAsia="zh-CN"/>
        </w:rPr>
        <w:t>5</w:t>
      </w:r>
      <w:r>
        <w:rPr>
          <w:rFonts w:hint="eastAsia" w:ascii="宋体" w:hAnsi="宋体" w:cs="宋体"/>
          <w:color w:val="auto"/>
          <w:szCs w:val="21"/>
          <w:highlight w:val="none"/>
        </w:rPr>
        <w:t>分，技术</w:t>
      </w:r>
      <w:r>
        <w:rPr>
          <w:rFonts w:hint="eastAsia" w:ascii="宋体" w:hAnsi="宋体" w:cs="宋体"/>
          <w:color w:val="auto"/>
          <w:szCs w:val="21"/>
          <w:highlight w:val="none"/>
          <w:lang w:val="en-US" w:eastAsia="zh-CN"/>
        </w:rPr>
        <w:t>35</w:t>
      </w:r>
      <w:r>
        <w:rPr>
          <w:rFonts w:hint="eastAsia" w:ascii="宋体" w:hAnsi="宋体" w:cs="宋体"/>
          <w:color w:val="auto"/>
          <w:szCs w:val="21"/>
          <w:highlight w:val="none"/>
        </w:rPr>
        <w:t>分，</w:t>
      </w:r>
      <w:r>
        <w:rPr>
          <w:rFonts w:hint="eastAsia" w:ascii="宋体" w:hAnsi="宋体" w:cs="宋体"/>
          <w:color w:val="auto"/>
          <w:szCs w:val="21"/>
          <w:highlight w:val="none"/>
          <w:lang w:val="en-US" w:eastAsia="zh-CN"/>
        </w:rPr>
        <w:t>服务10分</w:t>
      </w:r>
      <w:r>
        <w:rPr>
          <w:rFonts w:hint="eastAsia" w:ascii="宋体" w:hAnsi="宋体" w:cs="宋体"/>
          <w:color w:val="auto"/>
          <w:szCs w:val="21"/>
          <w:highlight w:val="none"/>
          <w:lang w:eastAsia="zh-CN"/>
        </w:rPr>
        <w:t>，</w:t>
      </w:r>
      <w:r>
        <w:rPr>
          <w:rFonts w:hint="eastAsia" w:ascii="宋体" w:hAnsi="宋体" w:cs="宋体"/>
          <w:color w:val="auto"/>
          <w:szCs w:val="21"/>
          <w:highlight w:val="none"/>
        </w:rPr>
        <w:t>价格50分。评选时，评选委员会按照比选文件规定的量化因素和权重比值打分。</w:t>
      </w:r>
    </w:p>
    <w:tbl>
      <w:tblPr>
        <w:tblStyle w:val="37"/>
        <w:tblW w:w="100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0"/>
        <w:gridCol w:w="1022"/>
        <w:gridCol w:w="10"/>
        <w:gridCol w:w="1110"/>
        <w:gridCol w:w="10"/>
        <w:gridCol w:w="1735"/>
        <w:gridCol w:w="4673"/>
        <w:gridCol w:w="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jc w:val="center"/>
        </w:trPr>
        <w:tc>
          <w:tcPr>
            <w:tcW w:w="1792" w:type="dxa"/>
            <w:gridSpan w:val="3"/>
            <w:vAlign w:val="center"/>
          </w:tcPr>
          <w:p>
            <w:pPr>
              <w:snapToGrid w:val="0"/>
              <w:jc w:val="center"/>
              <w:rPr>
                <w:rFonts w:ascii="宋体" w:hAnsi="宋体" w:cs="宋体"/>
                <w:color w:val="auto"/>
                <w:kern w:val="0"/>
                <w:szCs w:val="21"/>
                <w:highlight w:val="none"/>
              </w:rPr>
            </w:pPr>
            <w:r>
              <w:rPr>
                <w:rFonts w:hint="eastAsia" w:ascii="宋体" w:hAnsi="宋体" w:cs="宋体"/>
                <w:color w:val="auto"/>
                <w:szCs w:val="21"/>
                <w:highlight w:val="none"/>
              </w:rPr>
              <w:t>条款号</w:t>
            </w:r>
          </w:p>
        </w:tc>
        <w:tc>
          <w:tcPr>
            <w:tcW w:w="1120"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评审内容</w:t>
            </w:r>
          </w:p>
        </w:tc>
        <w:tc>
          <w:tcPr>
            <w:tcW w:w="1735" w:type="dxa"/>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评审因素</w:t>
            </w:r>
          </w:p>
        </w:tc>
        <w:tc>
          <w:tcPr>
            <w:tcW w:w="5422"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评审标准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760" w:type="dxa"/>
            <w:vMerge w:val="restart"/>
            <w:vAlign w:val="center"/>
          </w:tcPr>
          <w:p>
            <w:pPr>
              <w:snapToGrid w:val="0"/>
              <w:jc w:val="center"/>
              <w:rPr>
                <w:rFonts w:ascii="宋体" w:hAnsi="宋体" w:cs="宋体"/>
                <w:color w:val="auto"/>
                <w:szCs w:val="21"/>
                <w:highlight w:val="none"/>
              </w:rPr>
            </w:pPr>
            <w:r>
              <w:rPr>
                <w:rFonts w:ascii="宋体" w:hAnsi="宋体" w:cs="宋体"/>
                <w:color w:val="auto"/>
                <w:szCs w:val="21"/>
                <w:highlight w:val="none"/>
              </w:rPr>
              <w:t>2.1</w:t>
            </w:r>
          </w:p>
        </w:tc>
        <w:tc>
          <w:tcPr>
            <w:tcW w:w="1022" w:type="dxa"/>
            <w:vMerge w:val="restart"/>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初步评审</w:t>
            </w:r>
          </w:p>
        </w:tc>
        <w:tc>
          <w:tcPr>
            <w:tcW w:w="1120" w:type="dxa"/>
            <w:gridSpan w:val="2"/>
            <w:vMerge w:val="restart"/>
            <w:vAlign w:val="center"/>
          </w:tcPr>
          <w:p>
            <w:pPr>
              <w:snapToGrid w:val="0"/>
              <w:jc w:val="left"/>
              <w:rPr>
                <w:rFonts w:ascii="宋体" w:hAnsi="宋体" w:cs="宋体"/>
                <w:color w:val="auto"/>
                <w:szCs w:val="21"/>
                <w:highlight w:val="none"/>
              </w:rPr>
            </w:pPr>
            <w:r>
              <w:rPr>
                <w:rFonts w:hint="eastAsia" w:ascii="宋体" w:hAnsi="宋体" w:cs="宋体"/>
                <w:color w:val="auto"/>
                <w:kern w:val="0"/>
                <w:szCs w:val="21"/>
                <w:highlight w:val="none"/>
              </w:rPr>
              <w:t>形式评审</w:t>
            </w: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参选人名称</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color w:val="auto"/>
                <w:kern w:val="0"/>
                <w:szCs w:val="21"/>
                <w:highlight w:val="none"/>
              </w:rPr>
              <w:t>与营业执照一致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760" w:type="dxa"/>
            <w:vMerge w:val="continue"/>
            <w:vAlign w:val="center"/>
          </w:tcPr>
          <w:p>
            <w:pPr>
              <w:snapToGrid w:val="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szCs w:val="21"/>
                <w:highlight w:val="none"/>
              </w:rPr>
            </w:pP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营业执照</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color w:val="auto"/>
                <w:szCs w:val="21"/>
                <w:highlight w:val="none"/>
              </w:rPr>
              <w:t>具有有效的营业执照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760" w:type="dxa"/>
            <w:vMerge w:val="continue"/>
            <w:vAlign w:val="center"/>
          </w:tcPr>
          <w:p>
            <w:pPr>
              <w:snapToGrid w:val="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szCs w:val="21"/>
                <w:highlight w:val="none"/>
              </w:rPr>
            </w:pP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法定代表人（负责人）证明书及授权委托书</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color w:val="auto"/>
                <w:szCs w:val="21"/>
                <w:highlight w:val="none"/>
              </w:rPr>
              <w:t>提供有效的法定代表人（负责人）证明书（如有法定代表人（负责人）授权委托书的，一并提供），且有身份证复印件。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szCs w:val="21"/>
                <w:highlight w:val="none"/>
              </w:rPr>
            </w:pP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参选文件签字盖章</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rPr>
              <w:tab/>
            </w:r>
            <w:r>
              <w:rPr>
                <w:rFonts w:hint="eastAsia" w:ascii="宋体" w:hAnsi="宋体" w:cs="宋体"/>
                <w:color w:val="auto"/>
                <w:szCs w:val="21"/>
                <w:highlight w:val="none"/>
              </w:rPr>
              <w:t>参选文件中凡出现单位名称和法定代表人/负责人或其委托代理人签字落款的地方均须：逐页加盖单位公章并由法定代表人/负责人逐页手签或盖人名章；或者逐页加盖单位公章并由法定代表人/负责人授权的委托代理人逐页手签，如使用依照国家行政部门要求已备案的投标专用章、业务专用章的，应提供所使用印章的合法备案证明。</w:t>
            </w:r>
          </w:p>
          <w:p>
            <w:pPr>
              <w:snapToGrid w:val="0"/>
              <w:jc w:val="left"/>
              <w:rPr>
                <w:rFonts w:ascii="宋体" w:hAnsi="宋体" w:cs="宋体"/>
                <w:color w:val="auto"/>
                <w:szCs w:val="21"/>
                <w:highlight w:val="none"/>
              </w:rPr>
            </w:pPr>
            <w:r>
              <w:rPr>
                <w:rFonts w:hint="eastAsia" w:ascii="宋体" w:hAnsi="宋体" w:cs="宋体"/>
                <w:color w:val="auto"/>
                <w:szCs w:val="21"/>
                <w:highlight w:val="none"/>
              </w:rPr>
              <w:t>法定代表人/负责人授权委托代理人签字的，应提供法定代表人/负责人授权委托书。法定代表人/负责人授权委托书应逐页加盖单位公章，并由法定代表人/负责人逐页手签或盖人名章、委托代理人逐页手签。</w:t>
            </w:r>
          </w:p>
          <w:p>
            <w:pPr>
              <w:snapToGrid w:val="0"/>
              <w:jc w:val="left"/>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rPr>
              <w:tab/>
            </w:r>
            <w:r>
              <w:rPr>
                <w:rFonts w:hint="eastAsia" w:ascii="宋体" w:hAnsi="宋体" w:cs="宋体"/>
                <w:color w:val="auto"/>
                <w:szCs w:val="21"/>
                <w:highlight w:val="none"/>
              </w:rPr>
              <w:t>同时参选文件签字盖章必须符合以下其中一种：</w:t>
            </w:r>
          </w:p>
          <w:p>
            <w:pPr>
              <w:snapToGrid w:val="0"/>
              <w:jc w:val="left"/>
              <w:rPr>
                <w:rFonts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rPr>
              <w:tab/>
            </w:r>
            <w:r>
              <w:rPr>
                <w:rFonts w:hint="eastAsia" w:ascii="宋体" w:hAnsi="宋体" w:cs="宋体"/>
                <w:color w:val="auto"/>
                <w:szCs w:val="21"/>
                <w:highlight w:val="none"/>
              </w:rPr>
              <w:t>参选人的法定代表人/负责人逐页手签或盖人名章，或者由法定代表人/负责人委托代理人逐页手签法定代表人（负责人）或其授权的代理人逐页签字；</w:t>
            </w:r>
          </w:p>
          <w:p>
            <w:pPr>
              <w:snapToGrid w:val="0"/>
              <w:jc w:val="left"/>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rPr>
              <w:tab/>
            </w:r>
            <w:r>
              <w:rPr>
                <w:rFonts w:hint="eastAsia" w:ascii="宋体" w:hAnsi="宋体" w:cs="宋体"/>
                <w:color w:val="auto"/>
                <w:szCs w:val="21"/>
                <w:highlight w:val="none"/>
              </w:rPr>
              <w:t>加盖参选人单位骑缝章；</w:t>
            </w:r>
          </w:p>
          <w:p>
            <w:pPr>
              <w:snapToGrid w:val="0"/>
              <w:jc w:val="left"/>
              <w:rPr>
                <w:rFonts w:ascii="宋体" w:hAnsi="宋体" w:cs="宋体"/>
                <w:color w:val="auto"/>
                <w:szCs w:val="21"/>
                <w:highlight w:val="none"/>
              </w:rPr>
            </w:pPr>
            <w:r>
              <w:rPr>
                <w:rFonts w:hint="eastAsia" w:ascii="宋体" w:hAnsi="宋体" w:cs="宋体"/>
                <w:color w:val="auto"/>
                <w:szCs w:val="21"/>
                <w:highlight w:val="none"/>
              </w:rPr>
              <w:t>3)</w:t>
            </w:r>
            <w:r>
              <w:rPr>
                <w:rFonts w:hint="eastAsia" w:ascii="宋体" w:hAnsi="宋体" w:cs="宋体"/>
                <w:color w:val="auto"/>
                <w:szCs w:val="21"/>
                <w:highlight w:val="none"/>
              </w:rPr>
              <w:tab/>
            </w:r>
            <w:r>
              <w:rPr>
                <w:rFonts w:hint="eastAsia" w:ascii="宋体" w:hAnsi="宋体" w:cs="宋体"/>
                <w:color w:val="auto"/>
                <w:szCs w:val="21"/>
                <w:highlight w:val="none"/>
              </w:rPr>
              <w:t xml:space="preserve">逐页加盖参选人单位印章。 </w:t>
            </w:r>
          </w:p>
          <w:p>
            <w:pPr>
              <w:snapToGrid w:val="0"/>
              <w:jc w:val="left"/>
              <w:rPr>
                <w:rFonts w:ascii="宋体" w:hAnsi="宋体" w:cs="宋体"/>
                <w:color w:val="auto"/>
                <w:szCs w:val="21"/>
                <w:highlight w:val="none"/>
              </w:rPr>
            </w:pPr>
            <w:r>
              <w:rPr>
                <w:rFonts w:ascii="宋体" w:hAnsi="宋体" w:cs="宋体"/>
                <w:color w:val="auto"/>
                <w:szCs w:val="21"/>
                <w:highlight w:val="none"/>
              </w:rPr>
              <w:t>3</w:t>
            </w:r>
            <w:r>
              <w:rPr>
                <w:rFonts w:hint="eastAsia" w:ascii="宋体" w:hAnsi="宋体" w:cs="宋体"/>
                <w:color w:val="auto"/>
                <w:szCs w:val="21"/>
                <w:highlight w:val="none"/>
              </w:rPr>
              <w:t>、投标文件签字或盖章要求（适用于以电子投标文件为准的情况）</w:t>
            </w:r>
          </w:p>
          <w:p>
            <w:pPr>
              <w:snapToGrid w:val="0"/>
              <w:jc w:val="left"/>
              <w:rPr>
                <w:rFonts w:ascii="宋体" w:hAnsi="宋体" w:cs="宋体"/>
                <w:color w:val="auto"/>
                <w:szCs w:val="21"/>
                <w:highlight w:val="none"/>
              </w:rPr>
            </w:pPr>
            <w:r>
              <w:rPr>
                <w:rFonts w:hint="eastAsia" w:ascii="宋体" w:hAnsi="宋体" w:cs="宋体"/>
                <w:color w:val="auto"/>
                <w:szCs w:val="21"/>
                <w:highlight w:val="none"/>
              </w:rPr>
              <w:t>（1）电子投标文件须在“投标文件制作软件”中完成CA数字证书签章和加密。签章完成后生成加密（后缀为.ZGDXTF）和非加密（后缀为.nZGDXTF）电子投标文件一对。未按规定签章和加密的将导致电子投标文件无法上传。</w:t>
            </w:r>
          </w:p>
          <w:p>
            <w:pPr>
              <w:snapToGrid w:val="0"/>
              <w:jc w:val="left"/>
              <w:rPr>
                <w:rFonts w:ascii="宋体" w:hAnsi="宋体" w:cs="宋体"/>
                <w:color w:val="auto"/>
                <w:szCs w:val="21"/>
                <w:highlight w:val="none"/>
              </w:rPr>
            </w:pPr>
            <w:r>
              <w:rPr>
                <w:rFonts w:hint="eastAsia" w:ascii="宋体" w:hAnsi="宋体" w:cs="宋体"/>
                <w:color w:val="auto"/>
                <w:szCs w:val="21"/>
                <w:highlight w:val="none"/>
              </w:rPr>
              <w:t>（2）需要第三方签字盖章确认的文件，如制造商资格声明等，投标人应在投标文件正文上传签字或盖章后的扫描件。</w:t>
            </w:r>
          </w:p>
          <w:p>
            <w:pPr>
              <w:snapToGrid w:val="0"/>
              <w:jc w:val="left"/>
              <w:rPr>
                <w:rFonts w:ascii="宋体" w:hAnsi="宋体" w:cs="宋体"/>
                <w:color w:val="auto"/>
                <w:szCs w:val="21"/>
                <w:highlight w:val="none"/>
              </w:rPr>
            </w:pPr>
            <w:r>
              <w:rPr>
                <w:rFonts w:ascii="宋体" w:hAnsi="宋体" w:cs="宋体"/>
                <w:color w:val="auto"/>
                <w:szCs w:val="21"/>
                <w:highlight w:val="none"/>
              </w:rPr>
              <w:t>4</w:t>
            </w:r>
            <w:r>
              <w:rPr>
                <w:rFonts w:hint="eastAsia" w:ascii="宋体" w:hAnsi="宋体" w:cs="宋体"/>
                <w:color w:val="auto"/>
                <w:szCs w:val="21"/>
                <w:highlight w:val="none"/>
              </w:rPr>
              <w:t>.</w:t>
            </w:r>
            <w:r>
              <w:rPr>
                <w:rFonts w:hint="eastAsia" w:ascii="宋体" w:hAnsi="宋体" w:cs="宋体"/>
                <w:color w:val="auto"/>
                <w:szCs w:val="21"/>
                <w:highlight w:val="none"/>
              </w:rPr>
              <w:tab/>
            </w:r>
            <w:r>
              <w:rPr>
                <w:rFonts w:hint="eastAsia" w:ascii="宋体" w:hAnsi="宋体" w:cs="宋体"/>
                <w:color w:val="auto"/>
                <w:szCs w:val="21"/>
                <w:highlight w:val="none"/>
              </w:rPr>
              <w:t>请按上述要求制作参选文件，否则其参选将被否决。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restart"/>
            <w:vAlign w:val="center"/>
          </w:tcPr>
          <w:p>
            <w:pPr>
              <w:snapToGrid w:val="0"/>
              <w:jc w:val="left"/>
              <w:rPr>
                <w:rFonts w:ascii="宋体" w:hAnsi="宋体" w:cs="宋体"/>
                <w:color w:val="auto"/>
                <w:szCs w:val="21"/>
                <w:highlight w:val="none"/>
              </w:rPr>
            </w:pPr>
            <w:r>
              <w:rPr>
                <w:rFonts w:hint="eastAsia" w:ascii="宋体" w:hAnsi="宋体" w:cs="宋体"/>
                <w:color w:val="auto"/>
                <w:kern w:val="0"/>
                <w:szCs w:val="21"/>
                <w:highlight w:val="none"/>
              </w:rPr>
              <w:t>资格评审</w:t>
            </w: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资格条件</w:t>
            </w:r>
          </w:p>
        </w:tc>
        <w:tc>
          <w:tcPr>
            <w:tcW w:w="5422" w:type="dxa"/>
            <w:gridSpan w:val="2"/>
            <w:vAlign w:val="center"/>
          </w:tcPr>
          <w:p>
            <w:pPr>
              <w:pStyle w:val="16"/>
              <w:tabs>
                <w:tab w:val="left" w:pos="0"/>
              </w:tabs>
              <w:topLinePunct/>
              <w:spacing w:after="0" w:line="400" w:lineRule="exact"/>
              <w:rPr>
                <w:rFonts w:hint="eastAsia"/>
                <w:color w:val="auto"/>
                <w:sz w:val="21"/>
                <w:szCs w:val="21"/>
                <w:highlight w:val="none"/>
              </w:rPr>
            </w:pPr>
            <w:r>
              <w:rPr>
                <w:rFonts w:hint="eastAsia"/>
                <w:color w:val="auto"/>
                <w:sz w:val="21"/>
                <w:szCs w:val="21"/>
                <w:highlight w:val="none"/>
              </w:rPr>
              <w:t>参选人基本资格要求：</w:t>
            </w:r>
          </w:p>
          <w:p>
            <w:pPr>
              <w:pStyle w:val="16"/>
              <w:tabs>
                <w:tab w:val="left" w:pos="0"/>
              </w:tabs>
              <w:topLinePunct/>
              <w:spacing w:after="0" w:line="400" w:lineRule="exact"/>
              <w:rPr>
                <w:rFonts w:hint="eastAsia"/>
                <w:color w:val="auto"/>
                <w:sz w:val="21"/>
                <w:szCs w:val="21"/>
                <w:highlight w:val="none"/>
              </w:rPr>
            </w:pPr>
            <w:r>
              <w:rPr>
                <w:rFonts w:hint="eastAsia"/>
                <w:color w:val="auto"/>
                <w:sz w:val="21"/>
                <w:szCs w:val="21"/>
                <w:highlight w:val="none"/>
              </w:rPr>
              <w:t>（1）参选人须为独立法人或其他组织。法人下属不具备法人资格的分支机构参选的，应具备法人针对本项目或覆盖本项目的经营事项的有效授权。同一法人授权多个不具备法人资格的分支机构同时参加本项目，或该法人与其下属不具备法人资格的分支机构同时参加本项目，均视为同一参选人参选，在同一标段参选或者未划分标段的同一比选项目参选的，除比选文件允许递交备选参选方案且参选文件有明确区分所有备选参选方案的外，否则按否决参选处理。</w:t>
            </w:r>
          </w:p>
          <w:p>
            <w:pPr>
              <w:pStyle w:val="16"/>
              <w:tabs>
                <w:tab w:val="left" w:pos="0"/>
              </w:tabs>
              <w:topLinePunct/>
              <w:spacing w:after="0" w:line="400" w:lineRule="exact"/>
              <w:rPr>
                <w:rFonts w:hint="eastAsia"/>
                <w:color w:val="auto"/>
                <w:sz w:val="21"/>
                <w:szCs w:val="21"/>
                <w:highlight w:val="none"/>
              </w:rPr>
            </w:pPr>
            <w:r>
              <w:rPr>
                <w:rFonts w:hint="eastAsia"/>
                <w:color w:val="auto"/>
                <w:sz w:val="21"/>
                <w:szCs w:val="21"/>
                <w:highlight w:val="none"/>
              </w:rPr>
              <w:t>1）如参选人为企业的，提供营业执照同时应提供“全国企业信用信息公示系统（http://www.gsxt.gov.cn）” 查询结果（显示注册资本等信息）的截屏打印件；</w:t>
            </w:r>
          </w:p>
          <w:p>
            <w:pPr>
              <w:pStyle w:val="16"/>
              <w:tabs>
                <w:tab w:val="left" w:pos="0"/>
              </w:tabs>
              <w:topLinePunct/>
              <w:spacing w:after="0" w:line="400" w:lineRule="exact"/>
              <w:rPr>
                <w:color w:val="auto"/>
                <w:sz w:val="21"/>
                <w:szCs w:val="21"/>
                <w:highlight w:val="none"/>
              </w:rPr>
            </w:pPr>
            <w:r>
              <w:rPr>
                <w:rFonts w:hint="eastAsia"/>
                <w:color w:val="auto"/>
                <w:sz w:val="21"/>
                <w:szCs w:val="21"/>
                <w:highlight w:val="none"/>
              </w:rPr>
              <w:t>2）如参选人为事业单位的，提供事业单位法人证书同时应提供“事业单位在线（http://www.gjsy.gov.cn/）”查询结果（显示开办资金、证书有效日期等信息）的截屏打印件。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项目团队要求</w:t>
            </w:r>
          </w:p>
        </w:tc>
        <w:tc>
          <w:tcPr>
            <w:tcW w:w="5422" w:type="dxa"/>
            <w:gridSpan w:val="2"/>
            <w:vAlign w:val="center"/>
          </w:tcPr>
          <w:p>
            <w:pPr>
              <w:spacing w:line="400" w:lineRule="exact"/>
              <w:rPr>
                <w:rFonts w:ascii="宋体" w:hAnsi="宋体" w:cs="宋体"/>
                <w:color w:val="auto"/>
                <w:szCs w:val="21"/>
                <w:highlight w:val="none"/>
              </w:rPr>
            </w:pPr>
            <w:r>
              <w:rPr>
                <w:rFonts w:hint="eastAsia" w:ascii="宋体" w:hAnsi="宋体" w:cs="宋体"/>
                <w:color w:val="auto"/>
                <w:szCs w:val="21"/>
                <w:highlight w:val="none"/>
              </w:rPr>
              <w:t>参选人拟派项目负责人1人。参选人拟派专职项目团队成员要求【3】人或以上，项目负责人和专职项目团队成员均需提供人员名单、二代身份证。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不得存在的情形</w:t>
            </w:r>
          </w:p>
        </w:tc>
        <w:tc>
          <w:tcPr>
            <w:tcW w:w="5422" w:type="dxa"/>
            <w:gridSpan w:val="2"/>
            <w:vAlign w:val="center"/>
          </w:tcPr>
          <w:p>
            <w:pPr>
              <w:snapToGrid w:val="0"/>
              <w:jc w:val="left"/>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参选人不得存在的详见第一章比选公告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olor w:val="auto"/>
                <w:szCs w:val="21"/>
                <w:highlight w:val="none"/>
              </w:rPr>
              <w:t>信誉要求</w:t>
            </w:r>
          </w:p>
        </w:tc>
        <w:tc>
          <w:tcPr>
            <w:tcW w:w="5422" w:type="dxa"/>
            <w:gridSpan w:val="2"/>
            <w:vAlign w:val="center"/>
          </w:tcPr>
          <w:p>
            <w:pPr>
              <w:snapToGrid w:val="0"/>
              <w:jc w:val="left"/>
              <w:rPr>
                <w:rFonts w:ascii="宋体" w:hAnsi="宋体"/>
                <w:color w:val="auto"/>
                <w:szCs w:val="21"/>
                <w:highlight w:val="none"/>
              </w:rPr>
            </w:pPr>
            <w:r>
              <w:rPr>
                <w:rFonts w:hint="eastAsia" w:ascii="宋体" w:hAnsi="宋体"/>
                <w:color w:val="auto"/>
                <w:szCs w:val="21"/>
                <w:highlight w:val="none"/>
              </w:rPr>
              <w:t>参选人不得存在比选文件规定的“参选人不得存在的情形”，须提供《参选信誉承诺函》。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olor w:val="auto"/>
                <w:szCs w:val="21"/>
                <w:highlight w:val="none"/>
              </w:rPr>
              <w:t>其他要求</w:t>
            </w:r>
          </w:p>
        </w:tc>
        <w:tc>
          <w:tcPr>
            <w:tcW w:w="5422" w:type="dxa"/>
            <w:gridSpan w:val="2"/>
            <w:vAlign w:val="center"/>
          </w:tcPr>
          <w:p>
            <w:pPr>
              <w:snapToGrid w:val="0"/>
              <w:jc w:val="left"/>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1</w:t>
            </w:r>
            <w:r>
              <w:rPr>
                <w:rFonts w:hint="eastAsia" w:ascii="宋体" w:hAnsi="宋体"/>
                <w:color w:val="auto"/>
                <w:szCs w:val="21"/>
                <w:highlight w:val="none"/>
                <w:lang w:eastAsia="zh-CN"/>
              </w:rPr>
              <w:t>）</w:t>
            </w:r>
            <w:r>
              <w:rPr>
                <w:rFonts w:hint="eastAsia" w:ascii="宋体" w:hAnsi="宋体"/>
                <w:color w:val="auto"/>
                <w:szCs w:val="21"/>
                <w:highlight w:val="none"/>
              </w:rPr>
              <w:t>单位负责人为同一人、控股股东为同一自然人或者存在控股、管理关系的不同单位，不得同时参加本项目中同一标段比选或者未划分标段的同一项目比选；参选人提交参选文件时必须提供《参选人控股及管理关系情况申报表》，没有提供该表的，其参选文件一律无效。</w:t>
            </w:r>
          </w:p>
          <w:p>
            <w:pPr>
              <w:snapToGrid w:val="0"/>
              <w:jc w:val="left"/>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2</w:t>
            </w:r>
            <w:r>
              <w:rPr>
                <w:rFonts w:hint="eastAsia" w:ascii="宋体" w:hAnsi="宋体"/>
                <w:color w:val="auto"/>
                <w:szCs w:val="21"/>
                <w:highlight w:val="none"/>
                <w:lang w:eastAsia="zh-CN"/>
              </w:rPr>
              <w:t>）</w:t>
            </w:r>
            <w:r>
              <w:rPr>
                <w:rFonts w:hint="eastAsia" w:ascii="宋体" w:hAnsi="宋体"/>
                <w:color w:val="auto"/>
                <w:szCs w:val="21"/>
                <w:highlight w:val="none"/>
              </w:rPr>
              <w:t>本项目不接受联合体参选。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restart"/>
            <w:vAlign w:val="center"/>
          </w:tcPr>
          <w:p>
            <w:pPr>
              <w:snapToGrid w:val="0"/>
              <w:jc w:val="left"/>
              <w:rPr>
                <w:rFonts w:ascii="宋体" w:hAnsi="宋体" w:cs="宋体"/>
                <w:color w:val="auto"/>
                <w:szCs w:val="21"/>
                <w:highlight w:val="none"/>
              </w:rPr>
            </w:pPr>
            <w:r>
              <w:rPr>
                <w:rFonts w:hint="eastAsia" w:ascii="宋体" w:hAnsi="宋体" w:cs="宋体"/>
                <w:color w:val="auto"/>
                <w:kern w:val="0"/>
                <w:szCs w:val="21"/>
                <w:highlight w:val="none"/>
              </w:rPr>
              <w:t>响应性评审</w:t>
            </w: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b/>
                <w:color w:val="auto"/>
                <w:kern w:val="0"/>
                <w:szCs w:val="21"/>
                <w:highlight w:val="none"/>
              </w:rPr>
              <w:t>合同及项目要求应答</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b/>
                <w:color w:val="auto"/>
                <w:kern w:val="0"/>
                <w:szCs w:val="21"/>
                <w:highlight w:val="none"/>
              </w:rPr>
              <w:t>对</w:t>
            </w:r>
            <w:r>
              <w:rPr>
                <w:rFonts w:ascii="宋体" w:hAnsi="宋体" w:cs="宋体"/>
                <w:b/>
                <w:color w:val="auto"/>
                <w:kern w:val="0"/>
                <w:szCs w:val="21"/>
                <w:highlight w:val="none"/>
              </w:rPr>
              <w:t>第</w:t>
            </w:r>
            <w:r>
              <w:rPr>
                <w:rFonts w:hint="eastAsia" w:ascii="宋体" w:hAnsi="宋体" w:cs="宋体"/>
                <w:b/>
                <w:color w:val="auto"/>
                <w:kern w:val="0"/>
                <w:szCs w:val="21"/>
                <w:highlight w:val="none"/>
              </w:rPr>
              <w:t>四</w:t>
            </w:r>
            <w:r>
              <w:rPr>
                <w:rFonts w:ascii="宋体" w:hAnsi="宋体" w:cs="宋体"/>
                <w:b/>
                <w:color w:val="auto"/>
                <w:kern w:val="0"/>
                <w:szCs w:val="21"/>
                <w:highlight w:val="none"/>
              </w:rPr>
              <w:t>章</w:t>
            </w:r>
            <w:r>
              <w:rPr>
                <w:rFonts w:hint="eastAsia" w:ascii="宋体" w:hAnsi="宋体" w:cs="宋体"/>
                <w:b/>
                <w:color w:val="auto"/>
                <w:kern w:val="0"/>
                <w:szCs w:val="21"/>
                <w:highlight w:val="none"/>
              </w:rPr>
              <w:t>“合同条款及格式”</w:t>
            </w:r>
            <w:r>
              <w:rPr>
                <w:rFonts w:ascii="宋体" w:hAnsi="宋体" w:cs="宋体"/>
                <w:b/>
                <w:color w:val="auto"/>
                <w:kern w:val="0"/>
                <w:szCs w:val="21"/>
                <w:highlight w:val="none"/>
              </w:rPr>
              <w:t xml:space="preserve"> 第</w:t>
            </w:r>
            <w:r>
              <w:rPr>
                <w:rFonts w:hint="eastAsia" w:ascii="宋体" w:hAnsi="宋体" w:cs="宋体"/>
                <w:b/>
                <w:color w:val="auto"/>
                <w:kern w:val="0"/>
                <w:szCs w:val="21"/>
                <w:highlight w:val="none"/>
              </w:rPr>
              <w:t>五</w:t>
            </w:r>
            <w:r>
              <w:rPr>
                <w:rFonts w:ascii="宋体" w:hAnsi="宋体" w:cs="宋体"/>
                <w:b/>
                <w:color w:val="auto"/>
                <w:kern w:val="0"/>
                <w:szCs w:val="21"/>
                <w:highlight w:val="none"/>
              </w:rPr>
              <w:t>章</w:t>
            </w:r>
            <w:r>
              <w:rPr>
                <w:rFonts w:hint="eastAsia" w:ascii="宋体" w:hAnsi="宋体" w:cs="宋体"/>
                <w:b/>
                <w:color w:val="auto"/>
                <w:kern w:val="0"/>
                <w:szCs w:val="21"/>
                <w:highlight w:val="none"/>
              </w:rPr>
              <w:t>“项目要求”进行点对点应答或填写偏离表，且满足实质性条款（标识“※”的条款）要求。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参选有效期</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b/>
                <w:color w:val="auto"/>
                <w:kern w:val="0"/>
                <w:szCs w:val="21"/>
                <w:highlight w:val="none"/>
              </w:rPr>
              <w:t>满足比选文件参选有效期要求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参选保证金</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color w:val="auto"/>
                <w:szCs w:val="21"/>
                <w:highlight w:val="none"/>
              </w:rPr>
              <w:t>按照比选文件要求的金额及形式提交参选保证金</w:t>
            </w:r>
          </w:p>
          <w:p>
            <w:pPr>
              <w:snapToGrid w:val="0"/>
              <w:jc w:val="left"/>
              <w:rPr>
                <w:rFonts w:ascii="宋体" w:hAnsi="宋体" w:cs="宋体"/>
                <w:color w:val="auto"/>
                <w:szCs w:val="21"/>
                <w:highlight w:val="none"/>
              </w:rPr>
            </w:pPr>
            <w:r>
              <w:rPr>
                <w:rFonts w:hint="eastAsia" w:ascii="宋体" w:hAnsi="宋体" w:cs="宋体"/>
                <w:color w:val="auto"/>
                <w:szCs w:val="21"/>
                <w:highlight w:val="none"/>
              </w:rPr>
              <w:t>（1）※如采用银行电汇方式的，参选保证金必须从参选人的基本账户转出，并提供中国人民银行颁发的基本账户开户证明复印件或“基本账户信息”说明材料等。</w:t>
            </w:r>
          </w:p>
          <w:p>
            <w:pPr>
              <w:snapToGrid w:val="0"/>
              <w:jc w:val="left"/>
              <w:rPr>
                <w:rFonts w:ascii="宋体" w:hAnsi="宋体" w:cs="宋体"/>
                <w:color w:val="auto"/>
                <w:szCs w:val="21"/>
                <w:highlight w:val="none"/>
              </w:rPr>
            </w:pPr>
            <w:r>
              <w:rPr>
                <w:rFonts w:hint="eastAsia" w:ascii="宋体" w:hAnsi="宋体" w:cs="宋体"/>
                <w:color w:val="auto"/>
                <w:szCs w:val="21"/>
                <w:highlight w:val="none"/>
              </w:rPr>
              <w:t>（2）※如采用纸质银行保函方式的或支票的，纸质银行保函或支票需提供原件，银行保函的并按照比选文件第六章“参选文件格式”中的担保内容提供有效的银行保函。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760" w:type="dxa"/>
            <w:vMerge w:val="continue"/>
            <w:vAlign w:val="center"/>
          </w:tcPr>
          <w:p>
            <w:pPr>
              <w:snapToGrid w:val="0"/>
              <w:ind w:firstLine="420" w:firstLineChars="200"/>
              <w:jc w:val="center"/>
              <w:rPr>
                <w:rFonts w:ascii="宋体" w:hAnsi="宋体" w:cs="宋体"/>
                <w:color w:val="auto"/>
                <w:szCs w:val="21"/>
                <w:highlight w:val="none"/>
              </w:rPr>
            </w:pPr>
          </w:p>
        </w:tc>
        <w:tc>
          <w:tcPr>
            <w:tcW w:w="1022" w:type="dxa"/>
            <w:vMerge w:val="continue"/>
          </w:tcPr>
          <w:p>
            <w:pPr>
              <w:snapToGrid w:val="0"/>
              <w:jc w:val="center"/>
              <w:rPr>
                <w:rFonts w:ascii="宋体" w:hAnsi="宋体" w:cs="宋体"/>
                <w:color w:val="auto"/>
                <w:szCs w:val="21"/>
                <w:highlight w:val="none"/>
              </w:rPr>
            </w:pPr>
          </w:p>
        </w:tc>
        <w:tc>
          <w:tcPr>
            <w:tcW w:w="1120" w:type="dxa"/>
            <w:gridSpan w:val="2"/>
            <w:vMerge w:val="continue"/>
            <w:vAlign w:val="center"/>
          </w:tcPr>
          <w:p>
            <w:pPr>
              <w:snapToGrid w:val="0"/>
              <w:jc w:val="left"/>
              <w:rPr>
                <w:rFonts w:ascii="宋体" w:hAnsi="宋体" w:cs="宋体"/>
                <w:color w:val="auto"/>
                <w:kern w:val="0"/>
                <w:szCs w:val="21"/>
                <w:highlight w:val="none"/>
              </w:rPr>
            </w:pPr>
          </w:p>
        </w:tc>
        <w:tc>
          <w:tcPr>
            <w:tcW w:w="1745" w:type="dxa"/>
            <w:gridSpan w:val="2"/>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商务报价</w:t>
            </w:r>
          </w:p>
        </w:tc>
        <w:tc>
          <w:tcPr>
            <w:tcW w:w="5422" w:type="dxa"/>
            <w:gridSpan w:val="2"/>
            <w:vAlign w:val="center"/>
          </w:tcPr>
          <w:p>
            <w:pPr>
              <w:snapToGrid w:val="0"/>
              <w:jc w:val="left"/>
              <w:rPr>
                <w:rFonts w:ascii="宋体" w:hAnsi="宋体" w:cs="宋体"/>
                <w:color w:val="auto"/>
                <w:szCs w:val="21"/>
                <w:highlight w:val="none"/>
              </w:rPr>
            </w:pPr>
            <w:r>
              <w:rPr>
                <w:rFonts w:hint="eastAsia" w:ascii="宋体" w:hAnsi="宋体" w:cs="宋体"/>
                <w:b/>
                <w:color w:val="auto"/>
                <w:kern w:val="0"/>
                <w:szCs w:val="21"/>
                <w:highlight w:val="none"/>
              </w:rPr>
              <w:t>报价唯一且有效。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760" w:type="dxa"/>
            <w:vMerge w:val="restart"/>
            <w:vAlign w:val="center"/>
          </w:tcPr>
          <w:p>
            <w:pPr>
              <w:snapToGrid w:val="0"/>
              <w:jc w:val="center"/>
              <w:rPr>
                <w:rFonts w:ascii="宋体" w:hAnsi="宋体" w:cs="宋体"/>
                <w:color w:val="auto"/>
                <w:szCs w:val="21"/>
                <w:highlight w:val="none"/>
              </w:rPr>
            </w:pPr>
            <w:r>
              <w:rPr>
                <w:rFonts w:ascii="宋体" w:hAnsi="宋体" w:cs="宋体"/>
                <w:color w:val="auto"/>
                <w:szCs w:val="21"/>
                <w:highlight w:val="none"/>
              </w:rPr>
              <w:t>2.2</w:t>
            </w:r>
          </w:p>
        </w:tc>
        <w:tc>
          <w:tcPr>
            <w:tcW w:w="1022" w:type="dxa"/>
            <w:vMerge w:val="restart"/>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详细评审</w:t>
            </w:r>
          </w:p>
        </w:tc>
        <w:tc>
          <w:tcPr>
            <w:tcW w:w="1120" w:type="dxa"/>
            <w:gridSpan w:val="2"/>
            <w:vAlign w:val="center"/>
          </w:tcPr>
          <w:p>
            <w:pPr>
              <w:snapToGrid w:val="0"/>
              <w:jc w:val="left"/>
              <w:rPr>
                <w:rFonts w:ascii="宋体" w:hAnsi="宋体" w:cs="宋体"/>
                <w:color w:val="auto"/>
                <w:kern w:val="0"/>
                <w:szCs w:val="21"/>
                <w:highlight w:val="none"/>
              </w:rPr>
            </w:pPr>
            <w:r>
              <w:rPr>
                <w:rFonts w:hint="eastAsia" w:ascii="宋体" w:hAnsi="宋体" w:cs="宋体"/>
                <w:color w:val="auto"/>
                <w:kern w:val="0"/>
                <w:szCs w:val="21"/>
                <w:highlight w:val="none"/>
              </w:rPr>
              <w:t>评审内容</w:t>
            </w:r>
          </w:p>
        </w:tc>
        <w:tc>
          <w:tcPr>
            <w:tcW w:w="1745" w:type="dxa"/>
            <w:gridSpan w:val="2"/>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评分因素</w:t>
            </w:r>
          </w:p>
        </w:tc>
        <w:tc>
          <w:tcPr>
            <w:tcW w:w="4673" w:type="dxa"/>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评分</w:t>
            </w:r>
            <w:r>
              <w:rPr>
                <w:rFonts w:ascii="宋体" w:hAnsi="宋体" w:cs="宋体"/>
                <w:color w:val="auto"/>
                <w:kern w:val="0"/>
                <w:szCs w:val="21"/>
                <w:highlight w:val="none"/>
              </w:rPr>
              <w:t>标准</w:t>
            </w:r>
          </w:p>
        </w:tc>
        <w:tc>
          <w:tcPr>
            <w:tcW w:w="749" w:type="dxa"/>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restart"/>
            <w:vAlign w:val="center"/>
          </w:tcPr>
          <w:p>
            <w:pPr>
              <w:snapToGrid w:val="0"/>
              <w:jc w:val="center"/>
              <w:rPr>
                <w:rFonts w:ascii="宋体" w:hAnsi="宋体" w:cs="宋体"/>
                <w:color w:val="auto"/>
                <w:szCs w:val="21"/>
                <w:highlight w:val="none"/>
              </w:rPr>
            </w:pPr>
            <w:r>
              <w:rPr>
                <w:rFonts w:hint="eastAsia" w:ascii="宋体" w:hAnsi="宋体" w:cs="宋体"/>
                <w:color w:val="auto"/>
                <w:szCs w:val="21"/>
                <w:highlight w:val="none"/>
              </w:rPr>
              <w:t>商务</w:t>
            </w:r>
          </w:p>
        </w:tc>
        <w:tc>
          <w:tcPr>
            <w:tcW w:w="1745" w:type="dxa"/>
            <w:gridSpan w:val="2"/>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综合实力</w:t>
            </w:r>
          </w:p>
        </w:tc>
        <w:tc>
          <w:tcPr>
            <w:tcW w:w="4673" w:type="dxa"/>
            <w:vAlign w:val="center"/>
          </w:tcPr>
          <w:p>
            <w:pPr>
              <w:keepNext w:val="0"/>
              <w:keepLines w:val="0"/>
              <w:widowControl/>
              <w:suppressLineNumbers w:val="0"/>
              <w:jc w:val="left"/>
              <w:textAlignment w:val="center"/>
              <w:rPr>
                <w:b/>
                <w:color w:val="auto"/>
                <w:szCs w:val="21"/>
                <w:highlight w:val="none"/>
              </w:rPr>
            </w:pPr>
            <w:r>
              <w:rPr>
                <w:rFonts w:hint="eastAsia" w:ascii="宋体" w:hAnsi="宋体" w:eastAsia="宋体" w:cs="宋体"/>
                <w:i w:val="0"/>
                <w:iCs w:val="0"/>
                <w:color w:val="000000"/>
                <w:kern w:val="0"/>
                <w:sz w:val="21"/>
                <w:szCs w:val="21"/>
                <w:highlight w:val="none"/>
                <w:u w:val="none"/>
                <w:lang w:val="en-US" w:eastAsia="zh-CN" w:bidi="ar"/>
              </w:rPr>
              <w:t>考察参选人注册资金。按注册资金大到小进行排序：第一名得满分，其余的按</w:t>
            </w:r>
            <w:r>
              <w:rPr>
                <w:rFonts w:hint="default" w:ascii="Times New Roman" w:hAnsi="Times New Roman" w:eastAsia="宋体" w:cs="Times New Roman"/>
                <w:i w:val="0"/>
                <w:iCs w:val="0"/>
                <w:color w:val="000000"/>
                <w:kern w:val="0"/>
                <w:sz w:val="21"/>
                <w:szCs w:val="21"/>
                <w:highlight w:val="none"/>
                <w:u w:val="none"/>
                <w:lang w:val="en-US" w:eastAsia="zh-CN" w:bidi="ar"/>
              </w:rPr>
              <w:t>10%</w:t>
            </w:r>
            <w:r>
              <w:rPr>
                <w:rFonts w:hint="eastAsia" w:ascii="宋体" w:hAnsi="宋体" w:eastAsia="宋体" w:cs="宋体"/>
                <w:i w:val="0"/>
                <w:iCs w:val="0"/>
                <w:color w:val="000000"/>
                <w:kern w:val="0"/>
                <w:sz w:val="21"/>
                <w:szCs w:val="21"/>
                <w:highlight w:val="none"/>
                <w:u w:val="none"/>
                <w:lang w:val="en-US" w:eastAsia="zh-CN" w:bidi="ar"/>
              </w:rPr>
              <w:t>的分数依次递减，满足基本要求的得分不低于分值项的</w:t>
            </w:r>
            <w:r>
              <w:rPr>
                <w:rFonts w:hint="default" w:ascii="Times New Roman" w:hAnsi="Times New Roman" w:eastAsia="宋体" w:cs="Times New Roman"/>
                <w:i w:val="0"/>
                <w:iCs w:val="0"/>
                <w:color w:val="000000"/>
                <w:kern w:val="0"/>
                <w:sz w:val="21"/>
                <w:szCs w:val="21"/>
                <w:highlight w:val="none"/>
                <w:u w:val="none"/>
                <w:lang w:val="en-US" w:eastAsia="zh-CN" w:bidi="ar"/>
              </w:rPr>
              <w:t>60%</w:t>
            </w:r>
            <w:r>
              <w:rPr>
                <w:rFonts w:hint="eastAsia" w:ascii="宋体" w:hAnsi="宋体" w:eastAsia="宋体" w:cs="宋体"/>
                <w:i w:val="0"/>
                <w:iCs w:val="0"/>
                <w:color w:val="000000"/>
                <w:kern w:val="0"/>
                <w:sz w:val="21"/>
                <w:szCs w:val="21"/>
                <w:highlight w:val="none"/>
                <w:u w:val="none"/>
                <w:lang w:val="en-US" w:eastAsia="zh-CN" w:bidi="ar"/>
              </w:rPr>
              <w:t>，排名可以并列。</w:t>
            </w:r>
          </w:p>
        </w:tc>
        <w:tc>
          <w:tcPr>
            <w:tcW w:w="749" w:type="dxa"/>
            <w:vAlign w:val="center"/>
          </w:tcPr>
          <w:p>
            <w:pPr>
              <w:keepNext w:val="0"/>
              <w:keepLines w:val="0"/>
              <w:widowControl/>
              <w:suppressLineNumbers w:val="0"/>
              <w:jc w:val="center"/>
              <w:textAlignment w:val="center"/>
              <w:rPr>
                <w:rFonts w:ascii="宋体" w:hAnsi="宋体"/>
                <w:b/>
                <w:color w:val="auto"/>
                <w:szCs w:val="21"/>
                <w:highlight w:val="none"/>
              </w:rPr>
            </w:pPr>
            <w:r>
              <w:rPr>
                <w:rFonts w:hint="eastAsia" w:ascii="宋体" w:hAnsi="宋体" w:cs="宋体"/>
                <w:i w:val="0"/>
                <w:iCs w:val="0"/>
                <w:color w:val="000000"/>
                <w:kern w:val="0"/>
                <w:sz w:val="21"/>
                <w:szCs w:val="21"/>
                <w:highlight w:val="none"/>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Align w:val="center"/>
          </w:tcPr>
          <w:p>
            <w:pPr>
              <w:keepNext w:val="0"/>
              <w:keepLines w:val="0"/>
              <w:widowControl/>
              <w:suppressLineNumbers w:val="0"/>
              <w:jc w:val="center"/>
              <w:textAlignment w:val="center"/>
              <w:rPr>
                <w:rFonts w:hint="eastAsia" w:ascii="宋体" w:hAnsi="宋体" w:eastAsia="宋体" w:cs="宋体"/>
                <w:b/>
                <w:color w:val="auto"/>
                <w:kern w:val="0"/>
                <w:sz w:val="20"/>
                <w:szCs w:val="20"/>
                <w:highlight w:val="none"/>
              </w:rPr>
            </w:pPr>
            <w:r>
              <w:rPr>
                <w:rFonts w:hint="eastAsia" w:ascii="宋体" w:hAnsi="宋体" w:eastAsia="宋体" w:cs="宋体"/>
                <w:i w:val="0"/>
                <w:iCs w:val="0"/>
                <w:color w:val="000000"/>
                <w:kern w:val="0"/>
                <w:sz w:val="21"/>
                <w:szCs w:val="21"/>
                <w:highlight w:val="none"/>
                <w:u w:val="none"/>
                <w:lang w:val="en-US" w:eastAsia="zh-CN" w:bidi="ar"/>
              </w:rPr>
              <w:t>合同条款响应</w:t>
            </w:r>
          </w:p>
        </w:tc>
        <w:tc>
          <w:tcPr>
            <w:tcW w:w="4673" w:type="dxa"/>
            <w:vAlign w:val="center"/>
          </w:tcPr>
          <w:p>
            <w:pPr>
              <w:keepNext w:val="0"/>
              <w:keepLines w:val="0"/>
              <w:widowControl/>
              <w:suppressLineNumbers w:val="0"/>
              <w:jc w:val="left"/>
              <w:textAlignment w:val="center"/>
              <w:rPr>
                <w:rFonts w:hint="eastAsia" w:ascii="宋体" w:hAnsi="宋体" w:eastAsia="宋体" w:cs="宋体"/>
                <w:b/>
                <w:color w:val="auto"/>
                <w:sz w:val="20"/>
                <w:szCs w:val="20"/>
                <w:highlight w:val="none"/>
              </w:rPr>
            </w:pPr>
            <w:r>
              <w:rPr>
                <w:rFonts w:hint="eastAsia" w:ascii="宋体" w:hAnsi="宋体" w:eastAsia="宋体" w:cs="宋体"/>
                <w:i w:val="0"/>
                <w:iCs w:val="0"/>
                <w:color w:val="000000"/>
                <w:kern w:val="0"/>
                <w:sz w:val="21"/>
                <w:szCs w:val="21"/>
                <w:highlight w:val="none"/>
                <w:u w:val="none"/>
                <w:lang w:val="en-US" w:eastAsia="zh-CN" w:bidi="ar"/>
              </w:rPr>
              <w:t>参选人对在参选文件中规定的合同条款做出回应，要求进行点对点应答。根据参选人是否满足或优于比选文件要求进行评分。满足得满分，否则不得分。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b/>
                <w:color w:val="auto"/>
                <w:sz w:val="20"/>
                <w:szCs w:val="20"/>
                <w:highlight w:val="none"/>
                <w:lang w:eastAsia="zh-CN"/>
              </w:rPr>
            </w:pPr>
            <w:r>
              <w:rPr>
                <w:rFonts w:hint="eastAsia" w:ascii="宋体" w:hAnsi="宋体" w:eastAsia="宋体" w:cs="宋体"/>
                <w:i w:val="0"/>
                <w:iCs w:val="0"/>
                <w:color w:val="000000"/>
                <w:kern w:val="0"/>
                <w:sz w:val="21"/>
                <w:szCs w:val="21"/>
                <w:highlight w:val="none"/>
                <w:u w:val="none"/>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Align w:val="center"/>
          </w:tcPr>
          <w:p>
            <w:pPr>
              <w:keepNext w:val="0"/>
              <w:keepLines w:val="0"/>
              <w:widowControl/>
              <w:suppressLineNumbers w:val="0"/>
              <w:jc w:val="center"/>
              <w:textAlignment w:val="center"/>
              <w:rPr>
                <w:rFonts w:hint="eastAsia" w:ascii="宋体" w:hAnsi="宋体" w:eastAsia="宋体" w:cs="宋体"/>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参选文件制作质量</w:t>
            </w:r>
          </w:p>
        </w:tc>
        <w:tc>
          <w:tcPr>
            <w:tcW w:w="4673" w:type="dxa"/>
            <w:vAlign w:val="center"/>
          </w:tcPr>
          <w:p>
            <w:pPr>
              <w:keepNext w:val="0"/>
              <w:keepLines w:val="0"/>
              <w:widowControl/>
              <w:suppressLineNumbers w:val="0"/>
              <w:jc w:val="both"/>
              <w:textAlignment w:val="center"/>
              <w:rPr>
                <w:rFonts w:hint="eastAsia" w:ascii="宋体" w:hAnsi="宋体" w:eastAsia="宋体" w:cs="宋体"/>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参选文件格式和内容严格按照比选文件要求编制，需满足如下要求：</w:t>
            </w:r>
            <w:r>
              <w:rPr>
                <w:rFonts w:hint="default" w:ascii="Times New Roman" w:hAnsi="Times New Roman" w:eastAsia="宋体" w:cs="Times New Roman"/>
                <w:i w:val="0"/>
                <w:iCs w:val="0"/>
                <w:color w:val="000000"/>
                <w:kern w:val="0"/>
                <w:sz w:val="21"/>
                <w:szCs w:val="21"/>
                <w:highlight w:val="none"/>
                <w:u w:val="none"/>
                <w:lang w:val="en-US" w:eastAsia="zh-CN" w:bidi="ar"/>
              </w:rPr>
              <w:t>1</w:t>
            </w:r>
            <w:r>
              <w:rPr>
                <w:rFonts w:hint="eastAsia" w:ascii="宋体" w:hAnsi="宋体" w:eastAsia="宋体" w:cs="宋体"/>
                <w:i w:val="0"/>
                <w:iCs w:val="0"/>
                <w:color w:val="000000"/>
                <w:kern w:val="0"/>
                <w:sz w:val="21"/>
                <w:szCs w:val="21"/>
                <w:highlight w:val="none"/>
                <w:u w:val="none"/>
                <w:lang w:val="en-US" w:eastAsia="zh-CN" w:bidi="ar"/>
              </w:rPr>
              <w:t>）文字清晰，</w:t>
            </w:r>
            <w:r>
              <w:rPr>
                <w:rFonts w:hint="default" w:ascii="Times New Roman" w:hAnsi="Times New Roman" w:eastAsia="宋体" w:cs="Times New Roman"/>
                <w:i w:val="0"/>
                <w:iCs w:val="0"/>
                <w:color w:val="000000"/>
                <w:kern w:val="0"/>
                <w:sz w:val="21"/>
                <w:szCs w:val="21"/>
                <w:highlight w:val="none"/>
                <w:u w:val="none"/>
                <w:lang w:val="en-US" w:eastAsia="zh-CN" w:bidi="ar"/>
              </w:rPr>
              <w:t>2</w:t>
            </w:r>
            <w:r>
              <w:rPr>
                <w:rFonts w:hint="eastAsia" w:ascii="宋体" w:hAnsi="宋体" w:eastAsia="宋体" w:cs="宋体"/>
                <w:i w:val="0"/>
                <w:iCs w:val="0"/>
                <w:color w:val="000000"/>
                <w:kern w:val="0"/>
                <w:sz w:val="21"/>
                <w:szCs w:val="21"/>
                <w:highlight w:val="none"/>
                <w:u w:val="none"/>
                <w:lang w:val="en-US" w:eastAsia="zh-CN" w:bidi="ar"/>
              </w:rPr>
              <w:t>）目录清晰，</w:t>
            </w:r>
            <w:r>
              <w:rPr>
                <w:rFonts w:hint="default" w:ascii="Times New Roman" w:hAnsi="Times New Roman" w:eastAsia="宋体" w:cs="Times New Roman"/>
                <w:i w:val="0"/>
                <w:iCs w:val="0"/>
                <w:color w:val="000000"/>
                <w:kern w:val="0"/>
                <w:sz w:val="21"/>
                <w:szCs w:val="21"/>
                <w:highlight w:val="none"/>
                <w:u w:val="none"/>
                <w:lang w:val="en-US" w:eastAsia="zh-CN" w:bidi="ar"/>
              </w:rPr>
              <w:t>3</w:t>
            </w:r>
            <w:r>
              <w:rPr>
                <w:rFonts w:hint="eastAsia" w:ascii="宋体" w:hAnsi="宋体" w:eastAsia="宋体" w:cs="宋体"/>
                <w:i w:val="0"/>
                <w:iCs w:val="0"/>
                <w:color w:val="000000"/>
                <w:kern w:val="0"/>
                <w:sz w:val="21"/>
                <w:szCs w:val="21"/>
                <w:highlight w:val="none"/>
                <w:u w:val="none"/>
                <w:lang w:val="en-US" w:eastAsia="zh-CN" w:bidi="ar"/>
              </w:rPr>
              <w:t>）证明材料内容完整，</w:t>
            </w:r>
            <w:r>
              <w:rPr>
                <w:rFonts w:hint="default" w:ascii="Times New Roman" w:hAnsi="Times New Roman" w:eastAsia="宋体" w:cs="Times New Roman"/>
                <w:i w:val="0"/>
                <w:iCs w:val="0"/>
                <w:color w:val="000000"/>
                <w:kern w:val="0"/>
                <w:sz w:val="21"/>
                <w:szCs w:val="21"/>
                <w:highlight w:val="none"/>
                <w:u w:val="none"/>
                <w:lang w:val="en-US" w:eastAsia="zh-CN" w:bidi="ar"/>
              </w:rPr>
              <w:t>4</w:t>
            </w:r>
            <w:r>
              <w:rPr>
                <w:rFonts w:hint="eastAsia" w:ascii="宋体" w:hAnsi="宋体" w:eastAsia="宋体" w:cs="宋体"/>
                <w:i w:val="0"/>
                <w:iCs w:val="0"/>
                <w:color w:val="000000"/>
                <w:kern w:val="0"/>
                <w:sz w:val="21"/>
                <w:szCs w:val="21"/>
                <w:highlight w:val="none"/>
                <w:u w:val="none"/>
                <w:lang w:val="en-US" w:eastAsia="zh-CN" w:bidi="ar"/>
              </w:rPr>
              <w:t>）装订整齐，</w:t>
            </w:r>
            <w:r>
              <w:rPr>
                <w:rFonts w:hint="default" w:ascii="Times New Roman" w:hAnsi="Times New Roman" w:eastAsia="宋体" w:cs="Times New Roman"/>
                <w:i w:val="0"/>
                <w:iCs w:val="0"/>
                <w:color w:val="000000"/>
                <w:kern w:val="0"/>
                <w:sz w:val="21"/>
                <w:szCs w:val="21"/>
                <w:highlight w:val="none"/>
                <w:u w:val="none"/>
                <w:lang w:val="en-US" w:eastAsia="zh-CN" w:bidi="ar"/>
              </w:rPr>
              <w:t>5</w:t>
            </w:r>
            <w:r>
              <w:rPr>
                <w:rFonts w:hint="eastAsia" w:ascii="宋体" w:hAnsi="宋体" w:eastAsia="宋体" w:cs="宋体"/>
                <w:i w:val="0"/>
                <w:iCs w:val="0"/>
                <w:color w:val="000000"/>
                <w:kern w:val="0"/>
                <w:sz w:val="21"/>
                <w:szCs w:val="21"/>
                <w:highlight w:val="none"/>
                <w:u w:val="none"/>
                <w:lang w:val="en-US" w:eastAsia="zh-CN" w:bidi="ar"/>
              </w:rPr>
              <w:t>）查找方便（有索引页码）。满足得满分，每不满足一条按</w:t>
            </w:r>
            <w:r>
              <w:rPr>
                <w:rFonts w:hint="default" w:ascii="Times New Roman" w:hAnsi="Times New Roman" w:eastAsia="宋体" w:cs="Times New Roman"/>
                <w:i w:val="0"/>
                <w:iCs w:val="0"/>
                <w:color w:val="000000"/>
                <w:kern w:val="0"/>
                <w:sz w:val="21"/>
                <w:szCs w:val="21"/>
                <w:highlight w:val="none"/>
                <w:u w:val="none"/>
                <w:lang w:val="en-US" w:eastAsia="zh-CN" w:bidi="ar"/>
              </w:rPr>
              <w:t>0.</w:t>
            </w:r>
            <w:r>
              <w:rPr>
                <w:rFonts w:hint="eastAsia" w:cs="Times New Roman"/>
                <w:i w:val="0"/>
                <w:iCs w:val="0"/>
                <w:color w:val="000000"/>
                <w:kern w:val="0"/>
                <w:sz w:val="21"/>
                <w:szCs w:val="21"/>
                <w:highlight w:val="none"/>
                <w:u w:val="none"/>
                <w:lang w:val="en-US" w:eastAsia="zh-CN" w:bidi="ar"/>
              </w:rPr>
              <w:t>4</w:t>
            </w:r>
            <w:r>
              <w:rPr>
                <w:rFonts w:hint="eastAsia" w:ascii="宋体" w:hAnsi="宋体" w:eastAsia="宋体" w:cs="宋体"/>
                <w:i w:val="0"/>
                <w:iCs w:val="0"/>
                <w:color w:val="000000"/>
                <w:kern w:val="0"/>
                <w:sz w:val="21"/>
                <w:szCs w:val="21"/>
                <w:highlight w:val="none"/>
                <w:u w:val="none"/>
                <w:lang w:val="en-US" w:eastAsia="zh-CN" w:bidi="ar"/>
              </w:rPr>
              <w:t>分扣分，扣完为止。</w:t>
            </w:r>
          </w:p>
        </w:tc>
        <w:tc>
          <w:tcPr>
            <w:tcW w:w="749" w:type="dxa"/>
            <w:vAlign w:val="center"/>
          </w:tcPr>
          <w:p>
            <w:pPr>
              <w:keepNext w:val="0"/>
              <w:keepLines w:val="0"/>
              <w:widowControl/>
              <w:suppressLineNumbers w:val="0"/>
              <w:jc w:val="center"/>
              <w:textAlignment w:val="center"/>
              <w:rPr>
                <w:rFonts w:hint="eastAsia" w:ascii="宋体" w:hAnsi="宋体" w:eastAsia="宋体" w:cs="宋体"/>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restart"/>
            <w:vAlign w:val="center"/>
          </w:tcPr>
          <w:p>
            <w:pPr>
              <w:snapToGrid w:val="0"/>
              <w:jc w:val="center"/>
              <w:rPr>
                <w:rFonts w:ascii="宋体" w:hAnsi="宋体" w:cs="宋体"/>
                <w:color w:val="auto"/>
                <w:szCs w:val="21"/>
                <w:highlight w:val="none"/>
              </w:rPr>
            </w:pPr>
            <w:r>
              <w:rPr>
                <w:rFonts w:hint="eastAsia" w:ascii="宋体" w:hAnsi="宋体" w:cs="宋体"/>
                <w:color w:val="auto"/>
                <w:szCs w:val="21"/>
                <w:highlight w:val="none"/>
              </w:rPr>
              <w:t>技术</w:t>
            </w:r>
          </w:p>
        </w:tc>
        <w:tc>
          <w:tcPr>
            <w:tcW w:w="1745" w:type="dxa"/>
            <w:gridSpan w:val="2"/>
            <w:vMerge w:val="restart"/>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项目实施方案</w:t>
            </w:r>
          </w:p>
        </w:tc>
        <w:tc>
          <w:tcPr>
            <w:tcW w:w="4673" w:type="dxa"/>
            <w:vAlign w:val="center"/>
          </w:tcPr>
          <w:p>
            <w:pPr>
              <w:keepNext w:val="0"/>
              <w:keepLines w:val="0"/>
              <w:widowControl/>
              <w:suppressLineNumbers w:val="0"/>
              <w:jc w:val="both"/>
              <w:textAlignment w:val="center"/>
              <w:rPr>
                <w:b/>
                <w:color w:val="auto"/>
                <w:szCs w:val="21"/>
                <w:highlight w:val="none"/>
              </w:rPr>
            </w:pPr>
            <w:r>
              <w:rPr>
                <w:rFonts w:hint="default" w:ascii="Times New Roman" w:hAnsi="Times New Roman" w:eastAsia="宋体" w:cs="Times New Roman"/>
                <w:i w:val="0"/>
                <w:iCs w:val="0"/>
                <w:color w:val="000000"/>
                <w:kern w:val="0"/>
                <w:sz w:val="21"/>
                <w:szCs w:val="21"/>
                <w:highlight w:val="none"/>
                <w:u w:val="none"/>
                <w:lang w:val="en-US" w:eastAsia="zh-CN" w:bidi="ar"/>
              </w:rPr>
              <w:t>1</w:t>
            </w:r>
            <w:r>
              <w:rPr>
                <w:rFonts w:hint="eastAsia" w:ascii="宋体" w:hAnsi="宋体" w:eastAsia="宋体" w:cs="宋体"/>
                <w:i w:val="0"/>
                <w:iCs w:val="0"/>
                <w:color w:val="000000"/>
                <w:kern w:val="0"/>
                <w:sz w:val="21"/>
                <w:szCs w:val="21"/>
                <w:highlight w:val="none"/>
                <w:u w:val="none"/>
                <w:lang w:val="en-US" w:eastAsia="zh-CN" w:bidi="ar"/>
              </w:rPr>
              <w:t>、有对普查需求认知清晰，对项目实施重点、关键点分析得满分，否则不得分。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color w:val="auto"/>
                <w:kern w:val="0"/>
                <w:szCs w:val="21"/>
                <w:highlight w:val="none"/>
                <w:lang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hint="eastAsia" w:ascii="宋体" w:hAnsi="宋体" w:cs="宋体"/>
                <w:color w:val="auto"/>
                <w:szCs w:val="21"/>
                <w:highlight w:val="none"/>
              </w:rPr>
            </w:pPr>
          </w:p>
        </w:tc>
        <w:tc>
          <w:tcPr>
            <w:tcW w:w="1745" w:type="dxa"/>
            <w:gridSpan w:val="2"/>
            <w:vMerge w:val="continue"/>
            <w:vAlign w:val="center"/>
          </w:tcPr>
          <w:p>
            <w:pPr>
              <w:jc w:val="center"/>
              <w:rPr>
                <w:rFonts w:hint="eastAsia" w:ascii="宋体" w:hAnsi="宋体" w:cs="宋体"/>
                <w:kern w:val="0"/>
                <w:sz w:val="20"/>
                <w:szCs w:val="20"/>
                <w:highlight w:val="none"/>
                <w:lang w:bidi="ar"/>
              </w:rPr>
            </w:pPr>
          </w:p>
        </w:tc>
        <w:tc>
          <w:tcPr>
            <w:tcW w:w="4673" w:type="dxa"/>
            <w:vAlign w:val="center"/>
          </w:tcPr>
          <w:p>
            <w:pPr>
              <w:keepNext w:val="0"/>
              <w:keepLines w:val="0"/>
              <w:widowControl/>
              <w:suppressLineNumbers w:val="0"/>
              <w:jc w:val="both"/>
              <w:textAlignment w:val="center"/>
              <w:rPr>
                <w:rFonts w:hint="eastAsia" w:ascii="宋体" w:hAnsi="宋体" w:cs="宋体"/>
                <w:kern w:val="0"/>
                <w:sz w:val="20"/>
                <w:szCs w:val="20"/>
                <w:highlight w:val="none"/>
                <w:lang w:bidi="ar"/>
              </w:rPr>
            </w:pPr>
            <w:r>
              <w:rPr>
                <w:rFonts w:hint="default" w:ascii="Times New Roman" w:hAnsi="Times New Roman" w:eastAsia="宋体" w:cs="Times New Roman"/>
                <w:i w:val="0"/>
                <w:iCs w:val="0"/>
                <w:color w:val="000000"/>
                <w:kern w:val="0"/>
                <w:sz w:val="21"/>
                <w:szCs w:val="21"/>
                <w:highlight w:val="none"/>
                <w:u w:val="none"/>
                <w:lang w:val="en-US" w:eastAsia="zh-CN" w:bidi="ar"/>
              </w:rPr>
              <w:t>2</w:t>
            </w:r>
            <w:r>
              <w:rPr>
                <w:rFonts w:hint="eastAsia" w:ascii="宋体" w:hAnsi="宋体" w:eastAsia="宋体" w:cs="宋体"/>
                <w:i w:val="0"/>
                <w:iCs w:val="0"/>
                <w:color w:val="000000"/>
                <w:kern w:val="0"/>
                <w:sz w:val="21"/>
                <w:szCs w:val="21"/>
                <w:highlight w:val="none"/>
                <w:u w:val="none"/>
                <w:lang w:val="en-US" w:eastAsia="zh-CN" w:bidi="ar"/>
              </w:rPr>
              <w:t>、根据参选单位应答的完善性、合理性及可行性进行横向比较评价，方案表述是否清晰、严谨、合理，措施先进、具体、有效、成熟；优得[4.30～5.00]分，良得[3.50～4.30)分，中得[3.00～3.50)的分数，差得[0～3.00)分，分值须保留2位小数，等级可并列。</w:t>
            </w:r>
          </w:p>
        </w:tc>
        <w:tc>
          <w:tcPr>
            <w:tcW w:w="749" w:type="dxa"/>
            <w:vAlign w:val="center"/>
          </w:tcPr>
          <w:p>
            <w:pPr>
              <w:keepNext w:val="0"/>
              <w:keepLines w:val="0"/>
              <w:widowControl/>
              <w:suppressLineNumbers w:val="0"/>
              <w:jc w:val="center"/>
              <w:textAlignment w:val="center"/>
              <w:rPr>
                <w:rFonts w:hint="eastAsia" w:ascii="宋体" w:hAnsi="宋体" w:eastAsia="宋体" w:cs="宋体"/>
                <w:kern w:val="0"/>
                <w:sz w:val="20"/>
                <w:szCs w:val="20"/>
                <w:highlight w:val="none"/>
                <w:lang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restart"/>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项目技术方案</w:t>
            </w:r>
          </w:p>
        </w:tc>
        <w:tc>
          <w:tcPr>
            <w:tcW w:w="4673" w:type="dxa"/>
            <w:vAlign w:val="center"/>
          </w:tcPr>
          <w:p>
            <w:pPr>
              <w:keepNext w:val="0"/>
              <w:keepLines w:val="0"/>
              <w:widowControl/>
              <w:suppressLineNumbers w:val="0"/>
              <w:jc w:val="both"/>
              <w:textAlignment w:val="center"/>
              <w:rPr>
                <w:rFonts w:hint="eastAsia"/>
                <w:color w:val="auto"/>
                <w:highlight w:val="none"/>
              </w:rPr>
            </w:pPr>
            <w:r>
              <w:rPr>
                <w:rFonts w:hint="eastAsia" w:ascii="宋体" w:hAnsi="宋体" w:eastAsia="宋体" w:cs="宋体"/>
                <w:i w:val="0"/>
                <w:iCs w:val="0"/>
                <w:color w:val="000000"/>
                <w:kern w:val="0"/>
                <w:sz w:val="21"/>
                <w:szCs w:val="21"/>
                <w:highlight w:val="none"/>
                <w:u w:val="none"/>
                <w:lang w:val="en-US" w:eastAsia="zh-CN" w:bidi="ar"/>
              </w:rPr>
              <w:t>1、有提供完整的技术方案，包括普查服务、技术服务和交付时间等等得满分，否则不得分。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color w:val="auto"/>
                <w:kern w:val="0"/>
                <w:szCs w:val="21"/>
                <w:highlight w:val="none"/>
                <w:lang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continue"/>
            <w:vAlign w:val="center"/>
          </w:tcPr>
          <w:p>
            <w:pPr>
              <w:jc w:val="center"/>
              <w:rPr>
                <w:rFonts w:ascii="宋体" w:hAnsi="宋体" w:cs="宋体"/>
                <w:b/>
                <w:color w:val="auto"/>
                <w:kern w:val="0"/>
                <w:szCs w:val="21"/>
                <w:highlight w:val="none"/>
              </w:rPr>
            </w:pPr>
          </w:p>
        </w:tc>
        <w:tc>
          <w:tcPr>
            <w:tcW w:w="4673" w:type="dxa"/>
            <w:vAlign w:val="center"/>
          </w:tcPr>
          <w:p>
            <w:pPr>
              <w:keepNext w:val="0"/>
              <w:keepLines w:val="0"/>
              <w:widowControl/>
              <w:suppressLineNumbers w:val="0"/>
              <w:jc w:val="both"/>
              <w:textAlignment w:val="center"/>
              <w:rPr>
                <w:rFonts w:hint="eastAsia"/>
                <w:color w:val="auto"/>
                <w:highlight w:val="none"/>
              </w:rPr>
            </w:pPr>
            <w:r>
              <w:rPr>
                <w:rFonts w:hint="default" w:ascii="Times New Roman" w:hAnsi="Times New Roman" w:eastAsia="宋体" w:cs="Times New Roman"/>
                <w:i w:val="0"/>
                <w:iCs w:val="0"/>
                <w:color w:val="000000"/>
                <w:kern w:val="0"/>
                <w:sz w:val="21"/>
                <w:szCs w:val="21"/>
                <w:highlight w:val="none"/>
                <w:u w:val="none"/>
                <w:lang w:val="en-US" w:eastAsia="zh-CN" w:bidi="ar"/>
              </w:rPr>
              <w:t>2</w:t>
            </w:r>
            <w:r>
              <w:rPr>
                <w:rFonts w:hint="eastAsia" w:ascii="宋体" w:hAnsi="宋体" w:eastAsia="宋体" w:cs="宋体"/>
                <w:i w:val="0"/>
                <w:iCs w:val="0"/>
                <w:color w:val="000000"/>
                <w:kern w:val="0"/>
                <w:sz w:val="21"/>
                <w:szCs w:val="21"/>
                <w:highlight w:val="none"/>
                <w:u w:val="none"/>
                <w:lang w:val="en-US" w:eastAsia="zh-CN" w:bidi="ar"/>
              </w:rPr>
              <w:t>、有针对本项目的技术路线设计合理、实施方法符合本项目实际情况。</w:t>
            </w:r>
          </w:p>
        </w:tc>
        <w:tc>
          <w:tcPr>
            <w:tcW w:w="749" w:type="dxa"/>
            <w:vAlign w:val="center"/>
          </w:tcPr>
          <w:p>
            <w:pPr>
              <w:keepNext w:val="0"/>
              <w:keepLines w:val="0"/>
              <w:widowControl/>
              <w:suppressLineNumbers w:val="0"/>
              <w:jc w:val="center"/>
              <w:textAlignment w:val="center"/>
              <w:rPr>
                <w:rFonts w:hint="eastAsia" w:ascii="宋体" w:hAnsi="宋体" w:eastAsia="宋体" w:cs="宋体"/>
                <w:color w:val="auto"/>
                <w:kern w:val="0"/>
                <w:szCs w:val="21"/>
                <w:highlight w:val="none"/>
                <w:lang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continue"/>
            <w:vAlign w:val="center"/>
          </w:tcPr>
          <w:p>
            <w:pPr>
              <w:jc w:val="center"/>
              <w:rPr>
                <w:rFonts w:ascii="宋体" w:hAnsi="宋体" w:cs="宋体"/>
                <w:b/>
                <w:color w:val="auto"/>
                <w:kern w:val="0"/>
                <w:szCs w:val="21"/>
                <w:highlight w:val="none"/>
              </w:rPr>
            </w:pPr>
          </w:p>
        </w:tc>
        <w:tc>
          <w:tcPr>
            <w:tcW w:w="4673" w:type="dxa"/>
            <w:vAlign w:val="center"/>
          </w:tcPr>
          <w:p>
            <w:pPr>
              <w:keepNext w:val="0"/>
              <w:keepLines w:val="0"/>
              <w:widowControl/>
              <w:suppressLineNumbers w:val="0"/>
              <w:jc w:val="both"/>
              <w:textAlignment w:val="center"/>
              <w:rPr>
                <w:b/>
                <w:color w:val="auto"/>
                <w:szCs w:val="21"/>
                <w:highlight w:val="none"/>
              </w:rPr>
            </w:pPr>
            <w:r>
              <w:rPr>
                <w:rFonts w:hint="default" w:ascii="Times New Roman" w:hAnsi="Times New Roman" w:eastAsia="宋体" w:cs="Times New Roman"/>
                <w:i w:val="0"/>
                <w:iCs w:val="0"/>
                <w:color w:val="000000"/>
                <w:kern w:val="0"/>
                <w:sz w:val="21"/>
                <w:szCs w:val="21"/>
                <w:highlight w:val="none"/>
                <w:u w:val="none"/>
                <w:lang w:val="en-US" w:eastAsia="zh-CN" w:bidi="ar"/>
              </w:rPr>
              <w:t>3</w:t>
            </w:r>
            <w:r>
              <w:rPr>
                <w:rFonts w:hint="eastAsia" w:ascii="宋体" w:hAnsi="宋体" w:eastAsia="宋体" w:cs="宋体"/>
                <w:i w:val="0"/>
                <w:iCs w:val="0"/>
                <w:color w:val="000000"/>
                <w:kern w:val="0"/>
                <w:sz w:val="21"/>
                <w:szCs w:val="21"/>
                <w:highlight w:val="none"/>
                <w:u w:val="none"/>
                <w:lang w:val="en-US" w:eastAsia="zh-CN" w:bidi="ar"/>
              </w:rPr>
              <w:t>、根据参选单位应答的完善性、合理性及可行性进行横向比较评价，方案表述是否清晰、严谨、合理，措施先进、具体、有效、成熟；优得[4.30～5.00]分，良得[3.50～4.30)分，中得[3.00～3.50)的分数，差得[0～3.00)分，分值须保留2位小数，等级可并列。</w:t>
            </w:r>
          </w:p>
        </w:tc>
        <w:tc>
          <w:tcPr>
            <w:tcW w:w="749" w:type="dxa"/>
            <w:vAlign w:val="center"/>
          </w:tcPr>
          <w:p>
            <w:pPr>
              <w:keepNext w:val="0"/>
              <w:keepLines w:val="0"/>
              <w:widowControl/>
              <w:suppressLineNumbers w:val="0"/>
              <w:jc w:val="center"/>
              <w:textAlignment w:val="center"/>
              <w:rPr>
                <w:rFonts w:hint="eastAsia" w:ascii="宋体" w:hAnsi="宋体" w:eastAsia="宋体" w:cs="宋体"/>
                <w:color w:val="auto"/>
                <w:kern w:val="0"/>
                <w:szCs w:val="21"/>
                <w:highlight w:val="none"/>
                <w:lang w:bidi="ar"/>
              </w:rPr>
            </w:pPr>
            <w:r>
              <w:rPr>
                <w:rFonts w:hint="default" w:ascii="Times New Roman" w:hAnsi="Times New Roman" w:eastAsia="宋体" w:cs="Times New Roman"/>
                <w:i w:val="0"/>
                <w:iCs w:val="0"/>
                <w:color w:val="000000"/>
                <w:kern w:val="0"/>
                <w:sz w:val="21"/>
                <w:szCs w:val="21"/>
                <w:highlight w:val="none"/>
                <w:u w:val="none"/>
                <w:lang w:val="en-US" w:eastAsia="zh-CN"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restart"/>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普查成果应用规划</w:t>
            </w:r>
          </w:p>
        </w:tc>
        <w:tc>
          <w:tcPr>
            <w:tcW w:w="4673" w:type="dxa"/>
            <w:vAlign w:val="center"/>
          </w:tcPr>
          <w:p>
            <w:pPr>
              <w:keepNext w:val="0"/>
              <w:keepLines w:val="0"/>
              <w:widowControl/>
              <w:suppressLineNumbers w:val="0"/>
              <w:jc w:val="both"/>
              <w:textAlignment w:val="center"/>
              <w:rPr>
                <w:rFonts w:hint="eastAsia" w:ascii="宋体" w:hAnsi="宋体" w:cs="宋体"/>
                <w:kern w:val="0"/>
                <w:sz w:val="20"/>
                <w:szCs w:val="20"/>
                <w:highlight w:val="none"/>
                <w:lang w:bidi="ar"/>
              </w:rPr>
            </w:pPr>
            <w:r>
              <w:rPr>
                <w:rFonts w:hint="eastAsia" w:ascii="宋体" w:hAnsi="宋体" w:eastAsia="宋体" w:cs="宋体"/>
                <w:i w:val="0"/>
                <w:iCs w:val="0"/>
                <w:color w:val="000000"/>
                <w:kern w:val="0"/>
                <w:sz w:val="21"/>
                <w:szCs w:val="21"/>
                <w:highlight w:val="none"/>
                <w:u w:val="none"/>
                <w:lang w:val="en-US" w:eastAsia="zh-CN" w:bidi="ar"/>
              </w:rPr>
              <w:t>1、有提供完整的普查成果应用规划，包括普查成果在自然灾害综合监测预警和应急指挥业务领域的应用规划方案。提供得满分，否则不得分。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kern w:val="0"/>
                <w:sz w:val="20"/>
                <w:szCs w:val="20"/>
                <w:highlight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continue"/>
            <w:vAlign w:val="center"/>
          </w:tcPr>
          <w:p>
            <w:pPr>
              <w:jc w:val="center"/>
              <w:rPr>
                <w:rFonts w:ascii="宋体" w:hAnsi="宋体" w:cs="宋体"/>
                <w:b/>
                <w:color w:val="auto"/>
                <w:kern w:val="0"/>
                <w:szCs w:val="21"/>
                <w:highlight w:val="none"/>
              </w:rPr>
            </w:pPr>
          </w:p>
        </w:tc>
        <w:tc>
          <w:tcPr>
            <w:tcW w:w="4673" w:type="dxa"/>
            <w:vAlign w:val="center"/>
          </w:tcPr>
          <w:p>
            <w:pPr>
              <w:keepNext w:val="0"/>
              <w:keepLines w:val="0"/>
              <w:widowControl/>
              <w:suppressLineNumbers w:val="0"/>
              <w:jc w:val="both"/>
              <w:textAlignment w:val="center"/>
              <w:rPr>
                <w:b/>
                <w:color w:val="auto"/>
                <w:szCs w:val="21"/>
                <w:highlight w:val="none"/>
              </w:rPr>
            </w:pPr>
            <w:r>
              <w:rPr>
                <w:rFonts w:hint="eastAsia" w:ascii="宋体" w:hAnsi="宋体" w:eastAsia="宋体" w:cs="宋体"/>
                <w:i w:val="0"/>
                <w:iCs w:val="0"/>
                <w:color w:val="000000"/>
                <w:kern w:val="0"/>
                <w:sz w:val="21"/>
                <w:szCs w:val="21"/>
                <w:highlight w:val="none"/>
                <w:u w:val="none"/>
                <w:lang w:val="en-US" w:eastAsia="zh-CN" w:bidi="ar"/>
              </w:rPr>
              <w:t>2、根据参选单位应答的完善性、合理性及可行性进行横向比较评价，方案表述是否清晰、严谨、合理，措施先进、具体、有效、成熟；优得[3.40～4.00]分，良得[2.80～3.40)分，中得[2.40～2.80)的分数，差得[0～2.40)分，分值须保留2位小数，等级可并列。</w:t>
            </w:r>
          </w:p>
        </w:tc>
        <w:tc>
          <w:tcPr>
            <w:tcW w:w="749" w:type="dxa"/>
            <w:vAlign w:val="center"/>
          </w:tcPr>
          <w:p>
            <w:pPr>
              <w:keepNext w:val="0"/>
              <w:keepLines w:val="0"/>
              <w:widowControl/>
              <w:suppressLineNumbers w:val="0"/>
              <w:jc w:val="center"/>
              <w:textAlignment w:val="center"/>
              <w:rPr>
                <w:rFonts w:hint="eastAsia" w:ascii="宋体" w:hAnsi="宋体" w:eastAsia="宋体" w:cs="宋体"/>
                <w:color w:val="auto"/>
                <w:kern w:val="0"/>
                <w:szCs w:val="21"/>
                <w:highlight w:val="none"/>
                <w:lang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质量保障</w:t>
            </w:r>
          </w:p>
        </w:tc>
        <w:tc>
          <w:tcPr>
            <w:tcW w:w="4673" w:type="dxa"/>
            <w:vAlign w:val="center"/>
          </w:tcPr>
          <w:p>
            <w:pPr>
              <w:keepNext w:val="0"/>
              <w:keepLines w:val="0"/>
              <w:widowControl/>
              <w:suppressLineNumbers w:val="0"/>
              <w:jc w:val="both"/>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供应商提供完整的质量及保证措施方案，提供得满分，否则不得分。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restart"/>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项目团队要求</w:t>
            </w:r>
          </w:p>
        </w:tc>
        <w:tc>
          <w:tcPr>
            <w:tcW w:w="4673" w:type="dxa"/>
            <w:vAlign w:val="center"/>
          </w:tcPr>
          <w:p>
            <w:pPr>
              <w:keepNext w:val="0"/>
              <w:keepLines w:val="0"/>
              <w:widowControl/>
              <w:suppressLineNumbers w:val="0"/>
              <w:jc w:val="left"/>
              <w:textAlignment w:val="center"/>
              <w:rPr>
                <w:rFonts w:hint="eastAsia" w:ascii="宋体" w:hAnsi="宋体" w:cs="宋体"/>
                <w:kern w:val="0"/>
                <w:sz w:val="20"/>
                <w:szCs w:val="20"/>
                <w:highlight w:val="none"/>
                <w:lang w:bidi="ar"/>
              </w:rPr>
            </w:pPr>
            <w:r>
              <w:rPr>
                <w:rFonts w:hint="eastAsia" w:ascii="宋体" w:hAnsi="宋体" w:eastAsia="宋体" w:cs="宋体"/>
                <w:i w:val="0"/>
                <w:iCs w:val="0"/>
                <w:color w:val="000000"/>
                <w:kern w:val="0"/>
                <w:sz w:val="21"/>
                <w:szCs w:val="21"/>
                <w:highlight w:val="none"/>
                <w:u w:val="none"/>
                <w:lang w:val="en-US" w:eastAsia="zh-CN" w:bidi="ar"/>
              </w:rPr>
              <w:t>项目负责人具备本科及以上学历（或学位），具有5年以上工作经验，须提供学历（或学位）证明，工作经验以学历毕业证书的时间计算。满足得3分，不满足不得分。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kern w:val="0"/>
                <w:sz w:val="20"/>
                <w:szCs w:val="20"/>
                <w:highlight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continue"/>
            <w:vAlign w:val="center"/>
          </w:tcPr>
          <w:p>
            <w:pPr>
              <w:jc w:val="center"/>
              <w:rPr>
                <w:rFonts w:hint="eastAsia" w:ascii="宋体" w:hAnsi="宋体" w:eastAsia="宋体" w:cs="宋体"/>
                <w:i w:val="0"/>
                <w:iCs w:val="0"/>
                <w:color w:val="000000"/>
                <w:kern w:val="0"/>
                <w:sz w:val="21"/>
                <w:szCs w:val="21"/>
                <w:highlight w:val="none"/>
                <w:u w:val="none"/>
                <w:lang w:val="en-US" w:eastAsia="zh-CN" w:bidi="ar"/>
              </w:rPr>
            </w:pPr>
          </w:p>
        </w:tc>
        <w:tc>
          <w:tcPr>
            <w:tcW w:w="4673" w:type="dxa"/>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参选人拟派项目团队其他成员（不含项目负责人）要求3人及以上，均需具备2年及以上同类项目经验。根据学历（或学位）积分计算得分后按照积分分数进行排名。第一名得满分，其余的按20%依次递减，不满足不得分，排名可以并列。硕士或以上积分为3分，本科积分为2分，大专积分为1分，大专以下不纳入积分计算。基本要求：满足项目团队要求中的人员数量要求，且具备大专及以上学历（或学位），须提供学历（或学位）证明。须提供相关的人员名单、二代身份证。</w:t>
            </w:r>
          </w:p>
        </w:tc>
        <w:tc>
          <w:tcPr>
            <w:tcW w:w="749" w:type="dxa"/>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1"/>
                <w:szCs w:val="21"/>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restart"/>
            <w:vAlign w:val="center"/>
          </w:tcPr>
          <w:p>
            <w:pPr>
              <w:snapToGrid w:val="0"/>
              <w:jc w:val="center"/>
              <w:rPr>
                <w:rFonts w:hint="eastAsia" w:ascii="宋体" w:hAnsi="宋体" w:eastAsia="宋体" w:cs="宋体"/>
                <w:color w:val="auto"/>
                <w:szCs w:val="21"/>
                <w:highlight w:val="none"/>
                <w:lang w:val="en-US" w:eastAsia="zh-CN"/>
              </w:rPr>
            </w:pPr>
            <w:r>
              <w:rPr>
                <w:rFonts w:hint="eastAsia" w:ascii="宋体" w:hAnsi="宋体" w:cs="宋体"/>
                <w:color w:val="auto"/>
                <w:szCs w:val="21"/>
                <w:highlight w:val="none"/>
                <w:lang w:val="en-US" w:eastAsia="zh-CN"/>
              </w:rPr>
              <w:t>服务</w:t>
            </w:r>
          </w:p>
        </w:tc>
        <w:tc>
          <w:tcPr>
            <w:tcW w:w="1745" w:type="dxa"/>
            <w:gridSpan w:val="2"/>
            <w:vMerge w:val="restart"/>
            <w:vAlign w:val="center"/>
          </w:tcPr>
          <w:p>
            <w:pPr>
              <w:keepNext w:val="0"/>
              <w:keepLines w:val="0"/>
              <w:widowControl/>
              <w:suppressLineNumbers w:val="0"/>
              <w:jc w:val="center"/>
              <w:textAlignment w:val="center"/>
              <w:rPr>
                <w:rFonts w:ascii="宋体" w:hAnsi="宋体" w:cs="宋体"/>
                <w:b/>
                <w:color w:val="auto"/>
                <w:kern w:val="0"/>
                <w:szCs w:val="21"/>
                <w:highlight w:val="none"/>
              </w:rPr>
            </w:pPr>
            <w:r>
              <w:rPr>
                <w:rFonts w:hint="eastAsia" w:ascii="宋体" w:hAnsi="宋体" w:eastAsia="宋体" w:cs="宋体"/>
                <w:i w:val="0"/>
                <w:iCs w:val="0"/>
                <w:color w:val="000000"/>
                <w:kern w:val="0"/>
                <w:sz w:val="21"/>
                <w:szCs w:val="21"/>
                <w:highlight w:val="none"/>
                <w:u w:val="none"/>
                <w:lang w:val="en-US" w:eastAsia="zh-CN" w:bidi="ar"/>
              </w:rPr>
              <w:t>项目售后服务</w:t>
            </w:r>
          </w:p>
        </w:tc>
        <w:tc>
          <w:tcPr>
            <w:tcW w:w="4673" w:type="dxa"/>
            <w:vAlign w:val="center"/>
          </w:tcPr>
          <w:p>
            <w:pPr>
              <w:keepNext w:val="0"/>
              <w:keepLines w:val="0"/>
              <w:widowControl/>
              <w:suppressLineNumbers w:val="0"/>
              <w:jc w:val="both"/>
              <w:textAlignment w:val="center"/>
              <w:rPr>
                <w:rFonts w:hint="eastAsia" w:ascii="宋体" w:hAnsi="宋体" w:eastAsia="宋体" w:cs="宋体"/>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1、有对本项目的售后服务计划得满分，否则不得分。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hint="eastAsia" w:ascii="宋体" w:hAnsi="宋体" w:cs="宋体"/>
                <w:color w:val="auto"/>
                <w:szCs w:val="21"/>
                <w:highlight w:val="none"/>
                <w:lang w:val="en-US" w:eastAsia="zh-CN"/>
              </w:rPr>
            </w:pPr>
          </w:p>
        </w:tc>
        <w:tc>
          <w:tcPr>
            <w:tcW w:w="1745" w:type="dxa"/>
            <w:gridSpan w:val="2"/>
            <w:vMerge w:val="continue"/>
            <w:vAlign w:val="center"/>
          </w:tcPr>
          <w:p>
            <w:pPr>
              <w:jc w:val="center"/>
              <w:rPr>
                <w:rFonts w:ascii="宋体" w:hAnsi="宋体" w:cs="宋体"/>
                <w:b/>
                <w:color w:val="auto"/>
                <w:kern w:val="0"/>
                <w:szCs w:val="21"/>
                <w:highlight w:val="none"/>
              </w:rPr>
            </w:pPr>
          </w:p>
        </w:tc>
        <w:tc>
          <w:tcPr>
            <w:tcW w:w="4673" w:type="dxa"/>
            <w:vAlign w:val="center"/>
          </w:tcPr>
          <w:p>
            <w:pPr>
              <w:keepNext w:val="0"/>
              <w:keepLines w:val="0"/>
              <w:widowControl/>
              <w:suppressLineNumbers w:val="0"/>
              <w:jc w:val="both"/>
              <w:textAlignment w:val="center"/>
              <w:rPr>
                <w:rFonts w:hint="eastAsia" w:ascii="宋体" w:hAnsi="宋体" w:eastAsia="宋体" w:cs="宋体"/>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2、有对本项目售后服务承诺得满分，否则不得分。</w:t>
            </w:r>
          </w:p>
        </w:tc>
        <w:tc>
          <w:tcPr>
            <w:tcW w:w="749" w:type="dxa"/>
            <w:vAlign w:val="center"/>
          </w:tcPr>
          <w:p>
            <w:pPr>
              <w:keepNext w:val="0"/>
              <w:keepLines w:val="0"/>
              <w:widowControl/>
              <w:suppressLineNumbers w:val="0"/>
              <w:jc w:val="center"/>
              <w:textAlignment w:val="center"/>
              <w:rPr>
                <w:rFonts w:hint="eastAsia" w:ascii="宋体" w:hAnsi="宋体" w:eastAsia="宋体" w:cs="宋体"/>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Merge w:val="continue"/>
            <w:vAlign w:val="center"/>
          </w:tcPr>
          <w:p>
            <w:pPr>
              <w:jc w:val="center"/>
              <w:rPr>
                <w:rFonts w:ascii="宋体" w:hAnsi="宋体" w:cs="宋体"/>
                <w:b/>
                <w:color w:val="auto"/>
                <w:kern w:val="0"/>
                <w:szCs w:val="21"/>
                <w:highlight w:val="none"/>
              </w:rPr>
            </w:pPr>
          </w:p>
        </w:tc>
        <w:tc>
          <w:tcPr>
            <w:tcW w:w="4673" w:type="dxa"/>
            <w:vAlign w:val="center"/>
          </w:tcPr>
          <w:p>
            <w:pPr>
              <w:keepNext w:val="0"/>
              <w:keepLines w:val="0"/>
              <w:widowControl/>
              <w:suppressLineNumbers w:val="0"/>
              <w:jc w:val="both"/>
              <w:textAlignment w:val="center"/>
              <w:rPr>
                <w:rFonts w:hint="eastAsia" w:ascii="宋体" w:hAnsi="宋体" w:eastAsia="宋体" w:cs="宋体"/>
                <w:i w:val="0"/>
                <w:color w:val="000000"/>
                <w:kern w:val="0"/>
                <w:sz w:val="20"/>
                <w:szCs w:val="20"/>
                <w:highlight w:val="none"/>
                <w:u w:val="none"/>
                <w:lang w:val="en-US" w:eastAsia="zh-CN" w:bidi="ar"/>
              </w:rPr>
            </w:pPr>
            <w:r>
              <w:rPr>
                <w:rFonts w:hint="default" w:ascii="Times New Roman" w:hAnsi="Times New Roman" w:eastAsia="宋体" w:cs="Times New Roman"/>
                <w:i w:val="0"/>
                <w:iCs w:val="0"/>
                <w:color w:val="000000"/>
                <w:kern w:val="0"/>
                <w:sz w:val="21"/>
                <w:szCs w:val="21"/>
                <w:highlight w:val="none"/>
                <w:u w:val="none"/>
                <w:lang w:val="en-US" w:eastAsia="zh-CN" w:bidi="ar"/>
              </w:rPr>
              <w:t>3</w:t>
            </w:r>
            <w:r>
              <w:rPr>
                <w:rFonts w:hint="eastAsia" w:ascii="宋体" w:hAnsi="宋体" w:eastAsia="宋体" w:cs="宋体"/>
                <w:i w:val="0"/>
                <w:iCs w:val="0"/>
                <w:color w:val="000000"/>
                <w:kern w:val="0"/>
                <w:sz w:val="21"/>
                <w:szCs w:val="21"/>
                <w:highlight w:val="none"/>
                <w:u w:val="none"/>
                <w:lang w:val="en-US" w:eastAsia="zh-CN" w:bidi="ar"/>
              </w:rPr>
              <w:t>、根据参选单位应答的完善性、合理性及可行性进行横向比较评价，方案表述是否清晰、严谨、合理，措施先进、具体、有效、成熟；优得[1.70～2.00]分，良得[1.40～1.70)分，中得[1.20～1.40)的分数，差得[0～1.20)分，分值须保留2位小数，等级可并列。</w:t>
            </w:r>
          </w:p>
        </w:tc>
        <w:tc>
          <w:tcPr>
            <w:tcW w:w="749" w:type="dxa"/>
            <w:vAlign w:val="center"/>
          </w:tcPr>
          <w:p>
            <w:pPr>
              <w:keepNext w:val="0"/>
              <w:keepLines w:val="0"/>
              <w:widowControl/>
              <w:suppressLineNumbers w:val="0"/>
              <w:jc w:val="center"/>
              <w:textAlignment w:val="center"/>
              <w:rPr>
                <w:rFonts w:hint="eastAsia" w:ascii="宋体" w:hAnsi="宋体" w:eastAsia="宋体" w:cs="宋体"/>
                <w:i w:val="0"/>
                <w:color w:val="000000"/>
                <w:kern w:val="0"/>
                <w:sz w:val="20"/>
                <w:szCs w:val="20"/>
                <w:highlight w:val="none"/>
                <w:u w:val="none"/>
                <w:lang w:val="en-US" w:eastAsia="zh-CN" w:bidi="ar"/>
              </w:rPr>
            </w:pPr>
            <w:r>
              <w:rPr>
                <w:rFonts w:hint="eastAsia" w:ascii="宋体" w:hAnsi="宋体" w:eastAsia="宋体" w:cs="宋体"/>
                <w:i w:val="0"/>
                <w:iCs w:val="0"/>
                <w:color w:val="000000"/>
                <w:kern w:val="0"/>
                <w:sz w:val="21"/>
                <w:szCs w:val="21"/>
                <w:highlight w:val="none"/>
                <w:u w:val="none"/>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Merge w:val="continue"/>
            <w:vAlign w:val="center"/>
          </w:tcPr>
          <w:p>
            <w:pPr>
              <w:snapToGrid w:val="0"/>
              <w:jc w:val="center"/>
              <w:rPr>
                <w:rFonts w:ascii="宋体" w:hAnsi="宋体" w:cs="宋体"/>
                <w:color w:val="auto"/>
                <w:szCs w:val="21"/>
                <w:highlight w:val="none"/>
              </w:rPr>
            </w:pPr>
          </w:p>
        </w:tc>
        <w:tc>
          <w:tcPr>
            <w:tcW w:w="1745" w:type="dxa"/>
            <w:gridSpan w:val="2"/>
            <w:vAlign w:val="center"/>
          </w:tcPr>
          <w:p>
            <w:pPr>
              <w:keepNext w:val="0"/>
              <w:keepLines w:val="0"/>
              <w:widowControl/>
              <w:suppressLineNumbers w:val="0"/>
              <w:jc w:val="center"/>
              <w:textAlignment w:val="center"/>
              <w:rPr>
                <w:rFonts w:hint="eastAsia" w:ascii="宋体" w:hAnsi="宋体" w:cs="宋体"/>
                <w:kern w:val="0"/>
                <w:sz w:val="20"/>
                <w:szCs w:val="20"/>
                <w:highlight w:val="none"/>
                <w:lang w:bidi="ar"/>
              </w:rPr>
            </w:pPr>
            <w:r>
              <w:rPr>
                <w:rFonts w:hint="eastAsia" w:ascii="宋体" w:hAnsi="宋体" w:eastAsia="宋体" w:cs="宋体"/>
                <w:i w:val="0"/>
                <w:iCs w:val="0"/>
                <w:color w:val="000000"/>
                <w:kern w:val="0"/>
                <w:sz w:val="21"/>
                <w:szCs w:val="21"/>
                <w:highlight w:val="none"/>
                <w:u w:val="none"/>
                <w:lang w:val="en-US" w:eastAsia="zh-CN" w:bidi="ar"/>
              </w:rPr>
              <w:t>额外服务承诺</w:t>
            </w:r>
          </w:p>
        </w:tc>
        <w:tc>
          <w:tcPr>
            <w:tcW w:w="4673" w:type="dxa"/>
            <w:vAlign w:val="center"/>
          </w:tcPr>
          <w:p>
            <w:pPr>
              <w:keepNext w:val="0"/>
              <w:keepLines w:val="0"/>
              <w:widowControl/>
              <w:suppressLineNumbers w:val="0"/>
              <w:jc w:val="left"/>
              <w:textAlignment w:val="center"/>
              <w:rPr>
                <w:rFonts w:hint="eastAsia" w:ascii="宋体" w:hAnsi="宋体" w:cs="宋体"/>
                <w:kern w:val="0"/>
                <w:sz w:val="20"/>
                <w:szCs w:val="20"/>
                <w:highlight w:val="none"/>
                <w:lang w:bidi="ar"/>
              </w:rPr>
            </w:pPr>
            <w:r>
              <w:rPr>
                <w:rFonts w:hint="eastAsia" w:ascii="宋体" w:hAnsi="宋体" w:eastAsia="宋体" w:cs="宋体"/>
                <w:i w:val="0"/>
                <w:iCs w:val="0"/>
                <w:color w:val="000000"/>
                <w:kern w:val="0"/>
                <w:sz w:val="21"/>
                <w:szCs w:val="21"/>
                <w:highlight w:val="none"/>
                <w:u w:val="none"/>
                <w:lang w:val="en-US" w:eastAsia="zh-CN" w:bidi="ar"/>
              </w:rPr>
              <w:t>提供针对本项目有利的额外服务承诺，满足一条得1分，本项最高得5分。（承诺函格式自拟）</w:t>
            </w:r>
          </w:p>
        </w:tc>
        <w:tc>
          <w:tcPr>
            <w:tcW w:w="749" w:type="dxa"/>
            <w:vAlign w:val="center"/>
          </w:tcPr>
          <w:p>
            <w:pPr>
              <w:keepNext w:val="0"/>
              <w:keepLines w:val="0"/>
              <w:widowControl/>
              <w:suppressLineNumbers w:val="0"/>
              <w:jc w:val="center"/>
              <w:textAlignment w:val="center"/>
              <w:rPr>
                <w:rFonts w:hint="eastAsia" w:ascii="宋体" w:hAnsi="宋体" w:cs="宋体"/>
                <w:kern w:val="0"/>
                <w:sz w:val="20"/>
                <w:szCs w:val="20"/>
                <w:highlight w:val="none"/>
                <w:lang w:bidi="ar"/>
              </w:rPr>
            </w:pPr>
            <w:r>
              <w:rPr>
                <w:rFonts w:hint="eastAsia" w:ascii="宋体" w:hAnsi="宋体" w:eastAsia="宋体" w:cs="宋体"/>
                <w:i w:val="0"/>
                <w:iCs w:val="0"/>
                <w:color w:val="000000"/>
                <w:kern w:val="0"/>
                <w:sz w:val="21"/>
                <w:szCs w:val="21"/>
                <w:highlight w:val="none"/>
                <w:u w:val="none"/>
                <w:lang w:val="en-US" w:eastAsia="zh-CN"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2"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Align w:val="center"/>
          </w:tcPr>
          <w:p>
            <w:pPr>
              <w:snapToGrid w:val="0"/>
              <w:jc w:val="left"/>
              <w:rPr>
                <w:rFonts w:ascii="宋体" w:hAnsi="宋体" w:cs="宋体"/>
                <w:color w:val="auto"/>
                <w:kern w:val="0"/>
                <w:szCs w:val="21"/>
                <w:highlight w:val="none"/>
              </w:rPr>
            </w:pPr>
            <w:r>
              <w:rPr>
                <w:rFonts w:hint="eastAsia" w:ascii="宋体" w:hAnsi="宋体" w:cs="宋体"/>
                <w:color w:val="auto"/>
                <w:kern w:val="0"/>
                <w:szCs w:val="21"/>
                <w:highlight w:val="none"/>
              </w:rPr>
              <w:t>价格</w:t>
            </w:r>
          </w:p>
        </w:tc>
        <w:tc>
          <w:tcPr>
            <w:tcW w:w="7167" w:type="dxa"/>
            <w:gridSpan w:val="4"/>
            <w:vAlign w:val="center"/>
          </w:tcPr>
          <w:p>
            <w:pPr>
              <w:rPr>
                <w:rFonts w:hint="eastAsia" w:eastAsia="宋体"/>
                <w:color w:val="auto"/>
                <w:szCs w:val="21"/>
                <w:highlight w:val="none"/>
                <w:lang w:eastAsia="zh-CN"/>
              </w:rPr>
            </w:pPr>
            <w:r>
              <w:rPr>
                <w:rFonts w:hint="eastAsia"/>
                <w:color w:val="auto"/>
                <w:szCs w:val="21"/>
                <w:highlight w:val="none"/>
              </w:rPr>
              <w:t>本项目以</w:t>
            </w:r>
            <w:r>
              <w:rPr>
                <w:rFonts w:hint="eastAsia"/>
                <w:color w:val="auto"/>
                <w:szCs w:val="21"/>
                <w:highlight w:val="none"/>
                <w:lang w:val="en-US" w:eastAsia="zh-CN"/>
              </w:rPr>
              <w:t>供应商报价的</w:t>
            </w:r>
            <w:r>
              <w:rPr>
                <w:rFonts w:hint="eastAsia"/>
                <w:b/>
                <w:bCs/>
                <w:color w:val="auto"/>
                <w:szCs w:val="21"/>
                <w:highlight w:val="none"/>
                <w:lang w:val="en-US" w:eastAsia="zh-CN"/>
              </w:rPr>
              <w:t>参选总报价（不含税）</w:t>
            </w:r>
            <w:r>
              <w:rPr>
                <w:rFonts w:hint="eastAsia"/>
                <w:color w:val="auto"/>
                <w:szCs w:val="21"/>
                <w:highlight w:val="none"/>
              </w:rPr>
              <w:t>作为评审价格，</w:t>
            </w:r>
            <w:r>
              <w:rPr>
                <w:color w:val="auto"/>
                <w:szCs w:val="21"/>
                <w:highlight w:val="none"/>
              </w:rPr>
              <w:t>开具增值税专用发票</w:t>
            </w:r>
            <w:r>
              <w:rPr>
                <w:rFonts w:hint="eastAsia"/>
                <w:color w:val="auto"/>
                <w:szCs w:val="21"/>
                <w:highlight w:val="none"/>
                <w:lang w:eastAsia="zh-CN"/>
              </w:rPr>
              <w:t>。</w:t>
            </w:r>
          </w:p>
          <w:p>
            <w:pPr>
              <w:snapToGrid w:val="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采用基准价法进行计算。</w:t>
            </w:r>
          </w:p>
          <w:p>
            <w:pPr>
              <w:snapToGrid w:val="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所有有效的评审模型价格平均值*0.9即为报价基准点（记为A）,得50分。然后，将其与各参选单位的评审模型价格比较。评审价格B1比A值每低1%（评审价格与基准点的差值（差的绝对值）在基准价中的占比）扣0.2分，计算公式=50-（A-B1）/A×100×0.2。评审价格B1比A值每高1%（评审价格与基准点的差值（差的绝对值）在基准价中的占比）扣0.4分，计算公式=50-（B1-A）/A×100×0.4；</w:t>
            </w:r>
          </w:p>
          <w:p>
            <w:pPr>
              <w:snapToGrid w:val="0"/>
              <w:jc w:val="left"/>
              <w:rPr>
                <w:rFonts w:ascii="宋体" w:hAnsi="宋体" w:cs="宋体"/>
                <w:color w:val="auto"/>
                <w:kern w:val="0"/>
                <w:szCs w:val="21"/>
                <w:highlight w:val="none"/>
              </w:rPr>
            </w:pPr>
            <w:r>
              <w:rPr>
                <w:rFonts w:hint="eastAsia" w:ascii="宋体" w:hAnsi="宋体" w:cs="宋体"/>
                <w:color w:val="auto"/>
                <w:kern w:val="0"/>
                <w:szCs w:val="21"/>
                <w:highlight w:val="none"/>
              </w:rPr>
              <w:t>（所有数值均保留小数点后两位，按比例取值，经济部分总分为50分，扣完为止。）</w:t>
            </w:r>
          </w:p>
          <w:p>
            <w:pPr>
              <w:snapToGrid w:val="0"/>
              <w:jc w:val="left"/>
              <w:rPr>
                <w:rFonts w:ascii="宋体" w:hAnsi="宋体" w:cs="宋体"/>
                <w:color w:val="auto"/>
                <w:kern w:val="0"/>
                <w:szCs w:val="21"/>
                <w:highlight w:val="none"/>
              </w:rPr>
            </w:pPr>
            <w:r>
              <w:rPr>
                <w:rFonts w:hint="eastAsia" w:ascii="宋体" w:hAnsi="宋体" w:cs="宋体"/>
                <w:color w:val="auto"/>
                <w:kern w:val="0"/>
                <w:szCs w:val="21"/>
                <w:highlight w:val="none"/>
              </w:rPr>
              <w:t>（异常价格判定和处理：</w:t>
            </w:r>
            <w:r>
              <w:rPr>
                <w:rFonts w:hint="eastAsia" w:ascii="宋体" w:hAnsi="宋体" w:cs="宋体"/>
                <w:color w:val="auto"/>
                <w:kern w:val="0"/>
                <w:szCs w:val="21"/>
                <w:highlight w:val="none"/>
              </w:rPr>
              <w:br w:type="textWrapping"/>
            </w:r>
            <w:r>
              <w:rPr>
                <w:rFonts w:hint="eastAsia" w:ascii="宋体" w:hAnsi="宋体" w:cs="宋体"/>
                <w:color w:val="auto"/>
                <w:kern w:val="0"/>
                <w:szCs w:val="21"/>
                <w:highlight w:val="none"/>
              </w:rPr>
              <w:t>判定：异常价格是指与整体报价水平相比过高或过低的有效参选报价。一般以所有有效参选价算术平均值的 50%作为异常价格判定下限，200%作为异常价格判定上限，高于（不含）上限的为异常高价，低于（不含）下限的为异常低价。</w:t>
            </w:r>
          </w:p>
          <w:p>
            <w:pPr>
              <w:snapToGrid w:val="0"/>
              <w:jc w:val="left"/>
              <w:rPr>
                <w:rFonts w:ascii="宋体" w:hAnsi="宋体" w:cs="宋体"/>
                <w:color w:val="auto"/>
                <w:kern w:val="0"/>
                <w:szCs w:val="21"/>
                <w:highlight w:val="none"/>
              </w:rPr>
            </w:pPr>
            <w:r>
              <w:rPr>
                <w:rFonts w:hint="eastAsia" w:ascii="宋体" w:hAnsi="宋体" w:cs="宋体"/>
                <w:color w:val="auto"/>
                <w:kern w:val="0"/>
                <w:szCs w:val="21"/>
                <w:highlight w:val="none"/>
              </w:rPr>
              <w:t>处理：一般应剔除异常价格后取其余有效报价进行价格分计算，如剔除异常价格后有效报价不足 2 个，可以将异常价格判定上限和下限分别作为最高价和最低价进行价格分计算。）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760" w:type="dxa"/>
            <w:vMerge w:val="continue"/>
            <w:vAlign w:val="center"/>
          </w:tcPr>
          <w:p>
            <w:pPr>
              <w:snapToGrid w:val="0"/>
              <w:jc w:val="center"/>
              <w:rPr>
                <w:rFonts w:ascii="宋体" w:hAnsi="宋体" w:cs="宋体"/>
                <w:color w:val="auto"/>
                <w:kern w:val="0"/>
                <w:szCs w:val="21"/>
                <w:highlight w:val="none"/>
              </w:rPr>
            </w:pPr>
          </w:p>
        </w:tc>
        <w:tc>
          <w:tcPr>
            <w:tcW w:w="1022" w:type="dxa"/>
            <w:vMerge w:val="continue"/>
          </w:tcPr>
          <w:p>
            <w:pPr>
              <w:snapToGrid w:val="0"/>
              <w:jc w:val="center"/>
              <w:rPr>
                <w:rFonts w:ascii="宋体" w:hAnsi="宋体" w:cs="宋体"/>
                <w:color w:val="auto"/>
                <w:kern w:val="0"/>
                <w:szCs w:val="21"/>
                <w:highlight w:val="none"/>
              </w:rPr>
            </w:pPr>
          </w:p>
        </w:tc>
        <w:tc>
          <w:tcPr>
            <w:tcW w:w="1120" w:type="dxa"/>
            <w:gridSpan w:val="2"/>
            <w:vAlign w:val="center"/>
          </w:tcPr>
          <w:p>
            <w:pPr>
              <w:snapToGrid w:val="0"/>
              <w:jc w:val="left"/>
              <w:rPr>
                <w:rFonts w:ascii="宋体" w:hAnsi="宋体" w:cs="宋体"/>
                <w:color w:val="auto"/>
                <w:kern w:val="0"/>
                <w:szCs w:val="21"/>
                <w:highlight w:val="none"/>
              </w:rPr>
            </w:pPr>
            <w:r>
              <w:rPr>
                <w:rFonts w:hint="eastAsia"/>
                <w:color w:val="auto"/>
                <w:szCs w:val="21"/>
                <w:highlight w:val="none"/>
              </w:rPr>
              <w:t>扣分项：《中国电信供应商不良行为管理规则》及处理结果应用</w:t>
            </w:r>
          </w:p>
        </w:tc>
        <w:tc>
          <w:tcPr>
            <w:tcW w:w="7167" w:type="dxa"/>
            <w:gridSpan w:val="4"/>
            <w:vAlign w:val="center"/>
          </w:tcPr>
          <w:p>
            <w:pPr>
              <w:snapToGrid w:val="0"/>
              <w:ind w:firstLine="420" w:firstLineChars="200"/>
              <w:rPr>
                <w:color w:val="auto"/>
                <w:szCs w:val="21"/>
                <w:highlight w:val="none"/>
              </w:rPr>
            </w:pPr>
            <w:r>
              <w:rPr>
                <w:rFonts w:hint="eastAsia"/>
                <w:color w:val="auto"/>
                <w:szCs w:val="21"/>
                <w:highlight w:val="none"/>
              </w:rPr>
              <w:t>按照《中国电信供应商不良行为管理规则》及处理结果，应对参选人的本次参选执行限制采购处理措施的,评选委员会应按照规则及处理结果扣减相应分值；参选人存在多例相关处理结果的，累计扣减对应分值。</w:t>
            </w:r>
          </w:p>
          <w:p>
            <w:pPr>
              <w:snapToGrid w:val="0"/>
              <w:ind w:firstLine="420" w:firstLineChars="200"/>
              <w:rPr>
                <w:color w:val="auto"/>
                <w:szCs w:val="21"/>
                <w:highlight w:val="none"/>
              </w:rPr>
            </w:pPr>
            <w:r>
              <w:rPr>
                <w:rFonts w:hint="eastAsia"/>
                <w:color w:val="auto"/>
                <w:szCs w:val="21"/>
                <w:highlight w:val="none"/>
              </w:rPr>
              <w:t>同一分包（标包）或未划分分包（标包）的同一比选项目涉及多个产品评估品类的，参选人及其任一产品品类涉及相关限制采购处理结果的，该分包（标包）或比选项目均应适用相关的限制采购处理措施。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1" w:hRule="atLeast"/>
          <w:jc w:val="center"/>
        </w:trPr>
        <w:tc>
          <w:tcPr>
            <w:tcW w:w="760" w:type="dxa"/>
            <w:vAlign w:val="center"/>
          </w:tcPr>
          <w:p>
            <w:pPr>
              <w:snapToGrid w:val="0"/>
              <w:jc w:val="center"/>
              <w:rPr>
                <w:rFonts w:ascii="宋体" w:hAnsi="宋体" w:cs="宋体"/>
                <w:color w:val="auto"/>
                <w:kern w:val="0"/>
                <w:szCs w:val="21"/>
                <w:highlight w:val="none"/>
              </w:rPr>
            </w:pPr>
            <w:r>
              <w:rPr>
                <w:rFonts w:ascii="宋体" w:hAnsi="宋体" w:cs="宋体"/>
                <w:color w:val="auto"/>
                <w:kern w:val="0"/>
                <w:szCs w:val="21"/>
                <w:highlight w:val="none"/>
              </w:rPr>
              <w:t>3.2</w:t>
            </w:r>
            <w:r>
              <w:rPr>
                <w:rFonts w:hint="eastAsia" w:ascii="宋体" w:hAnsi="宋体" w:cs="宋体"/>
                <w:color w:val="auto"/>
                <w:kern w:val="0"/>
                <w:szCs w:val="21"/>
                <w:highlight w:val="none"/>
              </w:rPr>
              <w:t>.</w:t>
            </w:r>
            <w:r>
              <w:rPr>
                <w:rFonts w:ascii="宋体" w:hAnsi="宋体" w:cs="宋体"/>
                <w:color w:val="auto"/>
                <w:kern w:val="0"/>
                <w:szCs w:val="21"/>
                <w:highlight w:val="none"/>
              </w:rPr>
              <w:t>2</w:t>
            </w:r>
          </w:p>
        </w:tc>
        <w:tc>
          <w:tcPr>
            <w:tcW w:w="1022" w:type="dxa"/>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评分计算原则</w:t>
            </w:r>
          </w:p>
        </w:tc>
        <w:tc>
          <w:tcPr>
            <w:tcW w:w="8287" w:type="dxa"/>
            <w:gridSpan w:val="6"/>
            <w:vAlign w:val="center"/>
          </w:tcPr>
          <w:p>
            <w:pPr>
              <w:snapToGrid w:val="0"/>
              <w:jc w:val="left"/>
              <w:rPr>
                <w:rFonts w:ascii="宋体" w:hAnsi="宋体" w:cs="宋体"/>
                <w:color w:val="auto"/>
                <w:kern w:val="0"/>
                <w:szCs w:val="21"/>
                <w:highlight w:val="none"/>
              </w:rPr>
            </w:pPr>
            <w:r>
              <w:rPr>
                <w:rFonts w:ascii="宋体" w:hAnsi="宋体" w:cs="宋体"/>
                <w:color w:val="auto"/>
                <w:kern w:val="0"/>
                <w:szCs w:val="21"/>
                <w:highlight w:val="none"/>
              </w:rPr>
              <w:t>1、保留小数2位数，小数位后处理原则：2位小数之后的数值四舍五入</w:t>
            </w:r>
          </w:p>
          <w:p>
            <w:pPr>
              <w:snapToGrid w:val="0"/>
              <w:rPr>
                <w:rFonts w:ascii="宋体" w:hAnsi="宋体" w:cs="宋体"/>
                <w:color w:val="auto"/>
                <w:kern w:val="0"/>
                <w:szCs w:val="21"/>
                <w:highlight w:val="none"/>
              </w:rPr>
            </w:pPr>
            <w:r>
              <w:rPr>
                <w:rFonts w:ascii="宋体" w:hAnsi="宋体" w:cs="宋体"/>
                <w:color w:val="auto"/>
                <w:kern w:val="0"/>
                <w:szCs w:val="21"/>
                <w:highlight w:val="none"/>
              </w:rPr>
              <w:t>2、评选委员会人数为5人的，商务技术总分取各项算术平均值合计。</w:t>
            </w:r>
          </w:p>
          <w:p>
            <w:pPr>
              <w:snapToGrid w:val="0"/>
              <w:rPr>
                <w:rFonts w:hint="eastAsia" w:ascii="宋体" w:hAnsi="宋体" w:eastAsia="宋体" w:cs="宋体"/>
                <w:color w:val="auto"/>
                <w:kern w:val="0"/>
                <w:szCs w:val="21"/>
                <w:highlight w:val="none"/>
                <w:lang w:eastAsia="zh-CN"/>
              </w:rPr>
            </w:pPr>
            <w:r>
              <w:rPr>
                <w:rFonts w:hint="eastAsia" w:ascii="宋体" w:hAnsi="宋体" w:cs="宋体"/>
                <w:color w:val="auto"/>
                <w:kern w:val="0"/>
                <w:szCs w:val="21"/>
                <w:highlight w:val="none"/>
              </w:rPr>
              <w:t>3、按照《中国电信供应商不良行为管理规则》及处理结果，应对参选人的本次参选执行限制采购处理措施的,评选委员会应按照该管理规则及处理结果扣减相应分值。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7" w:hRule="atLeast"/>
          <w:jc w:val="center"/>
        </w:trPr>
        <w:tc>
          <w:tcPr>
            <w:tcW w:w="760" w:type="dxa"/>
            <w:vAlign w:val="center"/>
          </w:tcPr>
          <w:p>
            <w:pPr>
              <w:snapToGrid w:val="0"/>
              <w:jc w:val="center"/>
              <w:rPr>
                <w:rFonts w:ascii="宋体" w:hAnsi="宋体" w:cs="宋体"/>
                <w:color w:val="auto"/>
                <w:kern w:val="0"/>
                <w:szCs w:val="21"/>
                <w:highlight w:val="none"/>
              </w:rPr>
            </w:pPr>
            <w:r>
              <w:rPr>
                <w:rFonts w:ascii="宋体" w:hAnsi="宋体" w:cs="宋体"/>
                <w:color w:val="auto"/>
                <w:kern w:val="0"/>
                <w:szCs w:val="21"/>
                <w:highlight w:val="none"/>
              </w:rPr>
              <w:t>3.4</w:t>
            </w:r>
          </w:p>
        </w:tc>
        <w:tc>
          <w:tcPr>
            <w:tcW w:w="1022" w:type="dxa"/>
            <w:vAlign w:val="center"/>
          </w:tcPr>
          <w:p>
            <w:pPr>
              <w:snapToGrid w:val="0"/>
              <w:jc w:val="center"/>
              <w:rPr>
                <w:rFonts w:ascii="宋体" w:hAnsi="宋体" w:cs="宋体"/>
                <w:color w:val="auto"/>
                <w:kern w:val="0"/>
                <w:szCs w:val="21"/>
                <w:highlight w:val="none"/>
              </w:rPr>
            </w:pPr>
            <w:r>
              <w:rPr>
                <w:rFonts w:hint="eastAsia" w:ascii="宋体" w:hAnsi="宋体" w:cs="宋体"/>
                <w:color w:val="auto"/>
                <w:kern w:val="0"/>
                <w:szCs w:val="21"/>
                <w:highlight w:val="none"/>
              </w:rPr>
              <w:t>中选候选人推荐原则</w:t>
            </w:r>
          </w:p>
        </w:tc>
        <w:tc>
          <w:tcPr>
            <w:tcW w:w="8287" w:type="dxa"/>
            <w:gridSpan w:val="6"/>
            <w:vAlign w:val="center"/>
          </w:tcPr>
          <w:p>
            <w:pPr>
              <w:widowControl/>
              <w:jc w:val="left"/>
              <w:rPr>
                <w:rFonts w:ascii="宋体" w:hAnsi="宋体"/>
                <w:color w:val="auto"/>
                <w:szCs w:val="21"/>
                <w:highlight w:val="none"/>
              </w:rPr>
            </w:pPr>
            <w:r>
              <w:rPr>
                <w:rFonts w:hint="eastAsia" w:ascii="宋体" w:hAnsi="宋体"/>
                <w:color w:val="auto"/>
                <w:szCs w:val="21"/>
                <w:highlight w:val="none"/>
              </w:rPr>
              <w:t>（1）中选候选人推荐数量：</w:t>
            </w:r>
            <w:r>
              <w:rPr>
                <w:rFonts w:ascii="宋体" w:hAnsi="宋体"/>
                <w:color w:val="auto"/>
                <w:szCs w:val="21"/>
                <w:highlight w:val="none"/>
              </w:rPr>
              <w:t>1</w:t>
            </w:r>
            <w:r>
              <w:rPr>
                <w:rFonts w:hint="eastAsia" w:ascii="宋体" w:hAnsi="宋体"/>
                <w:color w:val="auto"/>
                <w:szCs w:val="21"/>
                <w:highlight w:val="none"/>
              </w:rPr>
              <w:t>人</w:t>
            </w:r>
            <w:r>
              <w:rPr>
                <w:rFonts w:hint="eastAsia" w:ascii="宋体" w:hAnsi="宋体"/>
                <w:b/>
                <w:bCs/>
                <w:color w:val="auto"/>
                <w:szCs w:val="21"/>
                <w:highlight w:val="none"/>
              </w:rPr>
              <w:t>。</w:t>
            </w:r>
          </w:p>
          <w:p>
            <w:pPr>
              <w:snapToGrid w:val="0"/>
              <w:jc w:val="left"/>
              <w:rPr>
                <w:rFonts w:ascii="宋体" w:hAnsi="宋体" w:cs="宋体"/>
                <w:color w:val="auto"/>
                <w:kern w:val="0"/>
                <w:szCs w:val="21"/>
                <w:highlight w:val="none"/>
              </w:rPr>
            </w:pPr>
            <w:r>
              <w:rPr>
                <w:rFonts w:hint="eastAsia" w:ascii="宋体" w:hAnsi="宋体"/>
                <w:color w:val="auto"/>
                <w:szCs w:val="21"/>
                <w:highlight w:val="none"/>
              </w:rPr>
              <w:t>（2）中选候选人推荐规则：按照本章规定的评分标准进行打分，并按得分由高到低顺序推荐中选候选人。</w:t>
            </w:r>
          </w:p>
          <w:p>
            <w:pPr>
              <w:snapToGrid w:val="0"/>
              <w:jc w:val="left"/>
              <w:rPr>
                <w:rFonts w:ascii="宋体" w:hAnsi="宋体" w:cs="宋体"/>
                <w:color w:val="auto"/>
                <w:kern w:val="0"/>
                <w:szCs w:val="21"/>
                <w:highlight w:val="none"/>
              </w:rPr>
            </w:pPr>
            <w:r>
              <w:rPr>
                <w:rFonts w:hint="eastAsia" w:ascii="宋体" w:hAnsi="宋体" w:cs="宋体"/>
                <w:color w:val="auto"/>
                <w:kern w:val="0"/>
                <w:szCs w:val="21"/>
                <w:highlight w:val="none"/>
              </w:rPr>
              <w:t>（3）综合得分相同的处理原则：综合评分相等时，以参选报价低的优先；参选报价也相等的，由比选人或其授权的评选委员会自行确定（如综合得分且报价相同时，建议评选委员会根据如下原则确定中选候选人：按技术得分由高到低顺序排列决定，若技术得分也相同，按商务得分由高到低顺序排列决定，若技术、商务得分也相同时，由评选委员会投票决定推选中选候选人）</w:t>
            </w:r>
          </w:p>
        </w:tc>
      </w:tr>
    </w:tbl>
    <w:p>
      <w:pPr>
        <w:pStyle w:val="2"/>
        <w:rPr>
          <w:rFonts w:ascii="宋体" w:hAnsi="宋体"/>
          <w:b/>
          <w:color w:val="auto"/>
          <w:szCs w:val="21"/>
          <w:highlight w:val="none"/>
        </w:rPr>
      </w:pPr>
    </w:p>
    <w:p>
      <w:pPr>
        <w:pStyle w:val="35"/>
        <w:tabs>
          <w:tab w:val="left" w:pos="602"/>
        </w:tabs>
        <w:snapToGrid w:val="0"/>
        <w:spacing w:before="120" w:after="120" w:line="440" w:lineRule="exact"/>
        <w:jc w:val="left"/>
        <w:outlineLvl w:val="1"/>
        <w:rPr>
          <w:rFonts w:ascii="宋体" w:hAnsi="宋体"/>
          <w:color w:val="auto"/>
          <w:sz w:val="28"/>
          <w:szCs w:val="28"/>
          <w:highlight w:val="none"/>
        </w:rPr>
      </w:pPr>
      <w:bookmarkStart w:id="537" w:name="_Toc25523"/>
      <w:bookmarkStart w:id="538" w:name="_Toc17203550"/>
      <w:bookmarkStart w:id="539" w:name="_Toc450489345"/>
      <w:bookmarkStart w:id="540" w:name="_Toc17203028"/>
      <w:bookmarkStart w:id="541" w:name="_Toc17202819"/>
      <w:r>
        <w:rPr>
          <w:rFonts w:hint="eastAsia" w:ascii="宋体" w:hAnsi="宋体"/>
          <w:color w:val="auto"/>
          <w:sz w:val="28"/>
          <w:szCs w:val="28"/>
          <w:highlight w:val="none"/>
        </w:rPr>
        <w:t>1.评选方法</w:t>
      </w:r>
      <w:bookmarkEnd w:id="537"/>
      <w:bookmarkEnd w:id="538"/>
      <w:bookmarkEnd w:id="539"/>
      <w:bookmarkEnd w:id="540"/>
      <w:bookmarkEnd w:id="541"/>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本比选项目评选采用综合评估法。评选委员会对满足比选文件实质要求的参选文件，根据本章第</w:t>
      </w:r>
      <w:r>
        <w:rPr>
          <w:rFonts w:hAnsi="宋体"/>
          <w:color w:val="auto"/>
          <w:highlight w:val="none"/>
        </w:rPr>
        <w:t>2.2款规定的评分因素和评分标准进行评分，按照综合评分由高到低的顺序推荐</w:t>
      </w:r>
      <w:r>
        <w:rPr>
          <w:rFonts w:hint="eastAsia" w:hAnsi="宋体"/>
          <w:color w:val="auto"/>
          <w:highlight w:val="none"/>
        </w:rPr>
        <w:t>中选候选人，但参选报价低于其成本的除外。</w:t>
      </w:r>
    </w:p>
    <w:p>
      <w:pPr>
        <w:pStyle w:val="35"/>
        <w:tabs>
          <w:tab w:val="left" w:pos="602"/>
        </w:tabs>
        <w:snapToGrid w:val="0"/>
        <w:spacing w:before="120" w:after="120" w:line="440" w:lineRule="exact"/>
        <w:jc w:val="left"/>
        <w:outlineLvl w:val="1"/>
        <w:rPr>
          <w:rFonts w:ascii="宋体" w:hAnsi="宋体"/>
          <w:color w:val="auto"/>
          <w:sz w:val="28"/>
          <w:szCs w:val="28"/>
          <w:highlight w:val="none"/>
        </w:rPr>
      </w:pPr>
      <w:bookmarkStart w:id="542" w:name="_Toc17203551"/>
      <w:bookmarkStart w:id="543" w:name="_Toc17203029"/>
      <w:bookmarkStart w:id="544" w:name="_Toc8717"/>
      <w:bookmarkStart w:id="545" w:name="_Toc450489346"/>
      <w:bookmarkStart w:id="546" w:name="_Toc17202820"/>
      <w:r>
        <w:rPr>
          <w:rFonts w:hint="eastAsia" w:ascii="宋体" w:hAnsi="宋体"/>
          <w:color w:val="auto"/>
          <w:sz w:val="28"/>
          <w:szCs w:val="28"/>
          <w:highlight w:val="none"/>
        </w:rPr>
        <w:t>2.评审标准</w:t>
      </w:r>
      <w:bookmarkEnd w:id="542"/>
      <w:bookmarkEnd w:id="543"/>
      <w:bookmarkEnd w:id="544"/>
      <w:bookmarkEnd w:id="545"/>
      <w:bookmarkEnd w:id="546"/>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547" w:name="_Toc17202821"/>
      <w:bookmarkStart w:id="548" w:name="_Toc17203030"/>
      <w:bookmarkStart w:id="549" w:name="_Toc450489347"/>
      <w:r>
        <w:rPr>
          <w:rFonts w:hAnsi="宋体"/>
          <w:b/>
          <w:color w:val="auto"/>
          <w:sz w:val="24"/>
          <w:highlight w:val="none"/>
        </w:rPr>
        <w:t>2.1</w:t>
      </w:r>
      <w:r>
        <w:rPr>
          <w:rFonts w:hint="eastAsia" w:hAnsi="宋体"/>
          <w:b/>
          <w:color w:val="auto"/>
          <w:sz w:val="24"/>
          <w:highlight w:val="none"/>
        </w:rPr>
        <w:t>初步评审标准</w:t>
      </w:r>
      <w:bookmarkEnd w:id="547"/>
      <w:bookmarkEnd w:id="548"/>
      <w:bookmarkEnd w:id="549"/>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初步评审标准：见评选办法前附表。</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550" w:name="_Toc17203031"/>
      <w:bookmarkStart w:id="551" w:name="_Toc17202822"/>
      <w:bookmarkStart w:id="552" w:name="_Toc450489348"/>
      <w:r>
        <w:rPr>
          <w:rFonts w:hAnsi="宋体"/>
          <w:b/>
          <w:color w:val="auto"/>
          <w:sz w:val="24"/>
          <w:highlight w:val="none"/>
        </w:rPr>
        <w:t>2.2</w:t>
      </w:r>
      <w:r>
        <w:rPr>
          <w:rFonts w:hint="eastAsia" w:hAnsi="宋体"/>
          <w:b/>
          <w:color w:val="auto"/>
          <w:sz w:val="24"/>
          <w:highlight w:val="none"/>
        </w:rPr>
        <w:t>详细评审标准</w:t>
      </w:r>
      <w:bookmarkEnd w:id="550"/>
      <w:bookmarkEnd w:id="551"/>
      <w:bookmarkEnd w:id="552"/>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详细评审标准：见评选办法前附表。</w:t>
      </w:r>
    </w:p>
    <w:p>
      <w:pPr>
        <w:pStyle w:val="35"/>
        <w:tabs>
          <w:tab w:val="left" w:pos="602"/>
        </w:tabs>
        <w:snapToGrid w:val="0"/>
        <w:spacing w:before="120" w:after="120" w:line="440" w:lineRule="exact"/>
        <w:jc w:val="left"/>
        <w:outlineLvl w:val="1"/>
        <w:rPr>
          <w:rFonts w:ascii="宋体" w:hAnsi="宋体"/>
          <w:color w:val="auto"/>
          <w:sz w:val="28"/>
          <w:szCs w:val="28"/>
          <w:highlight w:val="none"/>
        </w:rPr>
      </w:pPr>
      <w:bookmarkStart w:id="553" w:name="_Toc17203032"/>
      <w:bookmarkStart w:id="554" w:name="_Toc18191"/>
      <w:bookmarkStart w:id="555" w:name="_Toc450489349"/>
      <w:bookmarkStart w:id="556" w:name="_Toc17202823"/>
      <w:bookmarkStart w:id="557" w:name="_Toc17203552"/>
      <w:r>
        <w:rPr>
          <w:rFonts w:hint="eastAsia" w:ascii="宋体" w:hAnsi="宋体"/>
          <w:color w:val="auto"/>
          <w:sz w:val="28"/>
          <w:szCs w:val="28"/>
          <w:highlight w:val="none"/>
        </w:rPr>
        <w:t>3.评选程序</w:t>
      </w:r>
      <w:bookmarkEnd w:id="553"/>
      <w:bookmarkEnd w:id="554"/>
      <w:bookmarkEnd w:id="555"/>
      <w:bookmarkEnd w:id="556"/>
      <w:bookmarkEnd w:id="557"/>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558" w:name="_Toc17202824"/>
      <w:bookmarkStart w:id="559" w:name="_Toc17203033"/>
      <w:bookmarkStart w:id="560" w:name="_Toc450489350"/>
      <w:r>
        <w:rPr>
          <w:rFonts w:hAnsi="宋体"/>
          <w:b/>
          <w:color w:val="auto"/>
          <w:sz w:val="24"/>
          <w:highlight w:val="none"/>
        </w:rPr>
        <w:t>3.1</w:t>
      </w:r>
      <w:r>
        <w:rPr>
          <w:rFonts w:hint="eastAsia" w:hAnsi="宋体"/>
          <w:b/>
          <w:color w:val="auto"/>
          <w:sz w:val="24"/>
          <w:highlight w:val="none"/>
        </w:rPr>
        <w:t>初步评审</w:t>
      </w:r>
      <w:bookmarkEnd w:id="558"/>
      <w:bookmarkEnd w:id="559"/>
      <w:bookmarkEnd w:id="560"/>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3.1.1评选委员会根据本章第2.1款规定的标准对参选文件进行初步评审。有一项不符合评审标准的，评选委员会应当否决其参选。</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3.1.2参选人有以下情形之一的，评选委员会应当否决其参选：</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第二章“参选人须知”第1.8款规定的任何一种情形的；</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不按照评选委员会要求澄清、说明或者补正的；</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参选文件</w:t>
      </w:r>
      <w:r>
        <w:rPr>
          <w:rFonts w:hint="eastAsia" w:cs="宋体" w:asciiTheme="minorEastAsia" w:hAnsiTheme="minorEastAsia" w:eastAsiaTheme="minorEastAsia"/>
          <w:color w:val="auto"/>
          <w:szCs w:val="21"/>
          <w:highlight w:val="none"/>
        </w:rPr>
        <w:t>未按照比选文件要求盖章和签字</w:t>
      </w:r>
      <w:r>
        <w:rPr>
          <w:rFonts w:hint="eastAsia" w:ascii="宋体" w:hAnsi="宋体" w:cs="宋体"/>
          <w:color w:val="auto"/>
          <w:szCs w:val="21"/>
          <w:highlight w:val="none"/>
        </w:rPr>
        <w:t>；</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允许联合体参选的，参选联合体没有递交共同参选协议；</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参选人不符合国家或者比选文件规定的资格条件；</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同一参选人递交两个以上不同的参选文件或者参选报价，但参选文件要求递交备选参选方案的除外；</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参选报价低于成本或者高于比选文件设定的最高参选限价；</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参选文件没有对比选文件的实质性要求和条件做出响应；</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参选人有串通参选、弄虚作假、行贿等违法行为；</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参选人以他人名义参选；</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没有按照比选文件要求提供比选担保或者所提供的参选担保有瑕疵；</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参选文件载明的比选项目完成期限超过比选文件规定的期限；</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明显不符合技术规格、技术标准的要求；</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参选文件载明的货物包装方式、检验标准和方法等不符合比选文件的要求；</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参选文件附有比选人不能接受的条件；</w:t>
      </w:r>
    </w:p>
    <w:p>
      <w:pPr>
        <w:pStyle w:val="45"/>
        <w:numPr>
          <w:ilvl w:val="1"/>
          <w:numId w:val="13"/>
        </w:numPr>
        <w:tabs>
          <w:tab w:val="left" w:pos="993"/>
        </w:tabs>
        <w:adjustRightInd w:val="0"/>
        <w:snapToGrid w:val="0"/>
        <w:spacing w:line="400" w:lineRule="exact"/>
        <w:ind w:left="0" w:firstLine="420" w:firstLineChars="0"/>
        <w:rPr>
          <w:rFonts w:ascii="宋体" w:hAnsi="宋体" w:cs="宋体"/>
          <w:color w:val="auto"/>
          <w:szCs w:val="21"/>
          <w:highlight w:val="none"/>
        </w:rPr>
      </w:pPr>
      <w:r>
        <w:rPr>
          <w:rFonts w:hint="eastAsia" w:ascii="宋体" w:hAnsi="宋体" w:cs="宋体"/>
          <w:color w:val="auto"/>
          <w:szCs w:val="21"/>
          <w:highlight w:val="none"/>
        </w:rPr>
        <w:t>不符合比选文件中规定的其他实质性要求。</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3.1.3评选过程中，评选委员会收到低于成本价参选的书面质疑材料、发现参选人的综合报价明显低于其他参选报价或者设有标底时明显低于标底，认为参选报价可能低于其个别成本的，应当书面要求该参选人做出书面说明并提供相关证明材料。参选人不能合理说明或者不能提供相应证明材料的，由评选委员会认定该参选人以低于成本报价参选，评选委员会应当否决其参选。</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3.1.4参选报价有算术错误的，评选委员会按照以下原则对参选报价进行修正，修正的价格经参选人书面确认后具有约束力。参选人不接受修正价格的，评选委员会应当否决其参选。</w:t>
      </w:r>
    </w:p>
    <w:p>
      <w:pPr>
        <w:adjustRightInd w:val="0"/>
        <w:snapToGrid w:val="0"/>
        <w:spacing w:line="400" w:lineRule="exact"/>
        <w:ind w:firstLine="424" w:firstLineChars="202"/>
        <w:rPr>
          <w:rFonts w:ascii="宋体" w:hAnsi="宋体" w:cs="宋体"/>
          <w:color w:val="auto"/>
          <w:szCs w:val="21"/>
          <w:highlight w:val="none"/>
        </w:rPr>
      </w:pPr>
      <w:r>
        <w:rPr>
          <w:rFonts w:hint="eastAsia" w:ascii="宋体" w:hAnsi="宋体" w:cs="宋体"/>
          <w:color w:val="auto"/>
          <w:szCs w:val="21"/>
          <w:highlight w:val="none"/>
        </w:rPr>
        <w:t>（1）参选文件中的大写金额与小写金额不一致的，以大写金额为准；</w:t>
      </w:r>
    </w:p>
    <w:p>
      <w:pPr>
        <w:adjustRightInd w:val="0"/>
        <w:snapToGrid w:val="0"/>
        <w:spacing w:line="400" w:lineRule="exact"/>
        <w:ind w:firstLine="424" w:firstLineChars="202"/>
        <w:rPr>
          <w:rFonts w:ascii="宋体" w:hAnsi="宋体" w:cs="宋体"/>
          <w:color w:val="auto"/>
          <w:szCs w:val="21"/>
          <w:highlight w:val="none"/>
        </w:rPr>
      </w:pPr>
      <w:r>
        <w:rPr>
          <w:rFonts w:hint="eastAsia" w:ascii="宋体" w:hAnsi="宋体" w:cs="宋体"/>
          <w:color w:val="auto"/>
          <w:szCs w:val="21"/>
          <w:highlight w:val="none"/>
        </w:rPr>
        <w:t>（2）总价金额与根据单价计算出的结果不一致的，以单价金额为准修正总价，但单价金额小数点有明显错误的除外。</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561" w:name="_Toc17203034"/>
      <w:bookmarkStart w:id="562" w:name="_Toc450489351"/>
      <w:bookmarkStart w:id="563" w:name="_Toc17202825"/>
      <w:r>
        <w:rPr>
          <w:rFonts w:hAnsi="宋体"/>
          <w:b/>
          <w:color w:val="auto"/>
          <w:sz w:val="24"/>
          <w:highlight w:val="none"/>
        </w:rPr>
        <w:t>3.2</w:t>
      </w:r>
      <w:r>
        <w:rPr>
          <w:rFonts w:hint="eastAsia" w:hAnsi="宋体"/>
          <w:b/>
          <w:color w:val="auto"/>
          <w:sz w:val="24"/>
          <w:highlight w:val="none"/>
        </w:rPr>
        <w:t>详细评审</w:t>
      </w:r>
      <w:bookmarkEnd w:id="561"/>
      <w:bookmarkEnd w:id="562"/>
      <w:bookmarkEnd w:id="563"/>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3.2.1</w:t>
      </w:r>
      <w:r>
        <w:rPr>
          <w:rFonts w:hint="eastAsia" w:hAnsi="宋体"/>
          <w:color w:val="auto"/>
          <w:highlight w:val="none"/>
        </w:rPr>
        <w:t>评选委员会按照本章第2.2款规定的评审因素和量化标准进行评分，并计算出综合评估得分。</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3.2.2评分分值计算原则上保留小数点后两位，小数点后第三位“四舍五入”。另有规定的，见评选办法前附表。</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564" w:name="_Toc17202826"/>
      <w:bookmarkStart w:id="565" w:name="_Toc17203035"/>
      <w:bookmarkStart w:id="566" w:name="_Toc450489352"/>
      <w:bookmarkStart w:id="567" w:name="_Toc447265561"/>
      <w:bookmarkStart w:id="568" w:name="_Toc447265275"/>
      <w:r>
        <w:rPr>
          <w:rFonts w:hAnsi="宋体"/>
          <w:b/>
          <w:color w:val="auto"/>
          <w:sz w:val="24"/>
          <w:highlight w:val="none"/>
        </w:rPr>
        <w:t>3.3</w:t>
      </w:r>
      <w:r>
        <w:rPr>
          <w:rFonts w:hint="eastAsia" w:hAnsi="宋体"/>
          <w:b/>
          <w:color w:val="auto"/>
          <w:sz w:val="24"/>
          <w:highlight w:val="none"/>
        </w:rPr>
        <w:t>参选文件的澄清</w:t>
      </w:r>
      <w:bookmarkEnd w:id="564"/>
      <w:bookmarkEnd w:id="565"/>
      <w:bookmarkEnd w:id="566"/>
      <w:bookmarkEnd w:id="567"/>
      <w:bookmarkEnd w:id="568"/>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3.3.1在评选过程中，评选委员会应当以书面形式要求参选人对所递交的参选文件中不明确的内容进行书面澄清、说明或者对参选文件中的细微偏差进行补正。评选委员会不接受参选人主动提出的澄清、说明或者补正。</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3.3.2细微偏差是指参选文件在实质上响应比选文件要求，但个别地方存在漏项或者提供了不完整的技术信息和数据等情况，并且补正这些遗漏或者不完整不会对其他参选人造成不公平的结果。细微偏差不影响参选文件的有效性。</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3.3.3澄清、说明和补正不得改变参选文件的实质性内容（算术性错误修正的除外）。参选人的书面澄清、说明和补正属于参选文件的组成部分。</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3.3.4评选委员会对参选人递交的澄清、说明或者补正有疑问的，可以要求参选人进一步澄清、说明或者补正，直至满足评选委员会的要求。</w:t>
      </w:r>
    </w:p>
    <w:p>
      <w:pPr>
        <w:pStyle w:val="21"/>
        <w:tabs>
          <w:tab w:val="left" w:pos="0"/>
        </w:tabs>
        <w:snapToGrid w:val="0"/>
        <w:spacing w:line="400" w:lineRule="exact"/>
        <w:ind w:firstLine="424" w:firstLineChars="202"/>
        <w:rPr>
          <w:rFonts w:hAnsi="宋体"/>
          <w:color w:val="auto"/>
          <w:highlight w:val="none"/>
        </w:rPr>
      </w:pPr>
      <w:r>
        <w:rPr>
          <w:rFonts w:hAnsi="宋体"/>
          <w:color w:val="auto"/>
          <w:highlight w:val="none"/>
        </w:rPr>
        <w:t>3.3.5</w:t>
      </w:r>
      <w:r>
        <w:rPr>
          <w:rFonts w:hint="eastAsia" w:hAnsi="宋体"/>
          <w:color w:val="auto"/>
          <w:highlight w:val="none"/>
        </w:rPr>
        <w:t>评选委员会必要时可以要求参选人递交有关证明和证件的原件，以便核验。</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569" w:name="_Toc17202827"/>
      <w:bookmarkStart w:id="570" w:name="_Toc450489353"/>
      <w:bookmarkStart w:id="571" w:name="_Toc17203036"/>
      <w:r>
        <w:rPr>
          <w:rFonts w:hAnsi="宋体"/>
          <w:b/>
          <w:color w:val="auto"/>
          <w:sz w:val="24"/>
          <w:highlight w:val="none"/>
        </w:rPr>
        <w:t>3.4</w:t>
      </w:r>
      <w:r>
        <w:rPr>
          <w:rFonts w:hint="eastAsia" w:hAnsi="宋体"/>
          <w:b/>
          <w:color w:val="auto"/>
          <w:sz w:val="24"/>
          <w:highlight w:val="none"/>
        </w:rPr>
        <w:t>中选候选人推荐原则</w:t>
      </w:r>
      <w:bookmarkEnd w:id="569"/>
      <w:bookmarkEnd w:id="570"/>
      <w:bookmarkEnd w:id="571"/>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3.4.1评选委员会按照综合评分由高到低的顺序推荐中选候选人。综合评分相同的，处理原则见评选办法前附表。</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3.4.2中选候选人推荐原则见评选办法前附表。</w:t>
      </w:r>
    </w:p>
    <w:p>
      <w:pPr>
        <w:pStyle w:val="21"/>
        <w:tabs>
          <w:tab w:val="left" w:pos="0"/>
        </w:tabs>
        <w:snapToGrid w:val="0"/>
        <w:spacing w:before="156" w:beforeLines="50" w:after="156" w:afterLines="50" w:line="400" w:lineRule="exact"/>
        <w:jc w:val="left"/>
        <w:outlineLvl w:val="2"/>
        <w:rPr>
          <w:rFonts w:hAnsi="宋体"/>
          <w:color w:val="auto"/>
          <w:sz w:val="24"/>
          <w:highlight w:val="none"/>
        </w:rPr>
      </w:pPr>
      <w:bookmarkStart w:id="572" w:name="_Toc17202828"/>
      <w:bookmarkStart w:id="573" w:name="_Toc17203037"/>
      <w:bookmarkStart w:id="574" w:name="_Toc450489354"/>
      <w:r>
        <w:rPr>
          <w:rFonts w:hAnsi="宋体"/>
          <w:b/>
          <w:color w:val="auto"/>
          <w:sz w:val="24"/>
          <w:highlight w:val="none"/>
        </w:rPr>
        <w:t>3.5</w:t>
      </w:r>
      <w:r>
        <w:rPr>
          <w:rFonts w:hint="eastAsia" w:hAnsi="宋体"/>
          <w:b/>
          <w:color w:val="auto"/>
          <w:sz w:val="24"/>
          <w:highlight w:val="none"/>
        </w:rPr>
        <w:t>评选结果</w:t>
      </w:r>
      <w:bookmarkEnd w:id="572"/>
      <w:bookmarkEnd w:id="573"/>
      <w:bookmarkEnd w:id="574"/>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3.5.1评选委员会完成评选后，应当向比选人递交书面评选报告。评选委员会分组评审的，应当形成统一、完整的评选报告。</w:t>
      </w:r>
    </w:p>
    <w:p>
      <w:pPr>
        <w:pStyle w:val="21"/>
        <w:tabs>
          <w:tab w:val="left" w:pos="0"/>
        </w:tabs>
        <w:snapToGrid w:val="0"/>
        <w:spacing w:line="400" w:lineRule="exact"/>
        <w:ind w:firstLine="424" w:firstLineChars="202"/>
        <w:rPr>
          <w:rFonts w:hAnsi="宋体"/>
          <w:color w:val="auto"/>
          <w:highlight w:val="none"/>
        </w:rPr>
      </w:pPr>
      <w:r>
        <w:rPr>
          <w:rFonts w:hint="eastAsia" w:hAnsi="宋体"/>
          <w:color w:val="auto"/>
          <w:highlight w:val="none"/>
        </w:rPr>
        <w:t>3.5.2评选报告应当包括下列内容：</w:t>
      </w:r>
    </w:p>
    <w:p>
      <w:pPr>
        <w:pStyle w:val="45"/>
        <w:numPr>
          <w:ilvl w:val="0"/>
          <w:numId w:val="14"/>
        </w:numPr>
        <w:tabs>
          <w:tab w:val="left" w:pos="993"/>
        </w:tabs>
        <w:adjustRightInd w:val="0"/>
        <w:snapToGrid w:val="0"/>
        <w:spacing w:line="400" w:lineRule="exact"/>
        <w:ind w:left="0" w:firstLine="424" w:firstLineChars="202"/>
        <w:rPr>
          <w:rFonts w:ascii="宋体" w:hAnsi="宋体" w:cs="宋体"/>
          <w:color w:val="auto"/>
          <w:szCs w:val="21"/>
          <w:highlight w:val="none"/>
        </w:rPr>
      </w:pPr>
      <w:r>
        <w:rPr>
          <w:rFonts w:hint="eastAsia" w:ascii="宋体" w:hAnsi="宋体" w:cs="宋体"/>
          <w:color w:val="auto"/>
          <w:szCs w:val="21"/>
          <w:highlight w:val="none"/>
        </w:rPr>
        <w:t>评选概况（包括评选日程、评选方法和标准、评选委员会名单、唱价记录、参选一览表等评选基本情况）；</w:t>
      </w:r>
    </w:p>
    <w:p>
      <w:pPr>
        <w:pStyle w:val="45"/>
        <w:numPr>
          <w:ilvl w:val="0"/>
          <w:numId w:val="14"/>
        </w:numPr>
        <w:tabs>
          <w:tab w:val="left" w:pos="993"/>
        </w:tabs>
        <w:adjustRightInd w:val="0"/>
        <w:snapToGrid w:val="0"/>
        <w:spacing w:line="400" w:lineRule="exact"/>
        <w:ind w:left="0" w:firstLine="424" w:firstLineChars="202"/>
        <w:rPr>
          <w:rFonts w:ascii="宋体" w:hAnsi="宋体" w:cs="宋体"/>
          <w:color w:val="auto"/>
          <w:szCs w:val="21"/>
          <w:highlight w:val="none"/>
        </w:rPr>
      </w:pPr>
      <w:r>
        <w:rPr>
          <w:rFonts w:hint="eastAsia" w:ascii="宋体" w:hAnsi="宋体" w:cs="宋体"/>
          <w:color w:val="auto"/>
          <w:szCs w:val="21"/>
          <w:highlight w:val="none"/>
        </w:rPr>
        <w:t>资格审查结果及技术、服务、商务和价格比较；</w:t>
      </w:r>
    </w:p>
    <w:p>
      <w:pPr>
        <w:pStyle w:val="45"/>
        <w:numPr>
          <w:ilvl w:val="0"/>
          <w:numId w:val="14"/>
        </w:numPr>
        <w:tabs>
          <w:tab w:val="left" w:pos="993"/>
        </w:tabs>
        <w:adjustRightInd w:val="0"/>
        <w:snapToGrid w:val="0"/>
        <w:spacing w:line="400" w:lineRule="exact"/>
        <w:ind w:left="0" w:firstLine="424" w:firstLineChars="202"/>
        <w:rPr>
          <w:rFonts w:ascii="宋体" w:hAnsi="宋体" w:cs="宋体"/>
          <w:color w:val="auto"/>
          <w:szCs w:val="21"/>
          <w:highlight w:val="none"/>
        </w:rPr>
      </w:pPr>
      <w:r>
        <w:rPr>
          <w:rFonts w:hint="eastAsia" w:ascii="宋体" w:hAnsi="宋体" w:cs="宋体"/>
          <w:color w:val="auto"/>
          <w:szCs w:val="21"/>
          <w:highlight w:val="none"/>
        </w:rPr>
        <w:t>评选专家评分原始记录表和否决参选的情况说明；</w:t>
      </w:r>
    </w:p>
    <w:p>
      <w:pPr>
        <w:pStyle w:val="45"/>
        <w:numPr>
          <w:ilvl w:val="0"/>
          <w:numId w:val="14"/>
        </w:numPr>
        <w:tabs>
          <w:tab w:val="left" w:pos="993"/>
        </w:tabs>
        <w:adjustRightInd w:val="0"/>
        <w:snapToGrid w:val="0"/>
        <w:spacing w:line="400" w:lineRule="exact"/>
        <w:ind w:left="0" w:firstLine="424" w:firstLineChars="202"/>
        <w:rPr>
          <w:rFonts w:ascii="宋体" w:hAnsi="宋体" w:cs="宋体"/>
          <w:color w:val="auto"/>
          <w:szCs w:val="21"/>
          <w:highlight w:val="none"/>
        </w:rPr>
      </w:pPr>
      <w:r>
        <w:rPr>
          <w:rFonts w:hint="eastAsia" w:ascii="宋体" w:hAnsi="宋体" w:cs="宋体"/>
          <w:color w:val="auto"/>
          <w:szCs w:val="21"/>
          <w:highlight w:val="none"/>
        </w:rPr>
        <w:t>参选人的排名顺序及推荐的中选候选人；</w:t>
      </w:r>
    </w:p>
    <w:p>
      <w:pPr>
        <w:pStyle w:val="45"/>
        <w:numPr>
          <w:ilvl w:val="0"/>
          <w:numId w:val="14"/>
        </w:numPr>
        <w:tabs>
          <w:tab w:val="left" w:pos="993"/>
        </w:tabs>
        <w:adjustRightInd w:val="0"/>
        <w:snapToGrid w:val="0"/>
        <w:spacing w:line="400" w:lineRule="exact"/>
        <w:ind w:left="0" w:firstLine="424" w:firstLineChars="202"/>
        <w:rPr>
          <w:rFonts w:ascii="宋体" w:hAnsi="宋体" w:cs="宋体"/>
          <w:color w:val="auto"/>
          <w:szCs w:val="21"/>
          <w:highlight w:val="none"/>
        </w:rPr>
      </w:pPr>
      <w:r>
        <w:rPr>
          <w:rFonts w:hint="eastAsia" w:ascii="宋体" w:hAnsi="宋体" w:cs="宋体"/>
          <w:color w:val="auto"/>
          <w:szCs w:val="21"/>
          <w:highlight w:val="none"/>
        </w:rPr>
        <w:t>签订合同前要处理的事宜；</w:t>
      </w:r>
    </w:p>
    <w:p>
      <w:pPr>
        <w:pStyle w:val="45"/>
        <w:numPr>
          <w:ilvl w:val="0"/>
          <w:numId w:val="14"/>
        </w:numPr>
        <w:tabs>
          <w:tab w:val="left" w:pos="993"/>
        </w:tabs>
        <w:adjustRightInd w:val="0"/>
        <w:snapToGrid w:val="0"/>
        <w:spacing w:line="400" w:lineRule="exact"/>
        <w:ind w:left="0" w:firstLine="424" w:firstLineChars="202"/>
        <w:rPr>
          <w:rFonts w:ascii="宋体" w:hAnsi="宋体" w:cs="宋体"/>
          <w:color w:val="auto"/>
          <w:szCs w:val="21"/>
          <w:highlight w:val="none"/>
        </w:rPr>
      </w:pPr>
      <w:r>
        <w:rPr>
          <w:rFonts w:hint="eastAsia" w:ascii="宋体" w:hAnsi="宋体" w:cs="宋体"/>
          <w:color w:val="auto"/>
          <w:szCs w:val="21"/>
          <w:highlight w:val="none"/>
        </w:rPr>
        <w:t>其他重要情况说明（澄清、说明、否决参选的情况、补正事项纪要）；</w:t>
      </w:r>
    </w:p>
    <w:p>
      <w:pPr>
        <w:pStyle w:val="45"/>
        <w:numPr>
          <w:ilvl w:val="0"/>
          <w:numId w:val="14"/>
        </w:numPr>
        <w:tabs>
          <w:tab w:val="left" w:pos="993"/>
        </w:tabs>
        <w:adjustRightInd w:val="0"/>
        <w:snapToGrid w:val="0"/>
        <w:spacing w:line="400" w:lineRule="exact"/>
        <w:ind w:left="0" w:firstLine="424" w:firstLineChars="202"/>
        <w:rPr>
          <w:rFonts w:ascii="宋体" w:hAnsi="宋体" w:cs="宋体"/>
          <w:color w:val="auto"/>
          <w:szCs w:val="21"/>
          <w:highlight w:val="none"/>
        </w:rPr>
      </w:pPr>
      <w:r>
        <w:rPr>
          <w:rFonts w:hint="eastAsia" w:ascii="宋体" w:hAnsi="宋体" w:cs="宋体"/>
          <w:color w:val="auto"/>
          <w:szCs w:val="21"/>
          <w:highlight w:val="none"/>
        </w:rPr>
        <w:t xml:space="preserve">评选委员会成员名单及本人签字、拒绝在评选报告上签字的评选委员会成员名单及其陈述的不同意见和理由。 </w:t>
      </w:r>
    </w:p>
    <w:p>
      <w:pPr>
        <w:pStyle w:val="45"/>
        <w:numPr>
          <w:ilvl w:val="0"/>
          <w:numId w:val="14"/>
        </w:numPr>
        <w:tabs>
          <w:tab w:val="left" w:pos="993"/>
        </w:tabs>
        <w:adjustRightInd w:val="0"/>
        <w:snapToGrid w:val="0"/>
        <w:spacing w:line="400" w:lineRule="exact"/>
        <w:ind w:left="0" w:firstLine="424" w:firstLineChars="202"/>
        <w:rPr>
          <w:rFonts w:ascii="宋体" w:hAnsi="宋体" w:cs="宋体"/>
          <w:color w:val="auto"/>
          <w:szCs w:val="21"/>
          <w:highlight w:val="none"/>
        </w:rPr>
        <w:sectPr>
          <w:pgSz w:w="11906" w:h="16838"/>
          <w:pgMar w:top="1440" w:right="1800" w:bottom="1134" w:left="1800" w:header="851" w:footer="850" w:gutter="0"/>
          <w:cols w:space="425" w:num="1"/>
          <w:docGrid w:type="lines" w:linePitch="312" w:charSpace="0"/>
        </w:sectPr>
      </w:pPr>
    </w:p>
    <w:bookmarkEnd w:id="532"/>
    <w:bookmarkEnd w:id="533"/>
    <w:bookmarkEnd w:id="534"/>
    <w:bookmarkEnd w:id="535"/>
    <w:bookmarkEnd w:id="536"/>
    <w:p>
      <w:pPr>
        <w:pStyle w:val="44"/>
        <w:spacing w:before="240" w:after="120"/>
        <w:rPr>
          <w:rFonts w:ascii="宋体" w:hAnsi="宋体" w:eastAsia="宋体" w:cs="宋体"/>
          <w:b/>
          <w:bCs w:val="0"/>
          <w:color w:val="auto"/>
          <w:kern w:val="0"/>
          <w:sz w:val="28"/>
          <w:szCs w:val="28"/>
          <w:highlight w:val="none"/>
        </w:rPr>
      </w:pPr>
      <w:bookmarkStart w:id="575" w:name="_Toc475472623"/>
      <w:bookmarkStart w:id="576" w:name="_Toc19335"/>
      <w:bookmarkStart w:id="577" w:name="_Toc17202829"/>
      <w:bookmarkStart w:id="578" w:name="_Toc17203553"/>
      <w:bookmarkStart w:id="579" w:name="_Toc17203038"/>
      <w:bookmarkStart w:id="580" w:name="_Toc107822570"/>
      <w:bookmarkStart w:id="581" w:name="_Toc226969353"/>
      <w:bookmarkStart w:id="582" w:name="_Toc227057959"/>
      <w:bookmarkStart w:id="583" w:name="_Toc447265313"/>
      <w:bookmarkStart w:id="584" w:name="_Toc447265599"/>
      <w:r>
        <w:rPr>
          <w:rFonts w:hint="eastAsia" w:ascii="宋体" w:hAnsi="宋体" w:eastAsia="宋体" w:cs="宋体"/>
          <w:b/>
          <w:bCs w:val="0"/>
          <w:color w:val="auto"/>
          <w:kern w:val="0"/>
          <w:sz w:val="28"/>
          <w:szCs w:val="28"/>
          <w:highlight w:val="none"/>
        </w:rPr>
        <w:t>第四章</w:t>
      </w:r>
      <w:r>
        <w:rPr>
          <w:rFonts w:ascii="宋体" w:hAnsi="宋体" w:eastAsia="宋体" w:cs="宋体"/>
          <w:b/>
          <w:bCs w:val="0"/>
          <w:color w:val="auto"/>
          <w:kern w:val="0"/>
          <w:sz w:val="28"/>
          <w:szCs w:val="28"/>
          <w:highlight w:val="none"/>
        </w:rPr>
        <w:t xml:space="preserve"> </w:t>
      </w:r>
      <w:r>
        <w:rPr>
          <w:rFonts w:hint="eastAsia" w:ascii="宋体" w:hAnsi="宋体" w:eastAsia="宋体" w:cs="宋体"/>
          <w:b/>
          <w:bCs w:val="0"/>
          <w:color w:val="auto"/>
          <w:kern w:val="0"/>
          <w:sz w:val="28"/>
          <w:szCs w:val="28"/>
          <w:highlight w:val="none"/>
        </w:rPr>
        <w:t>商务规范书</w:t>
      </w:r>
      <w:bookmarkEnd w:id="575"/>
      <w:bookmarkEnd w:id="576"/>
      <w:bookmarkEnd w:id="577"/>
      <w:bookmarkEnd w:id="578"/>
      <w:bookmarkEnd w:id="579"/>
    </w:p>
    <w:p>
      <w:pPr>
        <w:spacing w:line="400" w:lineRule="exact"/>
        <w:ind w:firstLine="562" w:firstLineChars="200"/>
        <w:rPr>
          <w:rFonts w:ascii="宋体" w:hAnsi="宋体"/>
          <w:color w:val="auto"/>
          <w:szCs w:val="21"/>
          <w:highlight w:val="none"/>
        </w:rPr>
      </w:pPr>
      <w:r>
        <w:rPr>
          <w:rFonts w:hint="eastAsia" w:ascii="宋体" w:hAnsi="宋体" w:cs="宋体"/>
          <w:b/>
          <w:color w:val="auto"/>
          <w:kern w:val="0"/>
          <w:sz w:val="28"/>
          <w:szCs w:val="28"/>
          <w:highlight w:val="none"/>
        </w:rPr>
        <w:t xml:space="preserve"> </w:t>
      </w:r>
      <w:bookmarkEnd w:id="580"/>
      <w:bookmarkEnd w:id="581"/>
      <w:bookmarkEnd w:id="582"/>
      <w:bookmarkEnd w:id="583"/>
      <w:bookmarkEnd w:id="584"/>
      <w:bookmarkStart w:id="585" w:name="_Toc475472662"/>
      <w:bookmarkStart w:id="586" w:name="_Toc447265316"/>
      <w:bookmarkStart w:id="587" w:name="_Toc475472669"/>
      <w:bookmarkStart w:id="588" w:name="_Toc447265602"/>
      <w:r>
        <w:rPr>
          <w:rFonts w:ascii="宋体" w:hAnsi="宋体"/>
          <w:color w:val="auto"/>
          <w:szCs w:val="21"/>
          <w:highlight w:val="none"/>
        </w:rPr>
        <w:t>本表关于要采购的</w:t>
      </w:r>
      <w:r>
        <w:rPr>
          <w:rFonts w:hint="eastAsia" w:ascii="宋体" w:hAnsi="宋体"/>
          <w:color w:val="auto"/>
          <w:szCs w:val="21"/>
          <w:highlight w:val="none"/>
        </w:rPr>
        <w:t>服务</w:t>
      </w:r>
      <w:r>
        <w:rPr>
          <w:rFonts w:ascii="宋体" w:hAnsi="宋体"/>
          <w:color w:val="auto"/>
          <w:szCs w:val="21"/>
          <w:highlight w:val="none"/>
        </w:rPr>
        <w:t>的具体资料是对</w:t>
      </w:r>
      <w:r>
        <w:rPr>
          <w:rFonts w:hint="eastAsia" w:ascii="宋体" w:hAnsi="宋体"/>
          <w:color w:val="auto"/>
          <w:szCs w:val="21"/>
          <w:highlight w:val="none"/>
        </w:rPr>
        <w:t>合同条款</w:t>
      </w:r>
      <w:r>
        <w:rPr>
          <w:rFonts w:ascii="宋体" w:hAnsi="宋体"/>
          <w:color w:val="auto"/>
          <w:szCs w:val="21"/>
          <w:highlight w:val="none"/>
        </w:rPr>
        <w:t>的具体补充和修改，如有矛盾，应以本前附表为准。</w:t>
      </w:r>
    </w:p>
    <w:tbl>
      <w:tblPr>
        <w:tblStyle w:val="37"/>
        <w:tblpPr w:leftFromText="180" w:rightFromText="180" w:vertAnchor="text" w:horzAnchor="margin" w:tblpY="901"/>
        <w:tblW w:w="890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7"/>
        <w:gridCol w:w="1837"/>
        <w:gridCol w:w="62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7" w:type="dxa"/>
            <w:vAlign w:val="center"/>
          </w:tcPr>
          <w:p>
            <w:pPr>
              <w:autoSpaceDE w:val="0"/>
              <w:autoSpaceDN w:val="0"/>
              <w:jc w:val="center"/>
              <w:rPr>
                <w:rFonts w:ascii="宋体" w:hAnsi="宋体"/>
                <w:b/>
                <w:color w:val="auto"/>
                <w:szCs w:val="21"/>
                <w:highlight w:val="none"/>
              </w:rPr>
            </w:pPr>
            <w:r>
              <w:rPr>
                <w:rFonts w:hint="eastAsia" w:ascii="宋体" w:hAnsi="宋体"/>
                <w:b/>
                <w:color w:val="auto"/>
                <w:szCs w:val="21"/>
                <w:highlight w:val="none"/>
              </w:rPr>
              <w:t>序号</w:t>
            </w:r>
          </w:p>
        </w:tc>
        <w:tc>
          <w:tcPr>
            <w:tcW w:w="1837" w:type="dxa"/>
            <w:vAlign w:val="center"/>
          </w:tcPr>
          <w:p>
            <w:pPr>
              <w:autoSpaceDE w:val="0"/>
              <w:autoSpaceDN w:val="0"/>
              <w:jc w:val="center"/>
              <w:rPr>
                <w:rFonts w:ascii="宋体" w:hAnsi="宋体"/>
                <w:b/>
                <w:color w:val="auto"/>
                <w:szCs w:val="21"/>
                <w:highlight w:val="none"/>
              </w:rPr>
            </w:pPr>
            <w:r>
              <w:rPr>
                <w:rFonts w:hint="eastAsia" w:ascii="宋体" w:hAnsi="宋体"/>
                <w:b/>
                <w:color w:val="auto"/>
                <w:szCs w:val="21"/>
                <w:highlight w:val="none"/>
              </w:rPr>
              <w:t>条款名称</w:t>
            </w:r>
          </w:p>
        </w:tc>
        <w:tc>
          <w:tcPr>
            <w:tcW w:w="6299" w:type="dxa"/>
            <w:vAlign w:val="center"/>
          </w:tcPr>
          <w:p>
            <w:pPr>
              <w:autoSpaceDE w:val="0"/>
              <w:autoSpaceDN w:val="0"/>
              <w:jc w:val="center"/>
              <w:rPr>
                <w:rFonts w:ascii="宋体" w:hAnsi="宋体"/>
                <w:b/>
                <w:color w:val="auto"/>
                <w:szCs w:val="21"/>
                <w:highlight w:val="none"/>
              </w:rPr>
            </w:pPr>
            <w:r>
              <w:rPr>
                <w:rFonts w:hint="eastAsia" w:ascii="宋体" w:hAnsi="宋体"/>
                <w:b/>
                <w:color w:val="auto"/>
                <w:szCs w:val="21"/>
                <w:highlight w:val="none"/>
              </w:rPr>
              <w:t>编列内容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7" w:type="dxa"/>
            <w:vAlign w:val="center"/>
          </w:tcPr>
          <w:p>
            <w:pPr>
              <w:autoSpaceDE w:val="0"/>
              <w:autoSpaceDN w:val="0"/>
              <w:jc w:val="center"/>
              <w:rPr>
                <w:rFonts w:ascii="宋体" w:hAnsi="宋体"/>
                <w:color w:val="auto"/>
                <w:szCs w:val="21"/>
                <w:highlight w:val="none"/>
              </w:rPr>
            </w:pPr>
            <w:r>
              <w:rPr>
                <w:rFonts w:hint="eastAsia" w:hAnsi="宋体"/>
                <w:color w:val="auto"/>
                <w:szCs w:val="21"/>
                <w:highlight w:val="none"/>
              </w:rPr>
              <w:t>1</w:t>
            </w:r>
          </w:p>
        </w:tc>
        <w:tc>
          <w:tcPr>
            <w:tcW w:w="1837" w:type="dxa"/>
            <w:vAlign w:val="center"/>
          </w:tcPr>
          <w:p>
            <w:pPr>
              <w:autoSpaceDE w:val="0"/>
              <w:autoSpaceDN w:val="0"/>
              <w:rPr>
                <w:rFonts w:ascii="宋体" w:hAnsi="宋体"/>
                <w:color w:val="auto"/>
                <w:szCs w:val="21"/>
                <w:highlight w:val="none"/>
              </w:rPr>
            </w:pPr>
            <w:r>
              <w:rPr>
                <w:rFonts w:hint="eastAsia" w:hAnsi="宋体"/>
                <w:color w:val="auto"/>
                <w:szCs w:val="21"/>
                <w:highlight w:val="none"/>
              </w:rPr>
              <w:t>甲</w:t>
            </w:r>
            <w:r>
              <w:rPr>
                <w:rFonts w:hAnsi="宋体"/>
                <w:color w:val="auto"/>
                <w:szCs w:val="21"/>
                <w:highlight w:val="none"/>
              </w:rPr>
              <w:t>方</w:t>
            </w:r>
          </w:p>
        </w:tc>
        <w:tc>
          <w:tcPr>
            <w:tcW w:w="6299" w:type="dxa"/>
            <w:vAlign w:val="center"/>
          </w:tcPr>
          <w:p>
            <w:pPr>
              <w:autoSpaceDE w:val="0"/>
              <w:autoSpaceDN w:val="0"/>
              <w:rPr>
                <w:rFonts w:ascii="宋体" w:hAnsi="宋体"/>
                <w:color w:val="auto"/>
                <w:szCs w:val="21"/>
                <w:highlight w:val="none"/>
              </w:rPr>
            </w:pPr>
            <w:r>
              <w:rPr>
                <w:rFonts w:hint="eastAsia" w:ascii="宋体" w:hAnsi="宋体"/>
                <w:color w:val="auto"/>
                <w:szCs w:val="21"/>
                <w:highlight w:val="none"/>
              </w:rPr>
              <w:t>中国电信股份有限公司湛江分公司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7" w:type="dxa"/>
            <w:vAlign w:val="center"/>
          </w:tcPr>
          <w:p>
            <w:pPr>
              <w:autoSpaceDE w:val="0"/>
              <w:autoSpaceDN w:val="0"/>
              <w:jc w:val="center"/>
              <w:rPr>
                <w:rFonts w:ascii="宋体" w:hAnsi="宋体"/>
                <w:color w:val="auto"/>
                <w:szCs w:val="21"/>
                <w:highlight w:val="none"/>
              </w:rPr>
            </w:pPr>
            <w:r>
              <w:rPr>
                <w:rFonts w:hint="eastAsia" w:hAnsi="宋体"/>
                <w:color w:val="auto"/>
                <w:szCs w:val="21"/>
                <w:highlight w:val="none"/>
              </w:rPr>
              <w:t>2</w:t>
            </w:r>
          </w:p>
        </w:tc>
        <w:tc>
          <w:tcPr>
            <w:tcW w:w="1837" w:type="dxa"/>
            <w:vAlign w:val="center"/>
          </w:tcPr>
          <w:p>
            <w:pPr>
              <w:autoSpaceDE w:val="0"/>
              <w:autoSpaceDN w:val="0"/>
              <w:rPr>
                <w:rFonts w:ascii="宋体" w:hAnsi="宋体"/>
                <w:color w:val="auto"/>
                <w:szCs w:val="21"/>
                <w:highlight w:val="none"/>
              </w:rPr>
            </w:pPr>
            <w:r>
              <w:rPr>
                <w:rFonts w:hint="eastAsia" w:hAnsi="宋体"/>
                <w:color w:val="auto"/>
                <w:szCs w:val="21"/>
                <w:highlight w:val="none"/>
              </w:rPr>
              <w:t>乙</w:t>
            </w:r>
            <w:r>
              <w:rPr>
                <w:rFonts w:hAnsi="宋体"/>
                <w:color w:val="auto"/>
                <w:szCs w:val="21"/>
                <w:highlight w:val="none"/>
              </w:rPr>
              <w:t>方</w:t>
            </w:r>
          </w:p>
        </w:tc>
        <w:tc>
          <w:tcPr>
            <w:tcW w:w="6299" w:type="dxa"/>
            <w:vAlign w:val="center"/>
          </w:tcPr>
          <w:p>
            <w:pPr>
              <w:autoSpaceDE w:val="0"/>
              <w:autoSpaceDN w:val="0"/>
              <w:rPr>
                <w:rFonts w:ascii="宋体" w:hAnsi="宋体"/>
                <w:color w:val="auto"/>
                <w:szCs w:val="21"/>
                <w:highlight w:val="none"/>
              </w:rPr>
            </w:pPr>
            <w:r>
              <w:rPr>
                <w:rFonts w:hint="eastAsia"/>
                <w:color w:val="auto"/>
                <w:szCs w:val="21"/>
                <w:highlight w:val="none"/>
              </w:rPr>
              <w:t>中选人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7" w:type="dxa"/>
            <w:vAlign w:val="center"/>
          </w:tcPr>
          <w:p>
            <w:pPr>
              <w:autoSpaceDE w:val="0"/>
              <w:autoSpaceDN w:val="0"/>
              <w:jc w:val="center"/>
              <w:rPr>
                <w:rFonts w:ascii="宋体" w:hAnsi="宋体"/>
                <w:color w:val="auto"/>
                <w:szCs w:val="21"/>
                <w:highlight w:val="none"/>
              </w:rPr>
            </w:pPr>
            <w:r>
              <w:rPr>
                <w:rFonts w:hint="eastAsia"/>
                <w:color w:val="auto"/>
                <w:szCs w:val="21"/>
                <w:highlight w:val="none"/>
              </w:rPr>
              <w:t>3</w:t>
            </w:r>
          </w:p>
        </w:tc>
        <w:tc>
          <w:tcPr>
            <w:tcW w:w="1837" w:type="dxa"/>
            <w:vAlign w:val="center"/>
          </w:tcPr>
          <w:p>
            <w:pPr>
              <w:rPr>
                <w:rFonts w:ascii="宋体" w:hAnsi="宋体"/>
                <w:color w:val="auto"/>
                <w:szCs w:val="21"/>
                <w:highlight w:val="none"/>
              </w:rPr>
            </w:pPr>
            <w:r>
              <w:rPr>
                <w:rFonts w:hint="eastAsia"/>
                <w:b/>
                <w:color w:val="auto"/>
                <w:szCs w:val="21"/>
                <w:highlight w:val="none"/>
              </w:rPr>
              <w:t>※</w:t>
            </w:r>
            <w:r>
              <w:rPr>
                <w:rFonts w:hint="eastAsia" w:hAnsi="宋体"/>
                <w:b/>
                <w:color w:val="auto"/>
                <w:szCs w:val="21"/>
                <w:highlight w:val="none"/>
              </w:rPr>
              <w:t>服务时间</w:t>
            </w:r>
          </w:p>
        </w:tc>
        <w:tc>
          <w:tcPr>
            <w:tcW w:w="6299" w:type="dxa"/>
            <w:vAlign w:val="center"/>
          </w:tcPr>
          <w:p>
            <w:pPr>
              <w:rPr>
                <w:rFonts w:hint="eastAsia" w:ascii="宋体" w:hAnsi="宋体" w:eastAsia="宋体"/>
                <w:b/>
                <w:bCs/>
                <w:color w:val="auto"/>
                <w:szCs w:val="21"/>
                <w:highlight w:val="none"/>
                <w:lang w:eastAsia="zh-CN"/>
              </w:rPr>
            </w:pPr>
            <w:r>
              <w:rPr>
                <w:rFonts w:hint="eastAsia" w:ascii="宋体" w:hAnsi="宋体"/>
                <w:b/>
                <w:bCs/>
                <w:color w:val="auto"/>
                <w:szCs w:val="21"/>
                <w:highlight w:val="none"/>
                <w:lang w:eastAsia="zh-CN"/>
              </w:rPr>
              <w:t>自合同签订之日起15天内完成相关方案的编制工作和人员培训工作，1个月内完成项目交付。按照国家、广东省以及湛江市普查工作最新进展安排和要求如期完成普查各个环节工作。供应商确保湛江分公司客户遂溪县应急管理局普查工作全面结束且验收合格后，方可结束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9" w:hRule="atLeast"/>
        </w:trPr>
        <w:tc>
          <w:tcPr>
            <w:tcW w:w="767" w:type="dxa"/>
            <w:vAlign w:val="center"/>
          </w:tcPr>
          <w:p>
            <w:pPr>
              <w:autoSpaceDE w:val="0"/>
              <w:autoSpaceDN w:val="0"/>
              <w:jc w:val="center"/>
              <w:rPr>
                <w:rFonts w:hint="eastAsia" w:eastAsia="宋体"/>
                <w:color w:val="auto"/>
                <w:szCs w:val="21"/>
                <w:highlight w:val="none"/>
                <w:lang w:val="en-US" w:eastAsia="zh-CN"/>
              </w:rPr>
            </w:pPr>
            <w:r>
              <w:rPr>
                <w:rFonts w:hint="eastAsia"/>
                <w:color w:val="auto"/>
                <w:szCs w:val="21"/>
                <w:highlight w:val="none"/>
                <w:lang w:val="en-US" w:eastAsia="zh-CN"/>
              </w:rPr>
              <w:t>4</w:t>
            </w:r>
          </w:p>
        </w:tc>
        <w:tc>
          <w:tcPr>
            <w:tcW w:w="1837" w:type="dxa"/>
            <w:vAlign w:val="center"/>
          </w:tcPr>
          <w:p>
            <w:pPr>
              <w:rPr>
                <w:rFonts w:hint="default" w:hAnsi="宋体" w:eastAsia="宋体"/>
                <w:color w:val="auto"/>
                <w:szCs w:val="21"/>
                <w:highlight w:val="none"/>
                <w:lang w:val="en-US" w:eastAsia="zh-CN"/>
              </w:rPr>
            </w:pPr>
            <w:r>
              <w:rPr>
                <w:rFonts w:hint="eastAsia" w:hAnsi="宋体"/>
                <w:color w:val="auto"/>
                <w:szCs w:val="21"/>
                <w:highlight w:val="none"/>
                <w:lang w:val="en-US" w:eastAsia="zh-CN"/>
              </w:rPr>
              <w:t>验收要求</w:t>
            </w:r>
          </w:p>
        </w:tc>
        <w:tc>
          <w:tcPr>
            <w:tcW w:w="6299" w:type="dxa"/>
            <w:vAlign w:val="center"/>
          </w:tcPr>
          <w:p>
            <w:pPr>
              <w:autoSpaceDE w:val="0"/>
              <w:autoSpaceDN w:val="0"/>
              <w:rPr>
                <w:rFonts w:hint="default" w:eastAsia="宋体"/>
                <w:szCs w:val="21"/>
                <w:highlight w:val="none"/>
                <w:lang w:val="en-US" w:eastAsia="zh-CN"/>
              </w:rPr>
            </w:pPr>
            <w:r>
              <w:rPr>
                <w:rFonts w:hint="eastAsia" w:ascii="宋体" w:hAnsi="宋体"/>
                <w:szCs w:val="21"/>
                <w:highlight w:val="none"/>
                <w:lang w:val="en-US" w:eastAsia="zh-CN"/>
              </w:rPr>
              <w:t>1期： 验收由采购人和中选人双方共同参与完成，按国家有关规定、规范进行。 1）由采购人和中选人双方按照合同要求，一同对服务内容验收，并在“验收书”上签字确认。 2）验收通过后7个工作日内，采购人出具验收报告给中选人。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7" w:type="dxa"/>
            <w:vAlign w:val="center"/>
          </w:tcPr>
          <w:p>
            <w:pPr>
              <w:autoSpaceDE w:val="0"/>
              <w:autoSpaceDN w:val="0"/>
              <w:jc w:val="center"/>
              <w:rPr>
                <w:color w:val="auto"/>
                <w:szCs w:val="21"/>
                <w:highlight w:val="none"/>
              </w:rPr>
            </w:pPr>
            <w:r>
              <w:rPr>
                <w:color w:val="auto"/>
                <w:szCs w:val="21"/>
                <w:highlight w:val="none"/>
              </w:rPr>
              <w:t>4</w:t>
            </w:r>
          </w:p>
        </w:tc>
        <w:tc>
          <w:tcPr>
            <w:tcW w:w="1837" w:type="dxa"/>
            <w:vAlign w:val="center"/>
          </w:tcPr>
          <w:p>
            <w:pPr>
              <w:rPr>
                <w:b/>
                <w:color w:val="auto"/>
                <w:szCs w:val="21"/>
                <w:highlight w:val="none"/>
              </w:rPr>
            </w:pPr>
            <w:r>
              <w:rPr>
                <w:rFonts w:hAnsi="宋体"/>
                <w:color w:val="auto"/>
                <w:szCs w:val="21"/>
                <w:highlight w:val="none"/>
              </w:rPr>
              <w:t>付款</w:t>
            </w:r>
            <w:r>
              <w:rPr>
                <w:rFonts w:hint="eastAsia" w:hAnsi="宋体"/>
                <w:color w:val="auto"/>
                <w:szCs w:val="21"/>
                <w:highlight w:val="none"/>
              </w:rPr>
              <w:t>条款</w:t>
            </w:r>
          </w:p>
        </w:tc>
        <w:tc>
          <w:tcPr>
            <w:tcW w:w="6299" w:type="dxa"/>
            <w:vAlign w:val="center"/>
          </w:tcPr>
          <w:p>
            <w:pPr>
              <w:rPr>
                <w:rFonts w:hint="eastAsia"/>
                <w:sz w:val="21"/>
                <w:szCs w:val="21"/>
                <w:highlight w:val="none"/>
                <w:lang w:val="en-US" w:eastAsia="zh-CN"/>
              </w:rPr>
            </w:pPr>
            <w:r>
              <w:rPr>
                <w:rFonts w:hint="eastAsia"/>
                <w:sz w:val="21"/>
                <w:szCs w:val="21"/>
                <w:highlight w:val="none"/>
                <w:lang w:val="en-US" w:eastAsia="zh-CN"/>
              </w:rPr>
              <w:t>1期：支付比例30%，合同签订后20个工作日内，采购人向预付合同总价的30 %。</w:t>
            </w:r>
          </w:p>
          <w:p>
            <w:pPr>
              <w:spacing w:line="360" w:lineRule="auto"/>
              <w:jc w:val="left"/>
              <w:rPr>
                <w:rFonts w:hint="eastAsia"/>
                <w:szCs w:val="21"/>
                <w:highlight w:val="none"/>
              </w:rPr>
            </w:pPr>
            <w:r>
              <w:rPr>
                <w:rFonts w:hint="eastAsia"/>
                <w:sz w:val="21"/>
                <w:szCs w:val="21"/>
                <w:highlight w:val="none"/>
                <w:lang w:val="en-US" w:eastAsia="zh-CN"/>
              </w:rPr>
              <w:t>2期：支付比例70%，项目验收合格后，20个工作日内，采购人支付合同总价 的70%。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7" w:type="dxa"/>
            <w:vAlign w:val="center"/>
          </w:tcPr>
          <w:p>
            <w:pPr>
              <w:autoSpaceDE w:val="0"/>
              <w:autoSpaceDN w:val="0"/>
              <w:jc w:val="center"/>
              <w:rPr>
                <w:color w:val="auto"/>
                <w:szCs w:val="21"/>
                <w:highlight w:val="none"/>
              </w:rPr>
            </w:pPr>
            <w:r>
              <w:rPr>
                <w:color w:val="auto"/>
                <w:szCs w:val="21"/>
                <w:highlight w:val="none"/>
              </w:rPr>
              <w:t>5</w:t>
            </w:r>
          </w:p>
        </w:tc>
        <w:tc>
          <w:tcPr>
            <w:tcW w:w="1837" w:type="dxa"/>
            <w:vAlign w:val="center"/>
          </w:tcPr>
          <w:p>
            <w:pPr>
              <w:autoSpaceDE w:val="0"/>
              <w:autoSpaceDN w:val="0"/>
              <w:rPr>
                <w:rFonts w:hAnsi="宋体"/>
                <w:color w:val="auto"/>
                <w:szCs w:val="21"/>
                <w:highlight w:val="none"/>
              </w:rPr>
            </w:pPr>
            <w:r>
              <w:rPr>
                <w:rFonts w:hint="eastAsia" w:hAnsi="宋体"/>
                <w:color w:val="auto"/>
                <w:szCs w:val="21"/>
                <w:highlight w:val="none"/>
              </w:rPr>
              <w:t>质量进度要求</w:t>
            </w:r>
          </w:p>
        </w:tc>
        <w:tc>
          <w:tcPr>
            <w:tcW w:w="6299" w:type="dxa"/>
            <w:vAlign w:val="center"/>
          </w:tcPr>
          <w:p>
            <w:pPr>
              <w:rPr>
                <w:rFonts w:ascii="宋体" w:hAnsi="宋体"/>
                <w:color w:val="auto"/>
                <w:szCs w:val="21"/>
                <w:highlight w:val="none"/>
              </w:rPr>
            </w:pPr>
            <w:r>
              <w:rPr>
                <w:rFonts w:hint="eastAsia" w:ascii="宋体" w:hAnsi="宋体"/>
                <w:szCs w:val="21"/>
                <w:highlight w:val="none"/>
                <w:lang w:val="en-US" w:eastAsia="zh-CN"/>
              </w:rPr>
              <w:t>满足项目质量进度要求</w:t>
            </w:r>
            <w:r>
              <w:rPr>
                <w:rFonts w:hint="eastAsia" w:ascii="宋体" w:hAnsi="宋体"/>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7" w:type="dxa"/>
            <w:vAlign w:val="center"/>
          </w:tcPr>
          <w:p>
            <w:pPr>
              <w:autoSpaceDE w:val="0"/>
              <w:autoSpaceDN w:val="0"/>
              <w:jc w:val="center"/>
              <w:rPr>
                <w:rFonts w:ascii="宋体" w:hAnsi="宋体"/>
                <w:color w:val="auto"/>
                <w:szCs w:val="21"/>
                <w:highlight w:val="none"/>
              </w:rPr>
            </w:pPr>
            <w:r>
              <w:rPr>
                <w:color w:val="auto"/>
                <w:szCs w:val="21"/>
                <w:highlight w:val="none"/>
              </w:rPr>
              <w:t>6</w:t>
            </w:r>
          </w:p>
        </w:tc>
        <w:tc>
          <w:tcPr>
            <w:tcW w:w="1837" w:type="dxa"/>
            <w:vAlign w:val="center"/>
          </w:tcPr>
          <w:p>
            <w:pPr>
              <w:autoSpaceDE w:val="0"/>
              <w:autoSpaceDN w:val="0"/>
              <w:rPr>
                <w:rFonts w:ascii="宋体" w:hAnsi="宋体"/>
                <w:color w:val="auto"/>
                <w:szCs w:val="21"/>
                <w:highlight w:val="none"/>
              </w:rPr>
            </w:pPr>
            <w:r>
              <w:rPr>
                <w:rFonts w:hint="eastAsia" w:hAnsi="宋体"/>
                <w:color w:val="auto"/>
                <w:szCs w:val="21"/>
                <w:highlight w:val="none"/>
              </w:rPr>
              <w:t>发票及支付</w:t>
            </w:r>
          </w:p>
        </w:tc>
        <w:tc>
          <w:tcPr>
            <w:tcW w:w="6299" w:type="dxa"/>
            <w:vAlign w:val="center"/>
          </w:tcPr>
          <w:p>
            <w:pPr>
              <w:rPr>
                <w:rFonts w:ascii="宋体" w:hAnsi="宋体"/>
                <w:color w:val="auto"/>
                <w:szCs w:val="21"/>
                <w:highlight w:val="none"/>
              </w:rPr>
            </w:pPr>
            <w:r>
              <w:rPr>
                <w:rFonts w:hint="eastAsia" w:ascii="宋体" w:hAnsi="宋体"/>
                <w:color w:val="auto"/>
                <w:szCs w:val="21"/>
                <w:highlight w:val="none"/>
              </w:rPr>
              <w:t>1、乙方申请付款所提供的单据中发票应符合国家规定，发票种类</w:t>
            </w:r>
            <w:r>
              <w:rPr>
                <w:rFonts w:ascii="宋体" w:hAnsi="宋体"/>
                <w:color w:val="auto"/>
                <w:szCs w:val="21"/>
                <w:highlight w:val="none"/>
              </w:rPr>
              <w:t>见参选一</w:t>
            </w:r>
            <w:r>
              <w:rPr>
                <w:rFonts w:hint="eastAsia" w:ascii="宋体" w:hAnsi="宋体"/>
                <w:color w:val="auto"/>
                <w:szCs w:val="21"/>
                <w:highlight w:val="none"/>
              </w:rPr>
              <w:t>览</w:t>
            </w:r>
            <w:r>
              <w:rPr>
                <w:rFonts w:ascii="宋体" w:hAnsi="宋体"/>
                <w:color w:val="auto"/>
                <w:szCs w:val="21"/>
                <w:highlight w:val="none"/>
              </w:rPr>
              <w:t>表。</w:t>
            </w:r>
          </w:p>
          <w:p>
            <w:pPr>
              <w:rPr>
                <w:rFonts w:ascii="宋体" w:hAnsi="宋体"/>
                <w:color w:val="auto"/>
                <w:szCs w:val="21"/>
                <w:highlight w:val="none"/>
              </w:rPr>
            </w:pPr>
            <w:r>
              <w:rPr>
                <w:rFonts w:hint="eastAsia" w:ascii="宋体" w:hAnsi="宋体"/>
                <w:color w:val="auto"/>
                <w:szCs w:val="21"/>
                <w:highlight w:val="none"/>
              </w:rPr>
              <w:t>如遇国家财政或税收政策调整，甲乙双方同意按法律、法规要求同步调整本合同项下的发票开具、款项支付及结算方式。</w:t>
            </w:r>
          </w:p>
          <w:p>
            <w:pPr>
              <w:rPr>
                <w:rFonts w:ascii="宋体" w:hAnsi="宋体"/>
                <w:color w:val="auto"/>
                <w:szCs w:val="21"/>
                <w:highlight w:val="none"/>
              </w:rPr>
            </w:pPr>
            <w:r>
              <w:rPr>
                <w:rFonts w:hint="eastAsia" w:ascii="宋体" w:hAnsi="宋体"/>
                <w:color w:val="auto"/>
                <w:szCs w:val="21"/>
                <w:highlight w:val="none"/>
              </w:rPr>
              <w:t>2、乙方向甲方开具增值税专用发票的，乙方应在完成服务后[60]日内向甲方开具增值税专用发票，并应派专人或使用挂号信件或特快专递方式在发票开具后[30]日内送达甲方，送达日期以甲方签收日期为准；逾期送达的，每逾期一日,乙方应按逾期送达发票金额的千分</w:t>
            </w:r>
            <w:r>
              <w:rPr>
                <w:rFonts w:ascii="宋体" w:hAnsi="宋体"/>
                <w:color w:val="auto"/>
                <w:szCs w:val="21"/>
                <w:highlight w:val="none"/>
              </w:rPr>
              <w:t>之三</w:t>
            </w:r>
            <w:r>
              <w:rPr>
                <w:rFonts w:hint="eastAsia" w:ascii="宋体" w:hAnsi="宋体"/>
                <w:color w:val="auto"/>
                <w:szCs w:val="21"/>
                <w:highlight w:val="none"/>
              </w:rPr>
              <w:t>支付违约金,若因逾期送达造成甲方无法抵扣的，乙方还应赔偿甲方由此遭受的损失，金额相当于逾期送达发票可抵扣金额。</w:t>
            </w:r>
          </w:p>
          <w:p>
            <w:pPr>
              <w:rPr>
                <w:rFonts w:ascii="宋体" w:hAnsi="宋体"/>
                <w:color w:val="auto"/>
                <w:szCs w:val="21"/>
                <w:highlight w:val="none"/>
              </w:rPr>
            </w:pPr>
            <w:r>
              <w:rPr>
                <w:rFonts w:hint="eastAsia" w:ascii="宋体" w:hAnsi="宋体"/>
                <w:color w:val="auto"/>
                <w:szCs w:val="21"/>
                <w:highlight w:val="none"/>
              </w:rPr>
              <w:t>3、如乙方提供的增值税专用发票不符合法律法规要求或本合同约定，或不能通过税务认证的，甲方有权拒收或于发现问题后退回，乙方应及时更换，如因此导致未能在第2条约定时限内送达增值税专用发票的，乙方应当按照第2条约定承担逾期送达的违约责任。</w:t>
            </w:r>
          </w:p>
          <w:p>
            <w:pPr>
              <w:autoSpaceDE w:val="0"/>
              <w:autoSpaceDN w:val="0"/>
              <w:rPr>
                <w:rFonts w:ascii="宋体" w:hAnsi="宋体"/>
                <w:color w:val="auto"/>
                <w:spacing w:val="-4"/>
                <w:szCs w:val="21"/>
                <w:highlight w:val="none"/>
              </w:rPr>
            </w:pPr>
            <w:r>
              <w:rPr>
                <w:rFonts w:hint="eastAsia" w:ascii="宋体" w:hAnsi="宋体"/>
                <w:color w:val="auto"/>
                <w:szCs w:val="21"/>
                <w:highlight w:val="none"/>
              </w:rPr>
              <w:t>4、合同总价的所有支付由甲方以</w:t>
            </w:r>
            <w:r>
              <w:rPr>
                <w:rFonts w:hint="eastAsia" w:ascii="宋体" w:hAnsi="宋体"/>
                <w:color w:val="auto"/>
                <w:szCs w:val="21"/>
                <w:highlight w:val="none"/>
                <w:u w:val="single"/>
              </w:rPr>
              <w:t>银行转账或承兑期不超过六个月的汇票等</w:t>
            </w:r>
            <w:r>
              <w:rPr>
                <w:rFonts w:hint="eastAsia" w:ascii="宋体" w:hAnsi="宋体"/>
                <w:color w:val="auto"/>
                <w:szCs w:val="21"/>
                <w:highlight w:val="none"/>
              </w:rPr>
              <w:t>方式付至乙方。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7" w:type="dxa"/>
            <w:vAlign w:val="center"/>
          </w:tcPr>
          <w:p>
            <w:pPr>
              <w:autoSpaceDE w:val="0"/>
              <w:autoSpaceDN w:val="0"/>
              <w:jc w:val="center"/>
              <w:rPr>
                <w:rFonts w:ascii="宋体" w:hAnsi="宋体"/>
                <w:color w:val="auto"/>
                <w:szCs w:val="21"/>
                <w:highlight w:val="none"/>
              </w:rPr>
            </w:pPr>
            <w:r>
              <w:rPr>
                <w:color w:val="auto"/>
                <w:szCs w:val="21"/>
                <w:highlight w:val="none"/>
              </w:rPr>
              <w:t>7</w:t>
            </w:r>
          </w:p>
        </w:tc>
        <w:tc>
          <w:tcPr>
            <w:tcW w:w="1837" w:type="dxa"/>
            <w:vAlign w:val="center"/>
          </w:tcPr>
          <w:p>
            <w:pPr>
              <w:adjustRightInd w:val="0"/>
              <w:snapToGrid w:val="0"/>
              <w:rPr>
                <w:rFonts w:ascii="宋体" w:hAnsi="宋体"/>
                <w:b/>
                <w:color w:val="auto"/>
                <w:szCs w:val="21"/>
                <w:highlight w:val="none"/>
              </w:rPr>
            </w:pPr>
            <w:r>
              <w:rPr>
                <w:rFonts w:hint="eastAsia"/>
                <w:b/>
                <w:color w:val="auto"/>
                <w:szCs w:val="21"/>
                <w:highlight w:val="none"/>
              </w:rPr>
              <w:t>※</w:t>
            </w:r>
            <w:r>
              <w:rPr>
                <w:rFonts w:hint="eastAsia" w:ascii="宋体" w:hAnsi="宋体"/>
                <w:b/>
                <w:color w:val="auto"/>
                <w:szCs w:val="21"/>
                <w:highlight w:val="none"/>
              </w:rPr>
              <w:t>严重违约情况处理</w:t>
            </w:r>
          </w:p>
        </w:tc>
        <w:tc>
          <w:tcPr>
            <w:tcW w:w="6299" w:type="dxa"/>
            <w:vAlign w:val="center"/>
          </w:tcPr>
          <w:p>
            <w:pPr>
              <w:tabs>
                <w:tab w:val="left" w:pos="601"/>
              </w:tabs>
              <w:adjustRightInd w:val="0"/>
              <w:snapToGrid w:val="0"/>
              <w:rPr>
                <w:rFonts w:ascii="宋体" w:hAnsi="宋体"/>
                <w:color w:val="auto"/>
                <w:szCs w:val="21"/>
                <w:highlight w:val="none"/>
              </w:rPr>
            </w:pPr>
            <w:r>
              <w:rPr>
                <w:rFonts w:hint="eastAsia" w:ascii="宋体" w:hAnsi="宋体"/>
                <w:color w:val="auto"/>
                <w:szCs w:val="21"/>
                <w:highlight w:val="none"/>
              </w:rPr>
              <w:t>如合同履约过程中，中选人有在企业的经营活动中存在重大违法行为、被依法列为失信被执行人、违反比选人公司规定纳入特殊供应商（D类）的、与中国电信广东公司合作期间发生重大事件的（严重违约、重大项目质量或安全问题等情形），比选人有权取消中选人的中选资格及终止所签署的合同，同时取消该供应商三年内参加中国电信广东公司比选项目的资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7" w:type="dxa"/>
            <w:vAlign w:val="center"/>
          </w:tcPr>
          <w:p>
            <w:pPr>
              <w:autoSpaceDE w:val="0"/>
              <w:autoSpaceDN w:val="0"/>
              <w:jc w:val="center"/>
              <w:rPr>
                <w:color w:val="auto"/>
                <w:szCs w:val="21"/>
                <w:highlight w:val="none"/>
              </w:rPr>
            </w:pPr>
            <w:r>
              <w:rPr>
                <w:color w:val="auto"/>
                <w:szCs w:val="21"/>
                <w:highlight w:val="none"/>
              </w:rPr>
              <w:t>8</w:t>
            </w:r>
          </w:p>
        </w:tc>
        <w:tc>
          <w:tcPr>
            <w:tcW w:w="1837" w:type="dxa"/>
            <w:vAlign w:val="center"/>
          </w:tcPr>
          <w:p>
            <w:pPr>
              <w:adjustRightInd w:val="0"/>
              <w:snapToGrid w:val="0"/>
              <w:rPr>
                <w:b/>
                <w:color w:val="auto"/>
                <w:szCs w:val="21"/>
                <w:highlight w:val="none"/>
              </w:rPr>
            </w:pPr>
            <w:r>
              <w:rPr>
                <w:color w:val="auto"/>
                <w:highlight w:val="none"/>
              </w:rPr>
              <w:t>关于供应商不良行为处理的规定</w:t>
            </w:r>
            <w:r>
              <w:rPr>
                <w:rFonts w:hint="eastAsia"/>
                <w:color w:val="auto"/>
                <w:highlight w:val="none"/>
              </w:rPr>
              <w:t>（</w:t>
            </w:r>
            <w:r>
              <w:rPr>
                <w:rFonts w:hint="eastAsia"/>
                <w:b/>
                <w:bCs/>
                <w:color w:val="auto"/>
                <w:highlight w:val="none"/>
              </w:rPr>
              <w:t>签进</w:t>
            </w:r>
            <w:r>
              <w:rPr>
                <w:b/>
                <w:bCs/>
                <w:color w:val="auto"/>
                <w:highlight w:val="none"/>
              </w:rPr>
              <w:t>合同补充附页</w:t>
            </w:r>
            <w:r>
              <w:rPr>
                <w:rFonts w:hint="eastAsia"/>
                <w:color w:val="auto"/>
                <w:highlight w:val="none"/>
              </w:rPr>
              <w:t>）</w:t>
            </w:r>
          </w:p>
        </w:tc>
        <w:tc>
          <w:tcPr>
            <w:tcW w:w="6299" w:type="dxa"/>
            <w:vAlign w:val="center"/>
          </w:tcPr>
          <w:p>
            <w:pPr>
              <w:pStyle w:val="89"/>
              <w:spacing w:line="240" w:lineRule="auto"/>
              <w:ind w:firstLine="0" w:firstLineChars="0"/>
              <w:rPr>
                <w:rFonts w:ascii="宋体" w:hAnsi="宋体"/>
                <w:color w:val="auto"/>
                <w:sz w:val="21"/>
                <w:highlight w:val="none"/>
              </w:rPr>
            </w:pPr>
            <w:r>
              <w:rPr>
                <w:rFonts w:hint="eastAsia" w:ascii="宋体" w:hAnsi="宋体"/>
                <w:color w:val="auto"/>
                <w:sz w:val="21"/>
                <w:highlight w:val="none"/>
              </w:rPr>
              <w:t>甲乙双方同意：乙方在参选文件中签订并递交的《参选函》中第</w:t>
            </w:r>
            <w:r>
              <w:rPr>
                <w:rFonts w:ascii="宋体" w:hAnsi="宋体"/>
                <w:color w:val="auto"/>
                <w:sz w:val="21"/>
                <w:highlight w:val="none"/>
              </w:rPr>
              <w:t>8条关于“我方承诺接受《中国电信供应商不良行为管理规则》（管理规则版本号：V20200722）”的承诺，和/或制造商授权函（如有）适用于本合同，中国电信有权按照《中国电信供应商不良行为管理规则》（管理规则版本号：V20200722），对卖方/乙方/服务方和/或其代表的制造商（如有）、软件著作权人（如有）、知识产权权利人（如有）进行不良行为管理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7" w:type="dxa"/>
            <w:vAlign w:val="center"/>
          </w:tcPr>
          <w:p>
            <w:pPr>
              <w:autoSpaceDE w:val="0"/>
              <w:autoSpaceDN w:val="0"/>
              <w:jc w:val="center"/>
              <w:rPr>
                <w:rFonts w:ascii="宋体" w:hAnsi="宋体"/>
                <w:color w:val="auto"/>
                <w:szCs w:val="21"/>
                <w:highlight w:val="none"/>
              </w:rPr>
            </w:pPr>
            <w:r>
              <w:rPr>
                <w:color w:val="auto"/>
                <w:szCs w:val="21"/>
                <w:highlight w:val="none"/>
              </w:rPr>
              <w:t>9</w:t>
            </w:r>
          </w:p>
        </w:tc>
        <w:tc>
          <w:tcPr>
            <w:tcW w:w="1837" w:type="dxa"/>
            <w:vAlign w:val="center"/>
          </w:tcPr>
          <w:p>
            <w:pPr>
              <w:autoSpaceDE w:val="0"/>
              <w:autoSpaceDN w:val="0"/>
              <w:rPr>
                <w:rFonts w:ascii="宋体" w:hAnsi="宋体"/>
                <w:color w:val="auto"/>
                <w:szCs w:val="21"/>
                <w:highlight w:val="none"/>
              </w:rPr>
            </w:pPr>
            <w:r>
              <w:rPr>
                <w:rFonts w:hint="eastAsia"/>
                <w:color w:val="auto"/>
                <w:szCs w:val="21"/>
                <w:highlight w:val="none"/>
              </w:rPr>
              <w:t>其他</w:t>
            </w:r>
          </w:p>
        </w:tc>
        <w:tc>
          <w:tcPr>
            <w:tcW w:w="6299" w:type="dxa"/>
            <w:vAlign w:val="center"/>
          </w:tcPr>
          <w:p>
            <w:pPr>
              <w:tabs>
                <w:tab w:val="left" w:pos="709"/>
              </w:tabs>
              <w:rPr>
                <w:rFonts w:ascii="宋体" w:hAnsi="宋体"/>
                <w:color w:val="auto"/>
                <w:szCs w:val="21"/>
                <w:highlight w:val="none"/>
              </w:rPr>
            </w:pPr>
            <w:r>
              <w:rPr>
                <w:rFonts w:hint="eastAsia"/>
                <w:color w:val="auto"/>
                <w:szCs w:val="21"/>
                <w:highlight w:val="none"/>
              </w:rPr>
              <w:t>/</w:t>
            </w:r>
          </w:p>
        </w:tc>
      </w:tr>
    </w:tbl>
    <w:p>
      <w:pPr>
        <w:spacing w:line="400" w:lineRule="exact"/>
        <w:ind w:firstLine="420" w:firstLineChars="200"/>
        <w:rPr>
          <w:color w:val="auto"/>
          <w:highlight w:val="none"/>
        </w:rPr>
      </w:pPr>
    </w:p>
    <w:p>
      <w:pPr>
        <w:tabs>
          <w:tab w:val="left" w:pos="318"/>
        </w:tabs>
        <w:spacing w:line="400" w:lineRule="exact"/>
        <w:rPr>
          <w:color w:val="auto"/>
          <w:highlight w:val="none"/>
        </w:rPr>
      </w:pPr>
      <w:r>
        <w:rPr>
          <w:rFonts w:hint="eastAsia"/>
          <w:color w:val="auto"/>
          <w:highlight w:val="none"/>
        </w:rPr>
        <w:t>注：1）参选人应</w:t>
      </w:r>
      <w:r>
        <w:rPr>
          <w:color w:val="auto"/>
          <w:highlight w:val="none"/>
        </w:rPr>
        <w:t>对比选文件中的</w:t>
      </w:r>
      <w:r>
        <w:rPr>
          <w:rFonts w:hint="eastAsia"/>
          <w:color w:val="auto"/>
          <w:highlight w:val="none"/>
        </w:rPr>
        <w:t>第四章</w:t>
      </w:r>
      <w:r>
        <w:rPr>
          <w:color w:val="auto"/>
          <w:highlight w:val="none"/>
        </w:rPr>
        <w:t>“</w:t>
      </w:r>
      <w:r>
        <w:rPr>
          <w:rFonts w:hint="eastAsia"/>
          <w:color w:val="auto"/>
          <w:highlight w:val="none"/>
        </w:rPr>
        <w:t>商务规范书</w:t>
      </w:r>
      <w:r>
        <w:rPr>
          <w:color w:val="auto"/>
          <w:highlight w:val="none"/>
        </w:rPr>
        <w:t>”</w:t>
      </w:r>
      <w:r>
        <w:rPr>
          <w:rFonts w:hint="eastAsia"/>
          <w:color w:val="auto"/>
          <w:highlight w:val="none"/>
        </w:rPr>
        <w:t>合同条款部分</w:t>
      </w:r>
      <w:r>
        <w:rPr>
          <w:color w:val="auto"/>
          <w:highlight w:val="none"/>
        </w:rPr>
        <w:t>进行点对点应答</w:t>
      </w:r>
      <w:r>
        <w:rPr>
          <w:rFonts w:hint="eastAsia"/>
          <w:color w:val="auto"/>
          <w:highlight w:val="none"/>
        </w:rPr>
        <w:t>或填写偏离表。无点对点应答且无填写偏离表的，将导致其参选无效。</w:t>
      </w:r>
    </w:p>
    <w:p>
      <w:pPr>
        <w:tabs>
          <w:tab w:val="left" w:pos="318"/>
        </w:tabs>
        <w:spacing w:line="400" w:lineRule="exact"/>
        <w:ind w:firstLine="420" w:firstLineChars="200"/>
        <w:rPr>
          <w:rFonts w:ascii="宋体" w:hAnsi="宋体" w:cs="宋体"/>
          <w:bCs/>
          <w:color w:val="auto"/>
          <w:szCs w:val="21"/>
          <w:highlight w:val="none"/>
        </w:rPr>
      </w:pPr>
      <w:r>
        <w:rPr>
          <w:rFonts w:hint="eastAsia"/>
          <w:color w:val="auto"/>
          <w:highlight w:val="none"/>
        </w:rPr>
        <w:t>2）</w:t>
      </w:r>
      <w:r>
        <w:rPr>
          <w:rFonts w:hint="eastAsia" w:ascii="宋体" w:hAnsi="宋体" w:cs="宋体"/>
          <w:bCs/>
          <w:color w:val="auto"/>
          <w:szCs w:val="21"/>
          <w:highlight w:val="none"/>
        </w:rPr>
        <w:t>参选人须对每一款作出明确答复</w:t>
      </w:r>
      <w:r>
        <w:rPr>
          <w:rFonts w:ascii="宋体" w:hAnsi="宋体" w:cs="宋体"/>
          <w:bCs/>
          <w:color w:val="auto"/>
          <w:szCs w:val="21"/>
          <w:highlight w:val="none"/>
        </w:rPr>
        <w:t>(</w:t>
      </w:r>
      <w:r>
        <w:rPr>
          <w:rFonts w:hint="eastAsia" w:ascii="宋体" w:hAnsi="宋体" w:cs="宋体"/>
          <w:bCs/>
          <w:color w:val="auto"/>
          <w:szCs w:val="21"/>
          <w:highlight w:val="none"/>
        </w:rPr>
        <w:t>如果需要，可给出详细的应答内容</w:t>
      </w:r>
      <w:r>
        <w:rPr>
          <w:rFonts w:ascii="宋体" w:hAnsi="宋体" w:cs="宋体"/>
          <w:bCs/>
          <w:color w:val="auto"/>
          <w:szCs w:val="21"/>
          <w:highlight w:val="none"/>
        </w:rPr>
        <w:t>)</w:t>
      </w:r>
      <w:r>
        <w:rPr>
          <w:rFonts w:hint="eastAsia" w:ascii="宋体" w:hAnsi="宋体" w:cs="宋体"/>
          <w:bCs/>
          <w:color w:val="auto"/>
          <w:szCs w:val="21"/>
          <w:highlight w:val="none"/>
        </w:rPr>
        <w:t>，否则将可能被视为放弃应答。诸如“已知”、“理解”、“明白”或“同意”等这样非确切的答复是不可接受的。</w:t>
      </w:r>
    </w:p>
    <w:p>
      <w:pPr>
        <w:tabs>
          <w:tab w:val="left" w:pos="318"/>
        </w:tabs>
        <w:spacing w:line="400" w:lineRule="exact"/>
        <w:ind w:firstLine="420" w:firstLineChars="200"/>
        <w:rPr>
          <w:color w:val="auto"/>
          <w:highlight w:val="none"/>
        </w:rPr>
      </w:pPr>
      <w:r>
        <w:rPr>
          <w:rFonts w:hint="eastAsia" w:ascii="宋体" w:hAnsi="宋体" w:cs="宋体"/>
          <w:bCs/>
          <w:color w:val="auto"/>
          <w:szCs w:val="21"/>
          <w:highlight w:val="none"/>
        </w:rPr>
        <w:t>3）如比选文件中所列指标有具体要求、参数或指标要求的，参选文件中除回答“满足”、“部分满足”或“不满足”外，还须列出具体要求、参数或指标。</w:t>
      </w:r>
    </w:p>
    <w:p>
      <w:pPr>
        <w:spacing w:line="400" w:lineRule="exact"/>
        <w:ind w:firstLine="420" w:firstLineChars="200"/>
        <w:rPr>
          <w:rFonts w:ascii="宋体" w:hAnsi="宋体"/>
          <w:color w:val="auto"/>
          <w:szCs w:val="21"/>
          <w:highlight w:val="none"/>
        </w:rPr>
      </w:pPr>
    </w:p>
    <w:p>
      <w:pPr>
        <w:spacing w:line="400" w:lineRule="exact"/>
        <w:ind w:firstLine="420" w:firstLineChars="200"/>
        <w:rPr>
          <w:rFonts w:ascii="宋体" w:hAnsi="宋体"/>
          <w:color w:val="auto"/>
          <w:szCs w:val="21"/>
          <w:highlight w:val="none"/>
        </w:rPr>
      </w:pPr>
      <w:r>
        <w:rPr>
          <w:rFonts w:hint="eastAsia" w:ascii="宋体" w:hAnsi="宋体"/>
          <w:color w:val="auto"/>
          <w:szCs w:val="21"/>
          <w:highlight w:val="none"/>
        </w:rPr>
        <w:t>中国电信规范合同文本</w:t>
      </w:r>
      <w:r>
        <w:rPr>
          <w:rFonts w:ascii="宋体" w:hAnsi="宋体"/>
          <w:color w:val="auto"/>
          <w:szCs w:val="21"/>
          <w:highlight w:val="none"/>
        </w:rPr>
        <w:t xml:space="preserve">           </w:t>
      </w:r>
    </w:p>
    <w:p>
      <w:pPr>
        <w:spacing w:line="400" w:lineRule="exact"/>
        <w:ind w:firstLine="420" w:firstLineChars="200"/>
        <w:rPr>
          <w:rFonts w:ascii="宋体" w:hAnsi="宋体" w:cs="宋体"/>
          <w:b/>
          <w:color w:val="auto"/>
          <w:kern w:val="0"/>
          <w:sz w:val="28"/>
          <w:szCs w:val="28"/>
          <w:highlight w:val="none"/>
        </w:rPr>
      </w:pPr>
      <w:r>
        <w:rPr>
          <w:rFonts w:hint="eastAsia" w:ascii="宋体" w:hAnsi="宋体"/>
          <w:color w:val="auto"/>
          <w:szCs w:val="21"/>
          <w:highlight w:val="none"/>
        </w:rPr>
        <w:t>详见附件</w:t>
      </w:r>
      <w:r>
        <w:rPr>
          <w:rFonts w:hint="eastAsia" w:ascii="宋体" w:hAnsi="宋体"/>
          <w:color w:val="auto"/>
          <w:szCs w:val="21"/>
          <w:highlight w:val="none"/>
          <w:lang w:val="en-US" w:eastAsia="zh-CN"/>
        </w:rPr>
        <w:t>二</w:t>
      </w:r>
      <w:r>
        <w:rPr>
          <w:rFonts w:hint="eastAsia" w:ascii="宋体" w:hAnsi="宋体"/>
          <w:color w:val="auto"/>
          <w:szCs w:val="21"/>
          <w:highlight w:val="none"/>
        </w:rPr>
        <w:t>：合同</w:t>
      </w:r>
    </w:p>
    <w:p>
      <w:pPr>
        <w:widowControl/>
        <w:jc w:val="left"/>
        <w:rPr>
          <w:rFonts w:ascii="宋体" w:hAnsi="宋体" w:cs="宋体"/>
          <w:b/>
          <w:color w:val="auto"/>
          <w:kern w:val="0"/>
          <w:sz w:val="28"/>
          <w:szCs w:val="28"/>
          <w:highlight w:val="none"/>
        </w:rPr>
      </w:pPr>
    </w:p>
    <w:p>
      <w:pPr>
        <w:pStyle w:val="44"/>
        <w:spacing w:before="240" w:after="120"/>
        <w:rPr>
          <w:rFonts w:ascii="宋体" w:hAnsi="宋体" w:eastAsia="宋体" w:cs="宋体"/>
          <w:b/>
          <w:bCs w:val="0"/>
          <w:color w:val="auto"/>
          <w:kern w:val="0"/>
          <w:sz w:val="28"/>
          <w:szCs w:val="28"/>
          <w:highlight w:val="none"/>
        </w:rPr>
      </w:pPr>
      <w:bookmarkStart w:id="589" w:name="_Toc17203039"/>
      <w:bookmarkStart w:id="590" w:name="_Toc17202830"/>
      <w:bookmarkStart w:id="591" w:name="_Toc26776"/>
      <w:bookmarkStart w:id="592" w:name="_Toc17203554"/>
      <w:r>
        <w:rPr>
          <w:rFonts w:hint="eastAsia" w:ascii="宋体" w:hAnsi="宋体" w:eastAsia="宋体" w:cs="宋体"/>
          <w:b/>
          <w:bCs w:val="0"/>
          <w:color w:val="auto"/>
          <w:kern w:val="0"/>
          <w:sz w:val="28"/>
          <w:szCs w:val="28"/>
          <w:highlight w:val="none"/>
        </w:rPr>
        <w:t>第五章 项目技术和服务要求</w:t>
      </w:r>
      <w:bookmarkEnd w:id="585"/>
      <w:bookmarkEnd w:id="589"/>
      <w:bookmarkEnd w:id="590"/>
      <w:bookmarkEnd w:id="591"/>
      <w:bookmarkEnd w:id="592"/>
    </w:p>
    <w:p>
      <w:pPr>
        <w:tabs>
          <w:tab w:val="left" w:pos="318"/>
        </w:tabs>
        <w:spacing w:line="400" w:lineRule="exact"/>
        <w:rPr>
          <w:color w:val="auto"/>
          <w:highlight w:val="none"/>
        </w:rPr>
      </w:pPr>
      <w:r>
        <w:rPr>
          <w:rFonts w:hint="eastAsia"/>
          <w:color w:val="auto"/>
          <w:highlight w:val="none"/>
        </w:rPr>
        <w:t>注：1）参选人应</w:t>
      </w:r>
      <w:r>
        <w:rPr>
          <w:color w:val="auto"/>
          <w:highlight w:val="none"/>
        </w:rPr>
        <w:t>对比选文件中的</w:t>
      </w:r>
      <w:r>
        <w:rPr>
          <w:rFonts w:hint="eastAsia"/>
          <w:color w:val="auto"/>
          <w:highlight w:val="none"/>
        </w:rPr>
        <w:t>第五章“项目技术和服务要求”</w:t>
      </w:r>
      <w:r>
        <w:rPr>
          <w:color w:val="auto"/>
          <w:highlight w:val="none"/>
        </w:rPr>
        <w:t>进行点对点应答</w:t>
      </w:r>
      <w:r>
        <w:rPr>
          <w:rFonts w:hint="eastAsia"/>
          <w:color w:val="auto"/>
          <w:highlight w:val="none"/>
        </w:rPr>
        <w:t>，并填写偏离表。无点对点应答且无填写偏离表的，将导致其参选无效。</w:t>
      </w:r>
    </w:p>
    <w:p>
      <w:pPr>
        <w:tabs>
          <w:tab w:val="left" w:pos="318"/>
        </w:tabs>
        <w:spacing w:line="400" w:lineRule="exact"/>
        <w:ind w:firstLine="420" w:firstLineChars="200"/>
        <w:rPr>
          <w:rFonts w:ascii="宋体" w:hAnsi="宋体" w:cs="宋体"/>
          <w:bCs/>
          <w:color w:val="auto"/>
          <w:szCs w:val="21"/>
          <w:highlight w:val="none"/>
        </w:rPr>
      </w:pPr>
      <w:r>
        <w:rPr>
          <w:rFonts w:hint="eastAsia"/>
          <w:color w:val="auto"/>
          <w:highlight w:val="none"/>
        </w:rPr>
        <w:t>2）</w:t>
      </w:r>
      <w:r>
        <w:rPr>
          <w:rFonts w:hint="eastAsia" w:ascii="宋体" w:hAnsi="宋体" w:cs="宋体"/>
          <w:bCs/>
          <w:color w:val="auto"/>
          <w:szCs w:val="21"/>
          <w:highlight w:val="none"/>
        </w:rPr>
        <w:t>参选人须对每一款作出明确答复</w:t>
      </w:r>
      <w:r>
        <w:rPr>
          <w:rFonts w:ascii="宋体" w:hAnsi="宋体" w:cs="宋体"/>
          <w:bCs/>
          <w:color w:val="auto"/>
          <w:szCs w:val="21"/>
          <w:highlight w:val="none"/>
        </w:rPr>
        <w:t>(</w:t>
      </w:r>
      <w:r>
        <w:rPr>
          <w:rFonts w:hint="eastAsia" w:ascii="宋体" w:hAnsi="宋体" w:cs="宋体"/>
          <w:bCs/>
          <w:color w:val="auto"/>
          <w:szCs w:val="21"/>
          <w:highlight w:val="none"/>
        </w:rPr>
        <w:t>如果需要，可给出详细的应答内容</w:t>
      </w:r>
      <w:r>
        <w:rPr>
          <w:rFonts w:ascii="宋体" w:hAnsi="宋体" w:cs="宋体"/>
          <w:bCs/>
          <w:color w:val="auto"/>
          <w:szCs w:val="21"/>
          <w:highlight w:val="none"/>
        </w:rPr>
        <w:t>)</w:t>
      </w:r>
      <w:r>
        <w:rPr>
          <w:rFonts w:hint="eastAsia" w:ascii="宋体" w:hAnsi="宋体" w:cs="宋体"/>
          <w:bCs/>
          <w:color w:val="auto"/>
          <w:szCs w:val="21"/>
          <w:highlight w:val="none"/>
        </w:rPr>
        <w:t>，否则将可能被视为放弃应答。诸如“已知”、“理解”、“明白”或“同意”等这样非确切的答复是不可接受的。</w:t>
      </w:r>
    </w:p>
    <w:p>
      <w:pPr>
        <w:tabs>
          <w:tab w:val="left" w:pos="318"/>
        </w:tabs>
        <w:spacing w:line="400" w:lineRule="exact"/>
        <w:ind w:firstLine="420" w:firstLineChars="200"/>
        <w:rPr>
          <w:color w:val="auto"/>
          <w:highlight w:val="none"/>
        </w:rPr>
      </w:pPr>
      <w:r>
        <w:rPr>
          <w:rFonts w:hint="eastAsia" w:ascii="宋体" w:hAnsi="宋体" w:cs="宋体"/>
          <w:bCs/>
          <w:color w:val="auto"/>
          <w:szCs w:val="21"/>
          <w:highlight w:val="none"/>
        </w:rPr>
        <w:t>3）如比选文件中所列指标有具体要求、参数或指标要求的，参选文件中除回答“满足”、“部分满足”或“不满足”外，还须列出具体要求、参数或指标。</w:t>
      </w:r>
    </w:p>
    <w:p>
      <w:pPr>
        <w:rPr>
          <w:rFonts w:hint="default" w:ascii="宋体" w:hAnsi="宋体" w:eastAsia="宋体" w:cs="宋体"/>
          <w:b/>
          <w:bCs w:val="0"/>
          <w:color w:val="auto"/>
          <w:kern w:val="0"/>
          <w:sz w:val="28"/>
          <w:szCs w:val="28"/>
          <w:highlight w:val="none"/>
          <w:lang w:val="en-US" w:eastAsia="zh-CN"/>
        </w:rPr>
      </w:pPr>
      <w:bookmarkStart w:id="593" w:name="_Toc17203040"/>
      <w:bookmarkStart w:id="594" w:name="_Toc17202831"/>
      <w:bookmarkStart w:id="595" w:name="_Toc17203555"/>
      <w:r>
        <w:rPr>
          <w:rFonts w:hint="eastAsia" w:ascii="宋体" w:hAnsi="宋体" w:cs="宋体"/>
          <w:b/>
          <w:bCs w:val="0"/>
          <w:color w:val="auto"/>
          <w:kern w:val="0"/>
          <w:sz w:val="28"/>
          <w:szCs w:val="28"/>
          <w:highlight w:val="none"/>
          <w:lang w:val="en-US" w:eastAsia="zh-CN"/>
        </w:rPr>
        <w:t>详见附件三《项目技术和服务要求》</w:t>
      </w:r>
    </w:p>
    <w:p>
      <w:pPr>
        <w:rPr>
          <w:rFonts w:hint="eastAsia" w:ascii="宋体" w:hAnsi="宋体" w:eastAsia="宋体" w:cs="宋体"/>
          <w:b/>
          <w:bCs w:val="0"/>
          <w:color w:val="auto"/>
          <w:kern w:val="0"/>
          <w:sz w:val="28"/>
          <w:szCs w:val="28"/>
          <w:highlight w:val="none"/>
        </w:rPr>
      </w:pPr>
      <w:r>
        <w:rPr>
          <w:rFonts w:hint="eastAsia" w:ascii="宋体" w:hAnsi="宋体" w:eastAsia="宋体" w:cs="宋体"/>
          <w:b/>
          <w:bCs w:val="0"/>
          <w:color w:val="auto"/>
          <w:kern w:val="0"/>
          <w:sz w:val="28"/>
          <w:szCs w:val="28"/>
          <w:highlight w:val="none"/>
        </w:rPr>
        <w:br w:type="page"/>
      </w:r>
    </w:p>
    <w:p>
      <w:pPr>
        <w:pStyle w:val="44"/>
        <w:spacing w:before="240" w:after="120"/>
        <w:rPr>
          <w:rFonts w:ascii="宋体" w:hAnsi="宋体" w:eastAsia="宋体" w:cs="宋体"/>
          <w:b/>
          <w:bCs w:val="0"/>
          <w:color w:val="auto"/>
          <w:kern w:val="0"/>
          <w:sz w:val="28"/>
          <w:szCs w:val="28"/>
          <w:highlight w:val="none"/>
        </w:rPr>
      </w:pPr>
      <w:bookmarkStart w:id="596" w:name="_Toc17189"/>
      <w:r>
        <w:rPr>
          <w:rFonts w:hint="eastAsia" w:ascii="宋体" w:hAnsi="宋体" w:eastAsia="宋体" w:cs="宋体"/>
          <w:b/>
          <w:bCs w:val="0"/>
          <w:color w:val="auto"/>
          <w:kern w:val="0"/>
          <w:sz w:val="28"/>
          <w:szCs w:val="28"/>
          <w:highlight w:val="none"/>
        </w:rPr>
        <w:t>第六章  参选文件格式</w:t>
      </w:r>
      <w:bookmarkEnd w:id="586"/>
      <w:bookmarkEnd w:id="587"/>
      <w:bookmarkEnd w:id="588"/>
      <w:bookmarkEnd w:id="593"/>
      <w:bookmarkEnd w:id="594"/>
      <w:bookmarkEnd w:id="595"/>
      <w:bookmarkEnd w:id="596"/>
    </w:p>
    <w:p>
      <w:pPr>
        <w:widowControl/>
        <w:spacing w:before="156" w:beforeLines="50" w:after="156" w:afterLines="50" w:line="360" w:lineRule="auto"/>
        <w:jc w:val="left"/>
        <w:rPr>
          <w:rFonts w:ascii="宋体" w:hAnsi="宋体" w:cs="宋体"/>
          <w:color w:val="auto"/>
          <w:szCs w:val="21"/>
          <w:highlight w:val="none"/>
        </w:rPr>
      </w:pPr>
      <w:r>
        <w:rPr>
          <w:rFonts w:ascii="宋体" w:hAnsi="宋体" w:cs="宋体"/>
          <w:color w:val="auto"/>
          <w:szCs w:val="21"/>
          <w:highlight w:val="none"/>
        </w:rPr>
        <w:t>[</w:t>
      </w:r>
      <w:r>
        <w:rPr>
          <w:rFonts w:hint="eastAsia" w:ascii="宋体" w:hAnsi="宋体" w:cs="宋体"/>
          <w:color w:val="auto"/>
          <w:szCs w:val="21"/>
          <w:highlight w:val="none"/>
        </w:rPr>
        <w:t>本章仅列举了常用的文件格式，具体项目应结合实际情况，参考比选文件第三章评选办法进行补充]</w:t>
      </w:r>
    </w:p>
    <w:p>
      <w:pPr>
        <w:pStyle w:val="45"/>
        <w:tabs>
          <w:tab w:val="left" w:pos="567"/>
          <w:tab w:val="left" w:pos="795"/>
        </w:tabs>
        <w:adjustRightInd w:val="0"/>
        <w:snapToGrid w:val="0"/>
        <w:spacing w:line="360" w:lineRule="auto"/>
        <w:ind w:firstLine="0" w:firstLineChars="0"/>
        <w:jc w:val="left"/>
        <w:rPr>
          <w:rFonts w:ascii="宋体" w:hAnsi="宋体"/>
          <w:b/>
          <w:color w:val="auto"/>
          <w:szCs w:val="21"/>
          <w:highlight w:val="none"/>
        </w:rPr>
      </w:pPr>
      <w:r>
        <w:rPr>
          <w:rFonts w:hint="eastAsia" w:ascii="宋体" w:hAnsi="宋体"/>
          <w:b/>
          <w:color w:val="auto"/>
          <w:szCs w:val="21"/>
          <w:highlight w:val="none"/>
        </w:rPr>
        <w:t>第一分册 商务技术参选文件</w:t>
      </w:r>
      <w:r>
        <w:rPr>
          <w:rFonts w:hint="eastAsia" w:ascii="宋体" w:hAnsi="宋体"/>
          <w:b/>
          <w:color w:val="auto"/>
          <w:highlight w:val="none"/>
          <w:u w:val="single"/>
        </w:rPr>
        <w:t>（单独装订）</w:t>
      </w:r>
    </w:p>
    <w:p>
      <w:pPr>
        <w:tabs>
          <w:tab w:val="left" w:pos="567"/>
        </w:tabs>
        <w:adjustRightInd w:val="0"/>
        <w:snapToGrid w:val="0"/>
        <w:spacing w:line="360" w:lineRule="auto"/>
        <w:rPr>
          <w:rFonts w:ascii="宋体" w:hAnsi="宋体" w:cs="宋体"/>
          <w:b/>
          <w:color w:val="auto"/>
          <w:szCs w:val="21"/>
          <w:highlight w:val="none"/>
        </w:rPr>
      </w:pPr>
      <w:r>
        <w:rPr>
          <w:rFonts w:hint="eastAsia" w:ascii="宋体" w:hAnsi="宋体" w:cs="宋体"/>
          <w:b/>
          <w:color w:val="auto"/>
          <w:szCs w:val="21"/>
          <w:highlight w:val="none"/>
        </w:rPr>
        <w:t>商务技术参选文件封面</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商务技术评审索引表</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专用印章授权函（如有）</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参选函</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法定代表人（负责人）身份证明</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法定代表人（负责人）授权委托书</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廉洁参选承诺书</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联合体协议书（如有）</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参选人基本情况</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近年财务状况表</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近年完成的类似项目情况表</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商务规范书偏离表</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项目技术和服务要求点对点应答及偏离表</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项目管理团队承诺</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项目实施方案</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供应商承诺书</w:t>
      </w:r>
    </w:p>
    <w:p>
      <w:pPr>
        <w:pStyle w:val="45"/>
        <w:numPr>
          <w:ilvl w:val="0"/>
          <w:numId w:val="15"/>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要求参选人提供的其他文件</w:t>
      </w:r>
    </w:p>
    <w:p>
      <w:pPr>
        <w:tabs>
          <w:tab w:val="left" w:pos="567"/>
        </w:tabs>
        <w:adjustRightInd w:val="0"/>
        <w:snapToGrid w:val="0"/>
        <w:spacing w:line="360" w:lineRule="auto"/>
        <w:rPr>
          <w:rFonts w:ascii="宋体" w:hAnsi="宋体" w:cs="宋体"/>
          <w:b/>
          <w:color w:val="auto"/>
          <w:szCs w:val="21"/>
          <w:highlight w:val="none"/>
        </w:rPr>
      </w:pPr>
    </w:p>
    <w:p>
      <w:pPr>
        <w:pStyle w:val="45"/>
        <w:tabs>
          <w:tab w:val="left" w:pos="567"/>
          <w:tab w:val="left" w:pos="795"/>
        </w:tabs>
        <w:adjustRightInd w:val="0"/>
        <w:snapToGrid w:val="0"/>
        <w:spacing w:line="360" w:lineRule="auto"/>
        <w:ind w:firstLine="0" w:firstLineChars="0"/>
        <w:jc w:val="left"/>
        <w:rPr>
          <w:rFonts w:ascii="宋体" w:hAnsi="宋体" w:cs="宋体"/>
          <w:b/>
          <w:color w:val="auto"/>
          <w:szCs w:val="21"/>
          <w:highlight w:val="none"/>
        </w:rPr>
      </w:pPr>
      <w:r>
        <w:rPr>
          <w:rFonts w:hint="eastAsia" w:ascii="宋体" w:hAnsi="宋体" w:cs="宋体"/>
          <w:b/>
          <w:color w:val="auto"/>
          <w:szCs w:val="21"/>
          <w:highlight w:val="none"/>
        </w:rPr>
        <w:t>第二分册 报价文件</w:t>
      </w:r>
      <w:r>
        <w:rPr>
          <w:rFonts w:hint="eastAsia" w:ascii="宋体" w:hAnsi="宋体"/>
          <w:b/>
          <w:color w:val="auto"/>
          <w:highlight w:val="none"/>
          <w:u w:val="single"/>
        </w:rPr>
        <w:t>（单独装订）</w:t>
      </w:r>
    </w:p>
    <w:p>
      <w:pPr>
        <w:tabs>
          <w:tab w:val="left" w:pos="567"/>
        </w:tabs>
        <w:adjustRightInd w:val="0"/>
        <w:snapToGrid w:val="0"/>
        <w:spacing w:line="360" w:lineRule="auto"/>
        <w:rPr>
          <w:rFonts w:ascii="宋体" w:hAnsi="宋体" w:cs="宋体"/>
          <w:b/>
          <w:color w:val="auto"/>
          <w:szCs w:val="21"/>
          <w:highlight w:val="none"/>
        </w:rPr>
      </w:pPr>
      <w:r>
        <w:rPr>
          <w:rFonts w:hint="eastAsia" w:ascii="宋体" w:hAnsi="宋体" w:cs="宋体"/>
          <w:b/>
          <w:color w:val="auto"/>
          <w:szCs w:val="21"/>
          <w:highlight w:val="none"/>
        </w:rPr>
        <w:t>报价文件封面</w:t>
      </w:r>
    </w:p>
    <w:p>
      <w:pPr>
        <w:pStyle w:val="45"/>
        <w:numPr>
          <w:ilvl w:val="0"/>
          <w:numId w:val="16"/>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参选一览表</w:t>
      </w:r>
    </w:p>
    <w:p>
      <w:pPr>
        <w:pStyle w:val="45"/>
        <w:numPr>
          <w:ilvl w:val="0"/>
          <w:numId w:val="16"/>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报价文件</w:t>
      </w:r>
    </w:p>
    <w:p>
      <w:pPr>
        <w:pStyle w:val="45"/>
        <w:numPr>
          <w:ilvl w:val="0"/>
          <w:numId w:val="16"/>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供应商税务资质信息表</w:t>
      </w:r>
    </w:p>
    <w:p>
      <w:pPr>
        <w:pStyle w:val="45"/>
        <w:numPr>
          <w:ilvl w:val="0"/>
          <w:numId w:val="16"/>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比选代理服务费支付同意函</w:t>
      </w:r>
    </w:p>
    <w:p>
      <w:pPr>
        <w:pStyle w:val="45"/>
        <w:numPr>
          <w:ilvl w:val="0"/>
          <w:numId w:val="16"/>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参选保证金凭证</w:t>
      </w:r>
    </w:p>
    <w:p>
      <w:pPr>
        <w:pStyle w:val="45"/>
        <w:numPr>
          <w:ilvl w:val="0"/>
          <w:numId w:val="16"/>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中国人民银行颁发的基本账户开户证明</w:t>
      </w:r>
    </w:p>
    <w:p>
      <w:pPr>
        <w:pStyle w:val="45"/>
        <w:numPr>
          <w:ilvl w:val="0"/>
          <w:numId w:val="16"/>
        </w:numPr>
        <w:tabs>
          <w:tab w:val="left" w:pos="567"/>
        </w:tabs>
        <w:adjustRightInd w:val="0"/>
        <w:snapToGrid w:val="0"/>
        <w:spacing w:line="360" w:lineRule="auto"/>
        <w:ind w:firstLineChars="0"/>
        <w:rPr>
          <w:rFonts w:ascii="宋体" w:hAnsi="宋体" w:cs="宋体"/>
          <w:b/>
          <w:color w:val="auto"/>
          <w:szCs w:val="21"/>
          <w:highlight w:val="none"/>
        </w:rPr>
      </w:pPr>
      <w:r>
        <w:rPr>
          <w:rFonts w:hint="eastAsia" w:ascii="宋体" w:hAnsi="宋体" w:cs="宋体"/>
          <w:b/>
          <w:color w:val="auto"/>
          <w:szCs w:val="21"/>
          <w:highlight w:val="none"/>
        </w:rPr>
        <w:t>中选意向承诺书（用于分标段且规定中选人中选标段数量的项目）</w:t>
      </w:r>
    </w:p>
    <w:p>
      <w:pPr>
        <w:tabs>
          <w:tab w:val="left" w:pos="567"/>
        </w:tabs>
        <w:adjustRightInd w:val="0"/>
        <w:snapToGrid w:val="0"/>
        <w:spacing w:line="360" w:lineRule="auto"/>
        <w:rPr>
          <w:rFonts w:ascii="宋体" w:hAnsi="宋体" w:cs="宋体"/>
          <w:b/>
          <w:color w:val="auto"/>
          <w:szCs w:val="21"/>
          <w:highlight w:val="none"/>
        </w:rPr>
      </w:pPr>
    </w:p>
    <w:p>
      <w:pPr>
        <w:pStyle w:val="35"/>
        <w:tabs>
          <w:tab w:val="left" w:pos="588"/>
        </w:tabs>
        <w:snapToGrid w:val="0"/>
        <w:spacing w:before="120" w:after="120" w:line="440" w:lineRule="exact"/>
        <w:jc w:val="left"/>
        <w:outlineLvl w:val="1"/>
        <w:rPr>
          <w:rFonts w:ascii="宋体" w:hAnsi="宋体"/>
          <w:color w:val="auto"/>
          <w:sz w:val="28"/>
          <w:szCs w:val="28"/>
          <w:highlight w:val="none"/>
        </w:rPr>
      </w:pPr>
      <w:bookmarkStart w:id="597" w:name="_Toc475472670"/>
      <w:bookmarkStart w:id="598" w:name="_Toc17203041"/>
      <w:bookmarkStart w:id="599" w:name="_Toc17202832"/>
      <w:bookmarkStart w:id="600" w:name="_Toc19119"/>
      <w:bookmarkStart w:id="601" w:name="_Toc17203556"/>
      <w:r>
        <w:rPr>
          <w:rFonts w:hint="eastAsia" w:ascii="宋体" w:hAnsi="宋体"/>
          <w:color w:val="auto"/>
          <w:sz w:val="28"/>
          <w:szCs w:val="28"/>
          <w:highlight w:val="none"/>
        </w:rPr>
        <w:t>一、商务技术参选文件封面</w:t>
      </w:r>
      <w:bookmarkEnd w:id="597"/>
      <w:bookmarkEnd w:id="598"/>
      <w:bookmarkEnd w:id="599"/>
      <w:bookmarkEnd w:id="600"/>
      <w:bookmarkEnd w:id="601"/>
    </w:p>
    <w:p>
      <w:pPr>
        <w:spacing w:after="120" w:line="360" w:lineRule="atLeast"/>
        <w:jc w:val="center"/>
        <w:rPr>
          <w:rFonts w:ascii="宋体" w:hAnsi="宋体" w:cs="宋体"/>
          <w:color w:val="auto"/>
          <w:sz w:val="32"/>
          <w:szCs w:val="32"/>
          <w:highlight w:val="none"/>
          <w:u w:val="single"/>
        </w:rPr>
      </w:pPr>
    </w:p>
    <w:p>
      <w:pPr>
        <w:spacing w:after="120" w:line="360" w:lineRule="atLeast"/>
        <w:jc w:val="center"/>
        <w:rPr>
          <w:rFonts w:ascii="宋体" w:hAnsi="宋体" w:cs="宋体"/>
          <w:color w:val="auto"/>
          <w:sz w:val="32"/>
          <w:szCs w:val="32"/>
          <w:highlight w:val="none"/>
          <w:u w:val="single"/>
        </w:rPr>
      </w:pPr>
    </w:p>
    <w:p>
      <w:pPr>
        <w:spacing w:after="120" w:line="360" w:lineRule="atLeast"/>
        <w:jc w:val="center"/>
        <w:rPr>
          <w:rFonts w:ascii="宋体" w:hAnsi="宋体" w:cs="宋体"/>
          <w:b/>
          <w:color w:val="auto"/>
          <w:sz w:val="30"/>
          <w:szCs w:val="30"/>
          <w:highlight w:val="none"/>
        </w:rPr>
      </w:pPr>
      <w:r>
        <w:rPr>
          <w:rFonts w:hint="eastAsia" w:ascii="宋体" w:hAnsi="宋体"/>
          <w:color w:val="auto"/>
          <w:sz w:val="28"/>
          <w:szCs w:val="28"/>
          <w:highlight w:val="none"/>
          <w:u w:val="single"/>
        </w:rPr>
        <w:t xml:space="preserve">           </w:t>
      </w:r>
      <w:r>
        <w:rPr>
          <w:rFonts w:hint="eastAsia" w:ascii="宋体" w:hAnsi="宋体"/>
          <w:color w:val="auto"/>
          <w:sz w:val="28"/>
          <w:szCs w:val="28"/>
          <w:highlight w:val="none"/>
        </w:rPr>
        <w:t>（项目名称）</w:t>
      </w:r>
      <w:r>
        <w:rPr>
          <w:rFonts w:hint="eastAsia" w:ascii="宋体" w:hAnsi="宋体"/>
          <w:color w:val="auto"/>
          <w:sz w:val="28"/>
          <w:szCs w:val="28"/>
          <w:highlight w:val="none"/>
          <w:u w:val="single"/>
        </w:rPr>
        <w:t xml:space="preserve">            </w:t>
      </w:r>
      <w:r>
        <w:rPr>
          <w:rFonts w:hint="eastAsia" w:ascii="宋体" w:hAnsi="宋体"/>
          <w:color w:val="auto"/>
          <w:sz w:val="28"/>
          <w:szCs w:val="28"/>
          <w:highlight w:val="none"/>
        </w:rPr>
        <w:t>标段比选</w:t>
      </w:r>
    </w:p>
    <w:p>
      <w:pPr>
        <w:jc w:val="center"/>
        <w:rPr>
          <w:rFonts w:ascii="宋体" w:hAnsi="宋体" w:cs="宋体"/>
          <w:color w:val="auto"/>
          <w:sz w:val="28"/>
          <w:szCs w:val="28"/>
          <w:highlight w:val="none"/>
        </w:rPr>
      </w:pPr>
      <w:r>
        <w:rPr>
          <w:rFonts w:hint="eastAsia" w:ascii="宋体" w:hAnsi="宋体" w:cs="宋体"/>
          <w:color w:val="auto"/>
          <w:sz w:val="28"/>
          <w:szCs w:val="28"/>
          <w:highlight w:val="none"/>
        </w:rPr>
        <w:t>比选代理机构编号：</w:t>
      </w:r>
    </w:p>
    <w:p>
      <w:pPr>
        <w:jc w:val="center"/>
        <w:rPr>
          <w:rFonts w:ascii="宋体" w:hAnsi="宋体" w:cs="宋体"/>
          <w:color w:val="auto"/>
          <w:szCs w:val="21"/>
          <w:highlight w:val="none"/>
        </w:rPr>
      </w:pPr>
    </w:p>
    <w:p>
      <w:pPr>
        <w:jc w:val="center"/>
        <w:rPr>
          <w:rFonts w:ascii="宋体" w:hAnsi="宋体" w:cs="宋体"/>
          <w:color w:val="auto"/>
          <w:szCs w:val="21"/>
          <w:highlight w:val="none"/>
        </w:rPr>
      </w:pPr>
    </w:p>
    <w:p>
      <w:pPr>
        <w:jc w:val="center"/>
        <w:rPr>
          <w:rFonts w:ascii="宋体" w:hAnsi="宋体" w:cs="宋体"/>
          <w:color w:val="auto"/>
          <w:szCs w:val="21"/>
          <w:highlight w:val="none"/>
        </w:rPr>
      </w:pPr>
    </w:p>
    <w:p>
      <w:pPr>
        <w:spacing w:after="120"/>
        <w:jc w:val="center"/>
        <w:rPr>
          <w:rFonts w:ascii="宋体" w:hAnsi="宋体" w:cs="宋体"/>
          <w:b/>
          <w:color w:val="auto"/>
          <w:sz w:val="36"/>
          <w:szCs w:val="36"/>
          <w:highlight w:val="none"/>
        </w:rPr>
      </w:pPr>
      <w:r>
        <w:rPr>
          <w:rFonts w:hint="eastAsia" w:ascii="宋体" w:hAnsi="宋体" w:cs="宋体"/>
          <w:b/>
          <w:color w:val="auto"/>
          <w:sz w:val="36"/>
          <w:szCs w:val="36"/>
          <w:highlight w:val="none"/>
        </w:rPr>
        <w:t>参选文件商务技术参选文件部分</w:t>
      </w:r>
    </w:p>
    <w:p>
      <w:pPr>
        <w:spacing w:after="120"/>
        <w:jc w:val="center"/>
        <w:rPr>
          <w:rFonts w:ascii="宋体" w:hAnsi="宋体" w:cs="宋体"/>
          <w:b/>
          <w:color w:val="auto"/>
          <w:sz w:val="32"/>
          <w:szCs w:val="32"/>
          <w:highlight w:val="none"/>
        </w:rPr>
      </w:pPr>
    </w:p>
    <w:p>
      <w:pPr>
        <w:spacing w:after="120"/>
        <w:jc w:val="center"/>
        <w:rPr>
          <w:rFonts w:ascii="宋体" w:hAnsi="宋体" w:cs="宋体"/>
          <w:b/>
          <w:color w:val="auto"/>
          <w:sz w:val="32"/>
          <w:szCs w:val="32"/>
          <w:highlight w:val="none"/>
        </w:rPr>
      </w:pPr>
    </w:p>
    <w:p>
      <w:pPr>
        <w:spacing w:after="120"/>
        <w:jc w:val="center"/>
        <w:rPr>
          <w:rFonts w:ascii="宋体" w:hAnsi="宋体" w:cs="宋体"/>
          <w:b/>
          <w:color w:val="auto"/>
          <w:sz w:val="32"/>
          <w:szCs w:val="32"/>
          <w:highlight w:val="none"/>
        </w:rPr>
      </w:pPr>
    </w:p>
    <w:p>
      <w:pPr>
        <w:spacing w:after="120"/>
        <w:jc w:val="center"/>
        <w:rPr>
          <w:rFonts w:ascii="宋体" w:hAnsi="宋体" w:cs="宋体"/>
          <w:b/>
          <w:color w:val="auto"/>
          <w:sz w:val="32"/>
          <w:szCs w:val="32"/>
          <w:highlight w:val="none"/>
        </w:rPr>
      </w:pPr>
    </w:p>
    <w:p>
      <w:pPr>
        <w:spacing w:after="120"/>
        <w:jc w:val="center"/>
        <w:rPr>
          <w:rFonts w:ascii="宋体" w:hAnsi="宋体" w:cs="宋体"/>
          <w:b/>
          <w:color w:val="auto"/>
          <w:sz w:val="32"/>
          <w:szCs w:val="32"/>
          <w:highlight w:val="none"/>
        </w:rPr>
      </w:pPr>
    </w:p>
    <w:p>
      <w:pPr>
        <w:spacing w:after="120"/>
        <w:jc w:val="center"/>
        <w:rPr>
          <w:rFonts w:ascii="宋体" w:hAnsi="宋体" w:cs="宋体"/>
          <w:b/>
          <w:color w:val="auto"/>
          <w:sz w:val="32"/>
          <w:szCs w:val="32"/>
          <w:highlight w:val="none"/>
        </w:rPr>
      </w:pPr>
    </w:p>
    <w:p>
      <w:pPr>
        <w:adjustRightInd w:val="0"/>
        <w:snapToGrid w:val="0"/>
        <w:spacing w:line="440" w:lineRule="exact"/>
        <w:jc w:val="center"/>
        <w:rPr>
          <w:rFonts w:ascii="宋体" w:hAnsi="宋体" w:cs="宋体"/>
          <w:color w:val="auto"/>
          <w:sz w:val="24"/>
          <w:highlight w:val="none"/>
        </w:rPr>
      </w:pPr>
      <w:r>
        <w:rPr>
          <w:rFonts w:hint="eastAsia" w:ascii="宋体" w:hAnsi="宋体" w:cs="宋体"/>
          <w:color w:val="auto"/>
          <w:sz w:val="24"/>
          <w:highlight w:val="none"/>
        </w:rPr>
        <w:t xml:space="preserve">   参选人名称：</w:t>
      </w:r>
      <w:r>
        <w:rPr>
          <w:rFonts w:ascii="宋体" w:hAnsi="宋体" w:cs="宋体"/>
          <w:color w:val="auto"/>
          <w:sz w:val="24"/>
          <w:highlight w:val="none"/>
          <w:u w:val="single"/>
        </w:rPr>
        <w:t xml:space="preserve">                              </w:t>
      </w:r>
      <w:r>
        <w:rPr>
          <w:rFonts w:hint="eastAsia" w:ascii="宋体" w:hAnsi="宋体" w:cs="宋体"/>
          <w:color w:val="auto"/>
          <w:sz w:val="24"/>
          <w:highlight w:val="none"/>
        </w:rPr>
        <w:t>（盖单位公章）</w:t>
      </w:r>
    </w:p>
    <w:p>
      <w:pPr>
        <w:adjustRightInd w:val="0"/>
        <w:snapToGrid w:val="0"/>
        <w:spacing w:line="440" w:lineRule="exact"/>
        <w:ind w:firstLine="1020" w:firstLineChars="425"/>
        <w:rPr>
          <w:rFonts w:ascii="宋体" w:hAnsi="宋体" w:cs="宋体"/>
          <w:color w:val="auto"/>
          <w:sz w:val="24"/>
          <w:highlight w:val="none"/>
        </w:rPr>
      </w:pPr>
    </w:p>
    <w:p>
      <w:pPr>
        <w:adjustRightInd w:val="0"/>
        <w:snapToGrid w:val="0"/>
        <w:spacing w:line="440" w:lineRule="exact"/>
        <w:ind w:firstLine="1020" w:firstLineChars="425"/>
        <w:rPr>
          <w:rFonts w:ascii="宋体" w:hAnsi="宋体" w:cs="宋体"/>
          <w:color w:val="auto"/>
          <w:sz w:val="24"/>
          <w:highlight w:val="none"/>
          <w:u w:val="single"/>
        </w:rPr>
      </w:pPr>
      <w:r>
        <w:rPr>
          <w:rFonts w:hint="eastAsia" w:ascii="宋体" w:hAnsi="宋体" w:cs="宋体"/>
          <w:color w:val="auto"/>
          <w:sz w:val="24"/>
          <w:highlight w:val="none"/>
        </w:rPr>
        <w:t>法定代表人（负责人）</w:t>
      </w:r>
      <w:r>
        <w:rPr>
          <w:rFonts w:ascii="宋体" w:hAnsi="宋体" w:cs="宋体"/>
          <w:color w:val="auto"/>
          <w:sz w:val="24"/>
          <w:highlight w:val="none"/>
        </w:rPr>
        <w:t>或者其委托代理人：</w:t>
      </w:r>
      <w:r>
        <w:rPr>
          <w:rFonts w:ascii="宋体" w:hAnsi="宋体" w:cs="宋体"/>
          <w:color w:val="auto"/>
          <w:sz w:val="24"/>
          <w:highlight w:val="none"/>
          <w:u w:val="single"/>
        </w:rPr>
        <w:t xml:space="preserve">  </w:t>
      </w:r>
      <w:r>
        <w:rPr>
          <w:rFonts w:hint="eastAsia" w:ascii="宋体" w:hAnsi="宋体" w:cs="宋体"/>
          <w:color w:val="auto"/>
          <w:sz w:val="24"/>
          <w:highlight w:val="none"/>
          <w:u w:val="single"/>
        </w:rPr>
        <w:t xml:space="preserve">        </w:t>
      </w:r>
      <w:r>
        <w:rPr>
          <w:rFonts w:ascii="宋体" w:hAnsi="宋体" w:cs="宋体"/>
          <w:color w:val="auto"/>
          <w:sz w:val="24"/>
          <w:highlight w:val="none"/>
          <w:u w:val="single"/>
        </w:rPr>
        <w:t xml:space="preserve">   </w:t>
      </w:r>
      <w:r>
        <w:rPr>
          <w:rFonts w:hint="eastAsia" w:ascii="宋体" w:hAnsi="宋体" w:cs="宋体"/>
          <w:color w:val="auto"/>
          <w:sz w:val="24"/>
          <w:highlight w:val="none"/>
        </w:rPr>
        <w:t>（签字）</w:t>
      </w:r>
    </w:p>
    <w:p>
      <w:pPr>
        <w:adjustRightInd w:val="0"/>
        <w:snapToGrid w:val="0"/>
        <w:spacing w:after="120" w:line="440" w:lineRule="exact"/>
        <w:ind w:firstLine="1200" w:firstLineChars="500"/>
        <w:jc w:val="left"/>
        <w:rPr>
          <w:rFonts w:ascii="宋体" w:hAnsi="宋体" w:cs="宋体"/>
          <w:color w:val="auto"/>
          <w:sz w:val="24"/>
          <w:highlight w:val="none"/>
        </w:rPr>
      </w:pPr>
    </w:p>
    <w:p>
      <w:pPr>
        <w:adjustRightInd w:val="0"/>
        <w:snapToGrid w:val="0"/>
        <w:spacing w:line="440" w:lineRule="exact"/>
        <w:jc w:val="center"/>
        <w:rPr>
          <w:rFonts w:ascii="宋体" w:hAnsi="宋体" w:cs="宋体"/>
          <w:color w:val="auto"/>
          <w:highlight w:val="none"/>
        </w:rPr>
      </w:pPr>
      <w:r>
        <w:rPr>
          <w:rFonts w:ascii="宋体" w:hAnsi="宋体" w:cs="宋体"/>
          <w:color w:val="auto"/>
          <w:sz w:val="24"/>
          <w:highlight w:val="none"/>
          <w:u w:val="single"/>
        </w:rPr>
        <w:t xml:space="preserve">_    __ </w:t>
      </w:r>
      <w:r>
        <w:rPr>
          <w:rFonts w:hint="eastAsia" w:ascii="宋体" w:hAnsi="宋体" w:cs="宋体"/>
          <w:color w:val="auto"/>
          <w:sz w:val="24"/>
          <w:highlight w:val="none"/>
        </w:rPr>
        <w:t>年</w:t>
      </w:r>
      <w:r>
        <w:rPr>
          <w:rFonts w:ascii="宋体" w:hAnsi="宋体" w:cs="宋体"/>
          <w:color w:val="auto"/>
          <w:sz w:val="24"/>
          <w:highlight w:val="none"/>
          <w:u w:val="single"/>
        </w:rPr>
        <w:t>_    __</w:t>
      </w:r>
      <w:r>
        <w:rPr>
          <w:rFonts w:hint="eastAsia" w:ascii="宋体" w:hAnsi="宋体" w:cs="宋体"/>
          <w:color w:val="auto"/>
          <w:sz w:val="24"/>
          <w:highlight w:val="none"/>
        </w:rPr>
        <w:t>月</w:t>
      </w:r>
      <w:r>
        <w:rPr>
          <w:rFonts w:ascii="宋体" w:hAnsi="宋体" w:cs="宋体"/>
          <w:color w:val="auto"/>
          <w:sz w:val="24"/>
          <w:highlight w:val="none"/>
          <w:u w:val="single"/>
        </w:rPr>
        <w:t>_    __</w:t>
      </w:r>
      <w:r>
        <w:rPr>
          <w:rFonts w:hint="eastAsia" w:ascii="宋体" w:hAnsi="宋体" w:cs="宋体"/>
          <w:color w:val="auto"/>
          <w:sz w:val="24"/>
          <w:highlight w:val="none"/>
        </w:rPr>
        <w:t>日</w:t>
      </w:r>
    </w:p>
    <w:p>
      <w:pPr>
        <w:pStyle w:val="44"/>
        <w:adjustRightInd w:val="0"/>
        <w:snapToGrid w:val="0"/>
        <w:spacing w:before="240" w:after="120" w:line="440" w:lineRule="exact"/>
        <w:rPr>
          <w:rFonts w:ascii="宋体" w:hAnsi="宋体" w:eastAsia="宋体" w:cs="宋体"/>
          <w:b/>
          <w:bCs w:val="0"/>
          <w:color w:val="auto"/>
          <w:kern w:val="0"/>
          <w:sz w:val="28"/>
          <w:szCs w:val="28"/>
          <w:highlight w:val="none"/>
        </w:rPr>
        <w:sectPr>
          <w:pgSz w:w="11906" w:h="16838"/>
          <w:pgMar w:top="1440" w:right="1800" w:bottom="1440" w:left="1800" w:header="851" w:footer="992" w:gutter="0"/>
          <w:cols w:space="425" w:num="1"/>
          <w:docGrid w:type="lines" w:linePitch="312" w:charSpace="0"/>
        </w:sectPr>
      </w:pP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602" w:name="_Toc17203042"/>
      <w:bookmarkStart w:id="603" w:name="_Toc10548"/>
      <w:bookmarkStart w:id="604" w:name="_Toc17202833"/>
      <w:bookmarkStart w:id="605" w:name="_Toc17203557"/>
      <w:bookmarkStart w:id="606" w:name="_Toc438052118"/>
      <w:bookmarkStart w:id="607" w:name="_Toc447265603"/>
      <w:bookmarkStart w:id="608" w:name="_Toc447265317"/>
      <w:r>
        <w:rPr>
          <w:rFonts w:hint="eastAsia" w:ascii="宋体" w:hAnsi="宋体"/>
          <w:color w:val="auto"/>
          <w:sz w:val="28"/>
          <w:szCs w:val="24"/>
          <w:highlight w:val="none"/>
        </w:rPr>
        <w:t>商务技术评审索引表</w:t>
      </w:r>
      <w:bookmarkEnd w:id="602"/>
      <w:bookmarkEnd w:id="603"/>
      <w:bookmarkEnd w:id="604"/>
      <w:bookmarkEnd w:id="605"/>
    </w:p>
    <w:p>
      <w:pPr>
        <w:rPr>
          <w:rFonts w:ascii="宋体" w:hAnsi="宋体"/>
          <w:color w:val="auto"/>
          <w:highlight w:val="none"/>
        </w:rPr>
      </w:pPr>
    </w:p>
    <w:p>
      <w:pPr>
        <w:jc w:val="center"/>
        <w:rPr>
          <w:rFonts w:ascii="宋体" w:hAnsi="宋体"/>
          <w:b/>
          <w:color w:val="auto"/>
          <w:sz w:val="24"/>
          <w:highlight w:val="none"/>
        </w:rPr>
      </w:pPr>
      <w:r>
        <w:rPr>
          <w:rFonts w:hint="eastAsia" w:ascii="宋体" w:hAnsi="宋体"/>
          <w:b/>
          <w:color w:val="auto"/>
          <w:sz w:val="24"/>
          <w:highlight w:val="none"/>
        </w:rPr>
        <w:t>商务技术评审索引表</w:t>
      </w:r>
    </w:p>
    <w:p>
      <w:pPr>
        <w:jc w:val="center"/>
        <w:rPr>
          <w:rFonts w:ascii="宋体" w:hAnsi="宋体"/>
          <w:b/>
          <w:color w:val="auto"/>
          <w:highlight w:val="none"/>
        </w:rPr>
      </w:pPr>
    </w:p>
    <w:p>
      <w:pPr>
        <w:jc w:val="left"/>
        <w:rPr>
          <w:rFonts w:hint="eastAsia" w:ascii="宋体" w:hAnsi="宋体" w:eastAsia="宋体"/>
          <w:color w:val="auto"/>
          <w:szCs w:val="21"/>
          <w:highlight w:val="none"/>
          <w:lang w:eastAsia="zh-CN"/>
        </w:rPr>
      </w:pPr>
      <w:r>
        <w:rPr>
          <w:rFonts w:hint="eastAsia" w:ascii="宋体" w:hAnsi="宋体"/>
          <w:color w:val="auto"/>
          <w:szCs w:val="21"/>
          <w:highlight w:val="none"/>
        </w:rPr>
        <w:t>此部分内容建议按照第三章评选办法中的评审标准的顺序一一罗列</w:t>
      </w:r>
    </w:p>
    <w:p>
      <w:pPr>
        <w:spacing w:before="156" w:beforeLines="50" w:after="156" w:afterLines="50" w:line="400" w:lineRule="exact"/>
        <w:jc w:val="center"/>
        <w:outlineLvl w:val="2"/>
        <w:rPr>
          <w:b/>
          <w:color w:val="auto"/>
          <w:sz w:val="24"/>
          <w:highlight w:val="none"/>
        </w:rPr>
      </w:pPr>
      <w:bookmarkStart w:id="609" w:name="_Toc17202834"/>
      <w:bookmarkStart w:id="610" w:name="_Toc478338961"/>
      <w:bookmarkStart w:id="611" w:name="_Toc500485209"/>
      <w:r>
        <w:rPr>
          <w:rFonts w:hint="eastAsia"/>
          <w:b/>
          <w:color w:val="auto"/>
          <w:sz w:val="24"/>
          <w:highlight w:val="none"/>
        </w:rPr>
        <w:t>（一）初步评审自查及应答表</w:t>
      </w:r>
      <w:bookmarkEnd w:id="609"/>
      <w:bookmarkEnd w:id="610"/>
      <w:bookmarkEnd w:id="611"/>
    </w:p>
    <w:p>
      <w:pPr>
        <w:rPr>
          <w:color w:val="auto"/>
          <w:highlight w:val="none"/>
        </w:rPr>
      </w:pPr>
      <w:r>
        <w:rPr>
          <w:rFonts w:hint="eastAsia"/>
          <w:color w:val="auto"/>
          <w:highlight w:val="none"/>
        </w:rPr>
        <w:t>填写要求：</w:t>
      </w:r>
    </w:p>
    <w:p>
      <w:pPr>
        <w:numPr>
          <w:ilvl w:val="0"/>
          <w:numId w:val="18"/>
        </w:numPr>
        <w:rPr>
          <w:color w:val="auto"/>
          <w:highlight w:val="none"/>
        </w:rPr>
      </w:pPr>
      <w:r>
        <w:rPr>
          <w:rFonts w:hint="eastAsia"/>
          <w:color w:val="auto"/>
          <w:highlight w:val="none"/>
        </w:rPr>
        <w:t>请在评审索引处填写参选文件证明材料的具体的页码；</w:t>
      </w:r>
    </w:p>
    <w:p>
      <w:pPr>
        <w:numPr>
          <w:ilvl w:val="0"/>
          <w:numId w:val="18"/>
        </w:numPr>
        <w:rPr>
          <w:color w:val="auto"/>
          <w:highlight w:val="none"/>
        </w:rPr>
      </w:pPr>
      <w:r>
        <w:rPr>
          <w:rFonts w:hint="eastAsia"/>
          <w:color w:val="auto"/>
          <w:highlight w:val="none"/>
        </w:rPr>
        <w:t>打“</w:t>
      </w:r>
      <w:r>
        <w:rPr>
          <w:color w:val="auto"/>
          <w:highlight w:val="none"/>
        </w:rPr>
        <w:t>/”</w:t>
      </w:r>
      <w:r>
        <w:rPr>
          <w:rFonts w:hint="eastAsia"/>
          <w:color w:val="auto"/>
          <w:highlight w:val="none"/>
        </w:rPr>
        <w:t>则无须填写；</w:t>
      </w:r>
    </w:p>
    <w:tbl>
      <w:tblPr>
        <w:tblStyle w:val="37"/>
        <w:tblW w:w="878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1276"/>
        <w:gridCol w:w="5812"/>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567"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评审内容</w:t>
            </w:r>
          </w:p>
        </w:tc>
        <w:tc>
          <w:tcPr>
            <w:tcW w:w="1276"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评审因素</w:t>
            </w:r>
          </w:p>
        </w:tc>
        <w:tc>
          <w:tcPr>
            <w:tcW w:w="5812"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szCs w:val="21"/>
                <w:highlight w:val="none"/>
              </w:rPr>
            </w:pPr>
            <w:r>
              <w:rPr>
                <w:rFonts w:hint="eastAsia" w:ascii="宋体" w:hAnsi="宋体" w:cs="宋体"/>
                <w:color w:val="auto"/>
                <w:kern w:val="0"/>
                <w:szCs w:val="21"/>
                <w:highlight w:val="none"/>
              </w:rPr>
              <w:t>评审标准</w:t>
            </w: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kern w:val="0"/>
                <w:szCs w:val="21"/>
                <w:highlight w:val="none"/>
              </w:rPr>
            </w:pPr>
            <w:r>
              <w:rPr>
                <w:rFonts w:hint="eastAsia"/>
                <w:color w:val="auto"/>
                <w:szCs w:val="21"/>
                <w:highlight w:val="none"/>
              </w:rPr>
              <w:t>评审索引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trPr>
        <w:tc>
          <w:tcPr>
            <w:tcW w:w="567" w:type="dxa"/>
            <w:vMerge w:val="restart"/>
            <w:tcBorders>
              <w:top w:val="single" w:color="auto" w:sz="4" w:space="0"/>
              <w:left w:val="single" w:color="auto" w:sz="4" w:space="0"/>
              <w:bottom w:val="single" w:color="auto" w:sz="4" w:space="0"/>
              <w:right w:val="single" w:color="auto" w:sz="4" w:space="0"/>
            </w:tcBorders>
            <w:vAlign w:val="center"/>
          </w:tcPr>
          <w:p>
            <w:pPr>
              <w:snapToGrid w:val="0"/>
              <w:jc w:val="left"/>
              <w:rPr>
                <w:rFonts w:ascii="宋体" w:hAnsi="宋体" w:cs="宋体"/>
                <w:color w:val="auto"/>
                <w:szCs w:val="21"/>
                <w:highlight w:val="none"/>
              </w:rPr>
            </w:pPr>
            <w:r>
              <w:rPr>
                <w:rFonts w:hint="eastAsia" w:ascii="宋体" w:hAnsi="宋体" w:cs="宋体"/>
                <w:color w:val="auto"/>
                <w:kern w:val="0"/>
                <w:sz w:val="20"/>
                <w:szCs w:val="21"/>
                <w:highlight w:val="none"/>
              </w:rPr>
              <w:t>形式评审</w:t>
            </w: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p>
        </w:tc>
        <w:tc>
          <w:tcPr>
            <w:tcW w:w="5812" w:type="dxa"/>
            <w:tcBorders>
              <w:top w:val="single" w:color="auto" w:sz="4" w:space="0"/>
              <w:left w:val="single" w:color="auto" w:sz="4" w:space="0"/>
              <w:bottom w:val="single" w:color="auto" w:sz="4" w:space="0"/>
              <w:right w:val="single" w:color="auto" w:sz="4" w:space="0"/>
            </w:tcBorders>
            <w:vAlign w:val="center"/>
          </w:tcPr>
          <w:p>
            <w:pPr>
              <w:snapToGrid w:val="0"/>
              <w:rPr>
                <w:rFonts w:ascii="宋体" w:hAnsi="宋体" w:cs="宋体"/>
                <w:color w:val="auto"/>
                <w:szCs w:val="21"/>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trPr>
        <w:tc>
          <w:tcPr>
            <w:tcW w:w="56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color w:val="auto"/>
                <w:szCs w:val="21"/>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p>
        </w:tc>
        <w:tc>
          <w:tcPr>
            <w:tcW w:w="5812" w:type="dxa"/>
            <w:tcBorders>
              <w:top w:val="single" w:color="auto" w:sz="4" w:space="0"/>
              <w:left w:val="single" w:color="auto" w:sz="4" w:space="0"/>
              <w:bottom w:val="single" w:color="auto" w:sz="4" w:space="0"/>
              <w:right w:val="single" w:color="auto" w:sz="4" w:space="0"/>
            </w:tcBorders>
            <w:vAlign w:val="center"/>
          </w:tcPr>
          <w:p>
            <w:pPr>
              <w:snapToGrid w:val="0"/>
              <w:rPr>
                <w:rFonts w:ascii="宋体" w:hAnsi="宋体" w:cs="宋体"/>
                <w:color w:val="auto"/>
                <w:szCs w:val="21"/>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56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color w:val="auto"/>
                <w:szCs w:val="21"/>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p>
        </w:tc>
        <w:tc>
          <w:tcPr>
            <w:tcW w:w="5812" w:type="dxa"/>
            <w:tcBorders>
              <w:top w:val="single" w:color="auto" w:sz="4" w:space="0"/>
              <w:left w:val="single" w:color="auto" w:sz="4" w:space="0"/>
              <w:bottom w:val="single" w:color="auto" w:sz="4" w:space="0"/>
              <w:right w:val="single" w:color="auto" w:sz="4" w:space="0"/>
            </w:tcBorders>
            <w:vAlign w:val="center"/>
          </w:tcPr>
          <w:p>
            <w:pPr>
              <w:snapToGrid w:val="0"/>
              <w:rPr>
                <w:rFonts w:ascii="宋体" w:hAnsi="宋体" w:cs="宋体"/>
                <w:color w:val="auto"/>
                <w:szCs w:val="21"/>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56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color w:val="auto"/>
                <w:szCs w:val="21"/>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p>
        </w:tc>
        <w:tc>
          <w:tcPr>
            <w:tcW w:w="5812" w:type="dxa"/>
            <w:tcBorders>
              <w:top w:val="single" w:color="auto" w:sz="4" w:space="0"/>
              <w:left w:val="single" w:color="auto" w:sz="4" w:space="0"/>
              <w:bottom w:val="single" w:color="auto" w:sz="4" w:space="0"/>
              <w:right w:val="single" w:color="auto" w:sz="4" w:space="0"/>
            </w:tcBorders>
            <w:vAlign w:val="center"/>
          </w:tcPr>
          <w:p>
            <w:pPr>
              <w:rPr>
                <w:rFonts w:ascii="宋体" w:hAnsi="宋体"/>
                <w:color w:val="auto"/>
                <w:szCs w:val="21"/>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567" w:type="dxa"/>
            <w:vMerge w:val="restart"/>
            <w:tcBorders>
              <w:top w:val="single" w:color="auto" w:sz="4" w:space="0"/>
              <w:left w:val="single" w:color="auto" w:sz="4" w:space="0"/>
              <w:right w:val="single" w:color="auto" w:sz="4" w:space="0"/>
            </w:tcBorders>
            <w:vAlign w:val="center"/>
          </w:tcPr>
          <w:p>
            <w:pPr>
              <w:snapToGrid w:val="0"/>
              <w:jc w:val="left"/>
              <w:rPr>
                <w:rFonts w:ascii="宋体" w:hAnsi="宋体" w:cs="宋体"/>
                <w:color w:val="auto"/>
                <w:szCs w:val="21"/>
                <w:highlight w:val="none"/>
              </w:rPr>
            </w:pPr>
            <w:r>
              <w:rPr>
                <w:rFonts w:hint="eastAsia" w:ascii="宋体" w:hAnsi="宋体" w:cs="宋体"/>
                <w:color w:val="auto"/>
                <w:kern w:val="0"/>
                <w:sz w:val="20"/>
                <w:szCs w:val="21"/>
                <w:highlight w:val="none"/>
              </w:rPr>
              <w:t>资格评审</w:t>
            </w: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p>
        </w:tc>
        <w:tc>
          <w:tcPr>
            <w:tcW w:w="5812" w:type="dxa"/>
            <w:tcBorders>
              <w:top w:val="single" w:color="auto" w:sz="4" w:space="0"/>
              <w:left w:val="single" w:color="auto" w:sz="4" w:space="0"/>
              <w:bottom w:val="single" w:color="auto" w:sz="4" w:space="0"/>
              <w:right w:val="single" w:color="auto" w:sz="4" w:space="0"/>
            </w:tcBorders>
            <w:vAlign w:val="center"/>
          </w:tcPr>
          <w:p>
            <w:pPr>
              <w:rPr>
                <w:rFonts w:ascii="宋体" w:hAnsi="宋体"/>
                <w:color w:val="auto"/>
                <w:szCs w:val="21"/>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kern w:val="0"/>
                <w:sz w:val="2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567" w:type="dxa"/>
            <w:vMerge w:val="continue"/>
            <w:tcBorders>
              <w:left w:val="single" w:color="auto" w:sz="4" w:space="0"/>
              <w:right w:val="single" w:color="auto" w:sz="4" w:space="0"/>
            </w:tcBorders>
            <w:vAlign w:val="center"/>
          </w:tcPr>
          <w:p>
            <w:pPr>
              <w:widowControl/>
              <w:jc w:val="left"/>
              <w:rPr>
                <w:rFonts w:ascii="宋体" w:hAnsi="宋体" w:cs="宋体"/>
                <w:color w:val="auto"/>
                <w:szCs w:val="21"/>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p>
        </w:tc>
        <w:tc>
          <w:tcPr>
            <w:tcW w:w="5812" w:type="dxa"/>
            <w:tcBorders>
              <w:top w:val="single" w:color="auto" w:sz="4" w:space="0"/>
              <w:left w:val="single" w:color="auto" w:sz="4" w:space="0"/>
              <w:bottom w:val="single" w:color="auto" w:sz="4" w:space="0"/>
              <w:right w:val="single" w:color="auto" w:sz="4" w:space="0"/>
            </w:tcBorders>
            <w:vAlign w:val="center"/>
          </w:tcPr>
          <w:p>
            <w:pPr>
              <w:snapToGrid w:val="0"/>
              <w:rPr>
                <w:rFonts w:ascii="宋体" w:hAnsi="宋体" w:cs="宋体"/>
                <w:color w:val="auto"/>
                <w:kern w:val="0"/>
                <w:szCs w:val="21"/>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kern w:val="0"/>
                <w:sz w:val="2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567" w:type="dxa"/>
            <w:vMerge w:val="continue"/>
            <w:tcBorders>
              <w:left w:val="single" w:color="auto" w:sz="4" w:space="0"/>
              <w:right w:val="single" w:color="auto" w:sz="4" w:space="0"/>
            </w:tcBorders>
            <w:vAlign w:val="center"/>
          </w:tcPr>
          <w:p>
            <w:pPr>
              <w:widowControl/>
              <w:jc w:val="left"/>
              <w:rPr>
                <w:rFonts w:ascii="宋体" w:hAnsi="宋体" w:cs="宋体"/>
                <w:color w:val="auto"/>
                <w:szCs w:val="21"/>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p>
        </w:tc>
        <w:tc>
          <w:tcPr>
            <w:tcW w:w="5812" w:type="dxa"/>
            <w:tcBorders>
              <w:top w:val="single" w:color="auto" w:sz="4" w:space="0"/>
              <w:left w:val="single" w:color="auto" w:sz="4" w:space="0"/>
              <w:bottom w:val="single" w:color="auto" w:sz="4" w:space="0"/>
              <w:right w:val="single" w:color="auto" w:sz="4" w:space="0"/>
            </w:tcBorders>
            <w:vAlign w:val="center"/>
          </w:tcPr>
          <w:p>
            <w:pPr>
              <w:snapToGrid w:val="0"/>
              <w:rPr>
                <w:rFonts w:ascii="宋体" w:hAnsi="宋体" w:cs="宋体"/>
                <w:color w:val="auto"/>
                <w:kern w:val="0"/>
                <w:szCs w:val="21"/>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kern w:val="0"/>
                <w:sz w:val="2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3" w:hRule="atLeast"/>
        </w:trPr>
        <w:tc>
          <w:tcPr>
            <w:tcW w:w="567" w:type="dxa"/>
            <w:vMerge w:val="continue"/>
            <w:tcBorders>
              <w:left w:val="single" w:color="auto" w:sz="4" w:space="0"/>
              <w:right w:val="single" w:color="auto" w:sz="4" w:space="0"/>
            </w:tcBorders>
            <w:vAlign w:val="center"/>
          </w:tcPr>
          <w:p>
            <w:pPr>
              <w:widowControl/>
              <w:jc w:val="left"/>
              <w:rPr>
                <w:rFonts w:ascii="宋体" w:hAnsi="宋体" w:cs="宋体"/>
                <w:color w:val="auto"/>
                <w:szCs w:val="21"/>
                <w:highlight w:val="none"/>
              </w:rPr>
            </w:pPr>
          </w:p>
        </w:tc>
        <w:tc>
          <w:tcPr>
            <w:tcW w:w="1276" w:type="dxa"/>
            <w:tcBorders>
              <w:top w:val="single" w:color="auto" w:sz="4" w:space="0"/>
              <w:left w:val="single" w:color="auto" w:sz="4" w:space="0"/>
              <w:right w:val="single" w:color="auto" w:sz="4" w:space="0"/>
            </w:tcBorders>
            <w:vAlign w:val="center"/>
          </w:tcPr>
          <w:p>
            <w:pPr>
              <w:snapToGrid w:val="0"/>
              <w:jc w:val="center"/>
              <w:rPr>
                <w:rFonts w:ascii="宋体" w:hAnsi="宋体" w:cs="宋体"/>
                <w:color w:val="auto"/>
                <w:kern w:val="0"/>
                <w:szCs w:val="21"/>
                <w:highlight w:val="none"/>
              </w:rPr>
            </w:pPr>
          </w:p>
        </w:tc>
        <w:tc>
          <w:tcPr>
            <w:tcW w:w="5812" w:type="dxa"/>
            <w:tcBorders>
              <w:top w:val="single" w:color="auto" w:sz="4" w:space="0"/>
              <w:left w:val="single" w:color="auto" w:sz="4" w:space="0"/>
              <w:bottom w:val="single" w:color="auto" w:sz="4" w:space="0"/>
              <w:right w:val="single" w:color="auto" w:sz="4" w:space="0"/>
            </w:tcBorders>
            <w:vAlign w:val="center"/>
          </w:tcPr>
          <w:p>
            <w:pPr>
              <w:snapToGrid w:val="0"/>
              <w:rPr>
                <w:rFonts w:ascii="宋体" w:hAnsi="宋体" w:cs="宋体"/>
                <w:color w:val="auto"/>
                <w:szCs w:val="21"/>
                <w:highlight w:val="none"/>
              </w:rPr>
            </w:pPr>
          </w:p>
        </w:tc>
        <w:tc>
          <w:tcPr>
            <w:tcW w:w="1134" w:type="dxa"/>
            <w:tcBorders>
              <w:top w:val="single" w:color="auto" w:sz="4" w:space="0"/>
              <w:left w:val="single" w:color="auto" w:sz="4" w:space="0"/>
              <w:right w:val="single" w:color="auto" w:sz="4" w:space="0"/>
            </w:tcBorders>
            <w:vAlign w:val="center"/>
          </w:tcPr>
          <w:p>
            <w:pPr>
              <w:snapToGrid w:val="0"/>
              <w:jc w:val="center"/>
              <w:rPr>
                <w:rFonts w:ascii="宋体" w:hAnsi="宋体" w:cs="宋体"/>
                <w:color w:val="auto"/>
                <w:kern w:val="0"/>
                <w:sz w:val="2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567" w:type="dxa"/>
            <w:vMerge w:val="restart"/>
            <w:tcBorders>
              <w:top w:val="single" w:color="auto" w:sz="4" w:space="0"/>
              <w:left w:val="single" w:color="auto" w:sz="4" w:space="0"/>
              <w:bottom w:val="single" w:color="auto" w:sz="4" w:space="0"/>
              <w:right w:val="single" w:color="auto" w:sz="4" w:space="0"/>
            </w:tcBorders>
            <w:vAlign w:val="center"/>
          </w:tcPr>
          <w:p>
            <w:pPr>
              <w:snapToGrid w:val="0"/>
              <w:jc w:val="left"/>
              <w:rPr>
                <w:rFonts w:ascii="宋体" w:hAnsi="宋体" w:cs="宋体"/>
                <w:color w:val="auto"/>
                <w:szCs w:val="21"/>
                <w:highlight w:val="none"/>
              </w:rPr>
            </w:pPr>
            <w:r>
              <w:rPr>
                <w:rFonts w:hint="eastAsia" w:ascii="宋体" w:hAnsi="宋体" w:cs="宋体"/>
                <w:color w:val="auto"/>
                <w:kern w:val="0"/>
                <w:sz w:val="20"/>
                <w:szCs w:val="21"/>
                <w:highlight w:val="none"/>
              </w:rPr>
              <w:t>响应性评审</w:t>
            </w: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p>
        </w:tc>
        <w:tc>
          <w:tcPr>
            <w:tcW w:w="5812" w:type="dxa"/>
            <w:tcBorders>
              <w:top w:val="single" w:color="auto" w:sz="4" w:space="0"/>
              <w:left w:val="single" w:color="auto" w:sz="4" w:space="0"/>
              <w:bottom w:val="single" w:color="auto" w:sz="4" w:space="0"/>
              <w:right w:val="single" w:color="auto" w:sz="4" w:space="0"/>
            </w:tcBorders>
            <w:vAlign w:val="center"/>
          </w:tcPr>
          <w:p>
            <w:pPr>
              <w:numPr>
                <w:ilvl w:val="3"/>
                <w:numId w:val="19"/>
              </w:numPr>
              <w:snapToGrid w:val="0"/>
              <w:ind w:left="0" w:firstLine="23"/>
              <w:rPr>
                <w:rFonts w:ascii="宋体" w:hAnsi="宋体" w:cs="宋体"/>
                <w:color w:val="auto"/>
                <w:szCs w:val="21"/>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56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color w:val="auto"/>
                <w:szCs w:val="21"/>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p>
        </w:tc>
        <w:tc>
          <w:tcPr>
            <w:tcW w:w="5812" w:type="dxa"/>
            <w:tcBorders>
              <w:top w:val="single" w:color="auto" w:sz="4" w:space="0"/>
              <w:left w:val="single" w:color="auto" w:sz="4" w:space="0"/>
              <w:bottom w:val="single" w:color="auto" w:sz="4" w:space="0"/>
              <w:right w:val="single" w:color="auto" w:sz="4" w:space="0"/>
            </w:tcBorders>
            <w:vAlign w:val="center"/>
          </w:tcPr>
          <w:p>
            <w:pPr>
              <w:snapToGrid w:val="0"/>
              <w:rPr>
                <w:rFonts w:ascii="宋体" w:hAnsi="宋体" w:cs="宋体"/>
                <w:color w:val="auto"/>
                <w:szCs w:val="21"/>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56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color w:val="auto"/>
                <w:szCs w:val="21"/>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auto"/>
                <w:szCs w:val="21"/>
                <w:highlight w:val="none"/>
              </w:rPr>
            </w:pPr>
          </w:p>
        </w:tc>
        <w:tc>
          <w:tcPr>
            <w:tcW w:w="5812" w:type="dxa"/>
            <w:tcBorders>
              <w:top w:val="single" w:color="auto" w:sz="4" w:space="0"/>
              <w:left w:val="single" w:color="auto" w:sz="4" w:space="0"/>
              <w:bottom w:val="single" w:color="auto" w:sz="4" w:space="0"/>
              <w:right w:val="single" w:color="auto" w:sz="4" w:space="0"/>
            </w:tcBorders>
            <w:vAlign w:val="center"/>
          </w:tcPr>
          <w:p>
            <w:pPr>
              <w:snapToGrid w:val="0"/>
              <w:rPr>
                <w:rFonts w:ascii="宋体" w:hAnsi="宋体" w:cs="宋体"/>
                <w:color w:val="auto"/>
                <w:szCs w:val="21"/>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szCs w:val="21"/>
                <w:highlight w:val="none"/>
              </w:rPr>
            </w:pPr>
          </w:p>
        </w:tc>
      </w:tr>
    </w:tbl>
    <w:p>
      <w:pPr>
        <w:spacing w:before="156" w:beforeLines="50" w:after="156" w:afterLines="50" w:line="400" w:lineRule="exact"/>
        <w:jc w:val="center"/>
        <w:outlineLvl w:val="2"/>
        <w:rPr>
          <w:b/>
          <w:color w:val="auto"/>
          <w:sz w:val="24"/>
          <w:highlight w:val="none"/>
        </w:rPr>
      </w:pPr>
      <w:bookmarkStart w:id="612" w:name="_Toc500485210"/>
      <w:bookmarkStart w:id="613" w:name="_Toc17202835"/>
      <w:bookmarkStart w:id="614" w:name="_Toc478338962"/>
      <w:r>
        <w:rPr>
          <w:rFonts w:hint="eastAsia"/>
          <w:b/>
          <w:color w:val="auto"/>
          <w:sz w:val="24"/>
          <w:highlight w:val="none"/>
        </w:rPr>
        <w:t>（二）详细评审索引表</w:t>
      </w:r>
      <w:bookmarkEnd w:id="612"/>
      <w:bookmarkEnd w:id="613"/>
      <w:bookmarkEnd w:id="614"/>
    </w:p>
    <w:tbl>
      <w:tblPr>
        <w:tblStyle w:val="37"/>
        <w:tblW w:w="90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1"/>
        <w:gridCol w:w="3038"/>
        <w:gridCol w:w="2246"/>
        <w:gridCol w:w="2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jc w:val="center"/>
              <w:rPr>
                <w:rFonts w:ascii="宋体" w:hAnsi="宋体"/>
                <w:color w:val="auto"/>
                <w:szCs w:val="21"/>
                <w:highlight w:val="none"/>
              </w:rPr>
            </w:pPr>
            <w:r>
              <w:rPr>
                <w:rFonts w:ascii="宋体" w:hAnsi="宋体"/>
                <w:color w:val="auto"/>
                <w:szCs w:val="21"/>
                <w:highlight w:val="none"/>
              </w:rPr>
              <w:t>条款号</w:t>
            </w:r>
          </w:p>
        </w:tc>
        <w:tc>
          <w:tcPr>
            <w:tcW w:w="3038" w:type="dxa"/>
            <w:vAlign w:val="center"/>
          </w:tcPr>
          <w:p>
            <w:pPr>
              <w:jc w:val="center"/>
              <w:rPr>
                <w:rFonts w:ascii="宋体" w:hAnsi="宋体"/>
                <w:color w:val="auto"/>
                <w:szCs w:val="21"/>
                <w:highlight w:val="none"/>
              </w:rPr>
            </w:pPr>
            <w:r>
              <w:rPr>
                <w:rFonts w:ascii="宋体" w:hAnsi="宋体"/>
                <w:color w:val="auto"/>
                <w:szCs w:val="21"/>
                <w:highlight w:val="none"/>
              </w:rPr>
              <w:t>评审因素</w:t>
            </w:r>
          </w:p>
        </w:tc>
        <w:tc>
          <w:tcPr>
            <w:tcW w:w="2246" w:type="dxa"/>
            <w:vAlign w:val="center"/>
          </w:tcPr>
          <w:p>
            <w:pPr>
              <w:jc w:val="center"/>
              <w:rPr>
                <w:rFonts w:ascii="宋体" w:hAnsi="宋体"/>
                <w:color w:val="auto"/>
                <w:szCs w:val="21"/>
                <w:highlight w:val="none"/>
              </w:rPr>
            </w:pPr>
            <w:r>
              <w:rPr>
                <w:rFonts w:hint="eastAsia" w:ascii="宋体" w:hAnsi="宋体"/>
                <w:color w:val="auto"/>
                <w:szCs w:val="21"/>
                <w:highlight w:val="none"/>
              </w:rPr>
              <w:t>对应页码</w:t>
            </w:r>
          </w:p>
        </w:tc>
        <w:tc>
          <w:tcPr>
            <w:tcW w:w="2300" w:type="dxa"/>
            <w:vAlign w:val="center"/>
          </w:tcPr>
          <w:p>
            <w:pPr>
              <w:jc w:val="center"/>
              <w:rPr>
                <w:rFonts w:ascii="宋体" w:hAnsi="宋体"/>
                <w:color w:val="auto"/>
                <w:szCs w:val="21"/>
                <w:highlight w:val="none"/>
              </w:rPr>
            </w:pPr>
            <w:r>
              <w:rPr>
                <w:rFonts w:hint="eastAsia" w:ascii="宋体" w:hAnsi="宋体"/>
                <w:color w:val="auto"/>
                <w:szCs w:val="21"/>
                <w:highlight w:val="none"/>
              </w:rPr>
              <w:t>备注或说明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tabs>
                <w:tab w:val="left" w:pos="720"/>
              </w:tabs>
              <w:spacing w:line="360" w:lineRule="auto"/>
              <w:ind w:left="-2" w:firstLine="1"/>
              <w:jc w:val="center"/>
              <w:rPr>
                <w:rFonts w:ascii="宋体" w:hAnsi="宋体"/>
                <w:color w:val="auto"/>
                <w:szCs w:val="21"/>
                <w:highlight w:val="none"/>
              </w:rPr>
            </w:pPr>
            <w:r>
              <w:rPr>
                <w:rFonts w:ascii="宋体" w:hAnsi="宋体"/>
                <w:color w:val="auto"/>
                <w:szCs w:val="21"/>
                <w:highlight w:val="none"/>
              </w:rPr>
              <w:t>…</w:t>
            </w:r>
          </w:p>
        </w:tc>
        <w:tc>
          <w:tcPr>
            <w:tcW w:w="3038" w:type="dxa"/>
            <w:vAlign w:val="center"/>
          </w:tcPr>
          <w:p>
            <w:pPr>
              <w:tabs>
                <w:tab w:val="left" w:pos="720"/>
              </w:tabs>
              <w:spacing w:line="360" w:lineRule="auto"/>
              <w:ind w:left="-2" w:firstLine="1"/>
              <w:jc w:val="center"/>
              <w:rPr>
                <w:rFonts w:ascii="宋体" w:hAnsi="宋体"/>
                <w:color w:val="auto"/>
                <w:szCs w:val="21"/>
                <w:highlight w:val="none"/>
              </w:rPr>
            </w:pPr>
            <w:r>
              <w:rPr>
                <w:rFonts w:ascii="宋体" w:hAnsi="宋体"/>
                <w:color w:val="auto"/>
                <w:szCs w:val="21"/>
                <w:highlight w:val="none"/>
              </w:rPr>
              <w:t>…</w:t>
            </w:r>
          </w:p>
        </w:tc>
        <w:tc>
          <w:tcPr>
            <w:tcW w:w="2246" w:type="dxa"/>
            <w:vAlign w:val="center"/>
          </w:tcPr>
          <w:p>
            <w:pPr>
              <w:tabs>
                <w:tab w:val="left" w:pos="720"/>
              </w:tabs>
              <w:spacing w:line="360" w:lineRule="auto"/>
              <w:jc w:val="center"/>
              <w:rPr>
                <w:rFonts w:ascii="宋体" w:hAnsi="宋体"/>
                <w:color w:val="auto"/>
                <w:szCs w:val="21"/>
                <w:highlight w:val="none"/>
              </w:rPr>
            </w:pPr>
          </w:p>
        </w:tc>
        <w:tc>
          <w:tcPr>
            <w:tcW w:w="2300" w:type="dxa"/>
            <w:vAlign w:val="center"/>
          </w:tcPr>
          <w:p>
            <w:pPr>
              <w:tabs>
                <w:tab w:val="left" w:pos="720"/>
              </w:tabs>
              <w:spacing w:line="360" w:lineRule="auto"/>
              <w:jc w:val="center"/>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tabs>
                <w:tab w:val="left" w:pos="720"/>
              </w:tabs>
              <w:spacing w:line="360" w:lineRule="auto"/>
              <w:jc w:val="center"/>
              <w:rPr>
                <w:rFonts w:ascii="宋体" w:hAnsi="宋体"/>
                <w:color w:val="auto"/>
                <w:szCs w:val="21"/>
                <w:highlight w:val="none"/>
              </w:rPr>
            </w:pPr>
          </w:p>
        </w:tc>
        <w:tc>
          <w:tcPr>
            <w:tcW w:w="3038" w:type="dxa"/>
            <w:vAlign w:val="center"/>
          </w:tcPr>
          <w:p>
            <w:pPr>
              <w:tabs>
                <w:tab w:val="left" w:pos="720"/>
              </w:tabs>
              <w:spacing w:line="360" w:lineRule="auto"/>
              <w:jc w:val="center"/>
              <w:rPr>
                <w:rFonts w:ascii="宋体" w:hAnsi="宋体"/>
                <w:color w:val="auto"/>
                <w:szCs w:val="21"/>
                <w:highlight w:val="none"/>
              </w:rPr>
            </w:pPr>
          </w:p>
        </w:tc>
        <w:tc>
          <w:tcPr>
            <w:tcW w:w="2246" w:type="dxa"/>
            <w:vAlign w:val="center"/>
          </w:tcPr>
          <w:p>
            <w:pPr>
              <w:tabs>
                <w:tab w:val="left" w:pos="720"/>
              </w:tabs>
              <w:spacing w:line="360" w:lineRule="auto"/>
              <w:jc w:val="center"/>
              <w:rPr>
                <w:rFonts w:ascii="宋体" w:hAnsi="宋体"/>
                <w:color w:val="auto"/>
                <w:szCs w:val="21"/>
                <w:highlight w:val="none"/>
              </w:rPr>
            </w:pPr>
          </w:p>
        </w:tc>
        <w:tc>
          <w:tcPr>
            <w:tcW w:w="2300" w:type="dxa"/>
            <w:vAlign w:val="center"/>
          </w:tcPr>
          <w:p>
            <w:pPr>
              <w:tabs>
                <w:tab w:val="left" w:pos="720"/>
              </w:tabs>
              <w:spacing w:line="360" w:lineRule="auto"/>
              <w:jc w:val="center"/>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tabs>
                <w:tab w:val="left" w:pos="720"/>
              </w:tabs>
              <w:spacing w:line="360" w:lineRule="auto"/>
              <w:jc w:val="center"/>
              <w:rPr>
                <w:rFonts w:ascii="宋体" w:hAnsi="宋体"/>
                <w:color w:val="auto"/>
                <w:szCs w:val="21"/>
                <w:highlight w:val="none"/>
              </w:rPr>
            </w:pPr>
          </w:p>
        </w:tc>
        <w:tc>
          <w:tcPr>
            <w:tcW w:w="3038" w:type="dxa"/>
            <w:vAlign w:val="center"/>
          </w:tcPr>
          <w:p>
            <w:pPr>
              <w:tabs>
                <w:tab w:val="left" w:pos="720"/>
              </w:tabs>
              <w:spacing w:line="360" w:lineRule="auto"/>
              <w:jc w:val="center"/>
              <w:rPr>
                <w:rFonts w:ascii="宋体" w:hAnsi="宋体"/>
                <w:color w:val="auto"/>
                <w:szCs w:val="21"/>
                <w:highlight w:val="none"/>
              </w:rPr>
            </w:pPr>
          </w:p>
        </w:tc>
        <w:tc>
          <w:tcPr>
            <w:tcW w:w="2246" w:type="dxa"/>
            <w:vAlign w:val="center"/>
          </w:tcPr>
          <w:p>
            <w:pPr>
              <w:tabs>
                <w:tab w:val="left" w:pos="720"/>
              </w:tabs>
              <w:spacing w:line="360" w:lineRule="auto"/>
              <w:jc w:val="center"/>
              <w:rPr>
                <w:rFonts w:ascii="宋体" w:hAnsi="宋体"/>
                <w:color w:val="auto"/>
                <w:szCs w:val="21"/>
                <w:highlight w:val="none"/>
              </w:rPr>
            </w:pPr>
          </w:p>
        </w:tc>
        <w:tc>
          <w:tcPr>
            <w:tcW w:w="2300" w:type="dxa"/>
            <w:vAlign w:val="center"/>
          </w:tcPr>
          <w:p>
            <w:pPr>
              <w:tabs>
                <w:tab w:val="left" w:pos="720"/>
              </w:tabs>
              <w:spacing w:line="360" w:lineRule="auto"/>
              <w:jc w:val="center"/>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tabs>
                <w:tab w:val="left" w:pos="720"/>
              </w:tabs>
              <w:spacing w:line="360" w:lineRule="auto"/>
              <w:jc w:val="center"/>
              <w:rPr>
                <w:rFonts w:ascii="宋体" w:hAnsi="宋体"/>
                <w:color w:val="auto"/>
                <w:szCs w:val="21"/>
                <w:highlight w:val="none"/>
              </w:rPr>
            </w:pPr>
          </w:p>
        </w:tc>
        <w:tc>
          <w:tcPr>
            <w:tcW w:w="3038" w:type="dxa"/>
            <w:vAlign w:val="center"/>
          </w:tcPr>
          <w:p>
            <w:pPr>
              <w:tabs>
                <w:tab w:val="left" w:pos="720"/>
              </w:tabs>
              <w:spacing w:line="360" w:lineRule="auto"/>
              <w:jc w:val="center"/>
              <w:rPr>
                <w:rFonts w:ascii="宋体" w:hAnsi="宋体"/>
                <w:color w:val="auto"/>
                <w:szCs w:val="21"/>
                <w:highlight w:val="none"/>
              </w:rPr>
            </w:pPr>
          </w:p>
        </w:tc>
        <w:tc>
          <w:tcPr>
            <w:tcW w:w="2246" w:type="dxa"/>
            <w:vAlign w:val="center"/>
          </w:tcPr>
          <w:p>
            <w:pPr>
              <w:tabs>
                <w:tab w:val="left" w:pos="720"/>
              </w:tabs>
              <w:spacing w:line="360" w:lineRule="auto"/>
              <w:jc w:val="center"/>
              <w:rPr>
                <w:rFonts w:ascii="宋体" w:hAnsi="宋体"/>
                <w:color w:val="auto"/>
                <w:szCs w:val="21"/>
                <w:highlight w:val="none"/>
              </w:rPr>
            </w:pPr>
          </w:p>
        </w:tc>
        <w:tc>
          <w:tcPr>
            <w:tcW w:w="2300" w:type="dxa"/>
            <w:vAlign w:val="center"/>
          </w:tcPr>
          <w:p>
            <w:pPr>
              <w:tabs>
                <w:tab w:val="left" w:pos="720"/>
              </w:tabs>
              <w:spacing w:line="360" w:lineRule="auto"/>
              <w:jc w:val="center"/>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tabs>
                <w:tab w:val="left" w:pos="720"/>
              </w:tabs>
              <w:spacing w:line="360" w:lineRule="auto"/>
              <w:jc w:val="center"/>
              <w:rPr>
                <w:rFonts w:ascii="宋体" w:hAnsi="宋体"/>
                <w:color w:val="auto"/>
                <w:szCs w:val="21"/>
                <w:highlight w:val="none"/>
              </w:rPr>
            </w:pPr>
          </w:p>
        </w:tc>
        <w:tc>
          <w:tcPr>
            <w:tcW w:w="3038" w:type="dxa"/>
            <w:vAlign w:val="center"/>
          </w:tcPr>
          <w:p>
            <w:pPr>
              <w:tabs>
                <w:tab w:val="left" w:pos="720"/>
              </w:tabs>
              <w:spacing w:line="360" w:lineRule="auto"/>
              <w:jc w:val="center"/>
              <w:rPr>
                <w:rFonts w:ascii="宋体" w:hAnsi="宋体"/>
                <w:color w:val="auto"/>
                <w:szCs w:val="21"/>
                <w:highlight w:val="none"/>
              </w:rPr>
            </w:pPr>
          </w:p>
        </w:tc>
        <w:tc>
          <w:tcPr>
            <w:tcW w:w="2246" w:type="dxa"/>
            <w:vAlign w:val="center"/>
          </w:tcPr>
          <w:p>
            <w:pPr>
              <w:tabs>
                <w:tab w:val="left" w:pos="720"/>
              </w:tabs>
              <w:spacing w:line="360" w:lineRule="auto"/>
              <w:jc w:val="center"/>
              <w:rPr>
                <w:rFonts w:ascii="宋体" w:hAnsi="宋体"/>
                <w:color w:val="auto"/>
                <w:szCs w:val="21"/>
                <w:highlight w:val="none"/>
              </w:rPr>
            </w:pPr>
          </w:p>
        </w:tc>
        <w:tc>
          <w:tcPr>
            <w:tcW w:w="2300" w:type="dxa"/>
            <w:vAlign w:val="center"/>
          </w:tcPr>
          <w:p>
            <w:pPr>
              <w:tabs>
                <w:tab w:val="left" w:pos="720"/>
              </w:tabs>
              <w:spacing w:line="360" w:lineRule="auto"/>
              <w:jc w:val="center"/>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tabs>
                <w:tab w:val="left" w:pos="720"/>
              </w:tabs>
              <w:spacing w:line="360" w:lineRule="auto"/>
              <w:jc w:val="center"/>
              <w:rPr>
                <w:rFonts w:ascii="宋体" w:hAnsi="宋体"/>
                <w:color w:val="auto"/>
                <w:szCs w:val="21"/>
                <w:highlight w:val="none"/>
              </w:rPr>
            </w:pPr>
          </w:p>
        </w:tc>
        <w:tc>
          <w:tcPr>
            <w:tcW w:w="3038" w:type="dxa"/>
            <w:vAlign w:val="center"/>
          </w:tcPr>
          <w:p>
            <w:pPr>
              <w:tabs>
                <w:tab w:val="left" w:pos="720"/>
              </w:tabs>
              <w:spacing w:line="360" w:lineRule="auto"/>
              <w:jc w:val="center"/>
              <w:rPr>
                <w:rFonts w:ascii="宋体" w:hAnsi="宋体"/>
                <w:color w:val="auto"/>
                <w:szCs w:val="21"/>
                <w:highlight w:val="none"/>
              </w:rPr>
            </w:pPr>
          </w:p>
        </w:tc>
        <w:tc>
          <w:tcPr>
            <w:tcW w:w="2246" w:type="dxa"/>
            <w:vAlign w:val="center"/>
          </w:tcPr>
          <w:p>
            <w:pPr>
              <w:tabs>
                <w:tab w:val="left" w:pos="720"/>
              </w:tabs>
              <w:spacing w:line="360" w:lineRule="auto"/>
              <w:jc w:val="center"/>
              <w:rPr>
                <w:rFonts w:ascii="宋体" w:hAnsi="宋体"/>
                <w:color w:val="auto"/>
                <w:szCs w:val="21"/>
                <w:highlight w:val="none"/>
              </w:rPr>
            </w:pPr>
          </w:p>
        </w:tc>
        <w:tc>
          <w:tcPr>
            <w:tcW w:w="2300" w:type="dxa"/>
            <w:vAlign w:val="center"/>
          </w:tcPr>
          <w:p>
            <w:pPr>
              <w:tabs>
                <w:tab w:val="left" w:pos="720"/>
              </w:tabs>
              <w:spacing w:line="360" w:lineRule="auto"/>
              <w:jc w:val="center"/>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tabs>
                <w:tab w:val="left" w:pos="720"/>
              </w:tabs>
              <w:spacing w:line="360" w:lineRule="auto"/>
              <w:jc w:val="center"/>
              <w:rPr>
                <w:rFonts w:ascii="宋体" w:hAnsi="宋体"/>
                <w:color w:val="auto"/>
                <w:szCs w:val="21"/>
                <w:highlight w:val="none"/>
              </w:rPr>
            </w:pPr>
          </w:p>
        </w:tc>
        <w:tc>
          <w:tcPr>
            <w:tcW w:w="3038" w:type="dxa"/>
            <w:vAlign w:val="center"/>
          </w:tcPr>
          <w:p>
            <w:pPr>
              <w:tabs>
                <w:tab w:val="left" w:pos="720"/>
              </w:tabs>
              <w:spacing w:line="360" w:lineRule="auto"/>
              <w:jc w:val="center"/>
              <w:rPr>
                <w:rFonts w:ascii="宋体" w:hAnsi="宋体"/>
                <w:color w:val="auto"/>
                <w:szCs w:val="21"/>
                <w:highlight w:val="none"/>
              </w:rPr>
            </w:pPr>
          </w:p>
        </w:tc>
        <w:tc>
          <w:tcPr>
            <w:tcW w:w="2246" w:type="dxa"/>
            <w:vAlign w:val="center"/>
          </w:tcPr>
          <w:p>
            <w:pPr>
              <w:tabs>
                <w:tab w:val="left" w:pos="720"/>
              </w:tabs>
              <w:spacing w:line="360" w:lineRule="auto"/>
              <w:jc w:val="center"/>
              <w:rPr>
                <w:rFonts w:ascii="宋体" w:hAnsi="宋体"/>
                <w:color w:val="auto"/>
                <w:szCs w:val="21"/>
                <w:highlight w:val="none"/>
              </w:rPr>
            </w:pPr>
          </w:p>
        </w:tc>
        <w:tc>
          <w:tcPr>
            <w:tcW w:w="2300" w:type="dxa"/>
            <w:vAlign w:val="center"/>
          </w:tcPr>
          <w:p>
            <w:pPr>
              <w:tabs>
                <w:tab w:val="left" w:pos="720"/>
              </w:tabs>
              <w:spacing w:line="360" w:lineRule="auto"/>
              <w:jc w:val="center"/>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tabs>
                <w:tab w:val="left" w:pos="720"/>
              </w:tabs>
              <w:spacing w:line="360" w:lineRule="auto"/>
              <w:jc w:val="center"/>
              <w:rPr>
                <w:rFonts w:ascii="宋体" w:hAnsi="宋体"/>
                <w:color w:val="auto"/>
                <w:szCs w:val="21"/>
                <w:highlight w:val="none"/>
              </w:rPr>
            </w:pPr>
          </w:p>
        </w:tc>
        <w:tc>
          <w:tcPr>
            <w:tcW w:w="3038" w:type="dxa"/>
            <w:vAlign w:val="center"/>
          </w:tcPr>
          <w:p>
            <w:pPr>
              <w:tabs>
                <w:tab w:val="left" w:pos="720"/>
              </w:tabs>
              <w:spacing w:line="360" w:lineRule="auto"/>
              <w:jc w:val="center"/>
              <w:rPr>
                <w:rFonts w:ascii="宋体" w:hAnsi="宋体"/>
                <w:color w:val="auto"/>
                <w:szCs w:val="21"/>
                <w:highlight w:val="none"/>
              </w:rPr>
            </w:pPr>
          </w:p>
        </w:tc>
        <w:tc>
          <w:tcPr>
            <w:tcW w:w="2246" w:type="dxa"/>
            <w:vAlign w:val="center"/>
          </w:tcPr>
          <w:p>
            <w:pPr>
              <w:tabs>
                <w:tab w:val="left" w:pos="720"/>
              </w:tabs>
              <w:spacing w:line="360" w:lineRule="auto"/>
              <w:jc w:val="center"/>
              <w:rPr>
                <w:rFonts w:ascii="宋体" w:hAnsi="宋体"/>
                <w:color w:val="auto"/>
                <w:szCs w:val="21"/>
                <w:highlight w:val="none"/>
              </w:rPr>
            </w:pPr>
          </w:p>
        </w:tc>
        <w:tc>
          <w:tcPr>
            <w:tcW w:w="2300" w:type="dxa"/>
            <w:vAlign w:val="center"/>
          </w:tcPr>
          <w:p>
            <w:pPr>
              <w:tabs>
                <w:tab w:val="left" w:pos="720"/>
              </w:tabs>
              <w:spacing w:line="360" w:lineRule="auto"/>
              <w:jc w:val="center"/>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tabs>
                <w:tab w:val="left" w:pos="720"/>
              </w:tabs>
              <w:spacing w:line="360" w:lineRule="auto"/>
              <w:jc w:val="center"/>
              <w:rPr>
                <w:rFonts w:ascii="宋体" w:hAnsi="宋体"/>
                <w:color w:val="auto"/>
                <w:szCs w:val="21"/>
                <w:highlight w:val="none"/>
              </w:rPr>
            </w:pPr>
          </w:p>
        </w:tc>
        <w:tc>
          <w:tcPr>
            <w:tcW w:w="3038" w:type="dxa"/>
            <w:vAlign w:val="center"/>
          </w:tcPr>
          <w:p>
            <w:pPr>
              <w:tabs>
                <w:tab w:val="left" w:pos="720"/>
              </w:tabs>
              <w:spacing w:line="360" w:lineRule="auto"/>
              <w:jc w:val="center"/>
              <w:rPr>
                <w:rFonts w:ascii="宋体" w:hAnsi="宋体"/>
                <w:color w:val="auto"/>
                <w:szCs w:val="21"/>
                <w:highlight w:val="none"/>
              </w:rPr>
            </w:pPr>
          </w:p>
        </w:tc>
        <w:tc>
          <w:tcPr>
            <w:tcW w:w="2246" w:type="dxa"/>
            <w:vAlign w:val="center"/>
          </w:tcPr>
          <w:p>
            <w:pPr>
              <w:tabs>
                <w:tab w:val="left" w:pos="720"/>
              </w:tabs>
              <w:spacing w:line="360" w:lineRule="auto"/>
              <w:ind w:left="420"/>
              <w:jc w:val="center"/>
              <w:rPr>
                <w:rFonts w:ascii="宋体" w:hAnsi="宋体"/>
                <w:color w:val="auto"/>
                <w:szCs w:val="21"/>
                <w:highlight w:val="none"/>
              </w:rPr>
            </w:pPr>
          </w:p>
        </w:tc>
        <w:tc>
          <w:tcPr>
            <w:tcW w:w="2300" w:type="dxa"/>
            <w:vAlign w:val="center"/>
          </w:tcPr>
          <w:p>
            <w:pPr>
              <w:tabs>
                <w:tab w:val="left" w:pos="720"/>
              </w:tabs>
              <w:spacing w:line="360" w:lineRule="auto"/>
              <w:ind w:left="420"/>
              <w:jc w:val="center"/>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tabs>
                <w:tab w:val="left" w:pos="720"/>
              </w:tabs>
              <w:spacing w:line="360" w:lineRule="auto"/>
              <w:jc w:val="center"/>
              <w:rPr>
                <w:rFonts w:ascii="宋体" w:hAnsi="宋体"/>
                <w:color w:val="auto"/>
                <w:szCs w:val="21"/>
                <w:highlight w:val="none"/>
              </w:rPr>
            </w:pPr>
          </w:p>
        </w:tc>
        <w:tc>
          <w:tcPr>
            <w:tcW w:w="3038" w:type="dxa"/>
            <w:vAlign w:val="center"/>
          </w:tcPr>
          <w:p>
            <w:pPr>
              <w:tabs>
                <w:tab w:val="left" w:pos="720"/>
              </w:tabs>
              <w:spacing w:line="360" w:lineRule="auto"/>
              <w:jc w:val="center"/>
              <w:rPr>
                <w:rFonts w:ascii="宋体" w:hAnsi="宋体"/>
                <w:color w:val="auto"/>
                <w:szCs w:val="21"/>
                <w:highlight w:val="none"/>
              </w:rPr>
            </w:pPr>
          </w:p>
        </w:tc>
        <w:tc>
          <w:tcPr>
            <w:tcW w:w="2246" w:type="dxa"/>
            <w:vAlign w:val="center"/>
          </w:tcPr>
          <w:p>
            <w:pPr>
              <w:tabs>
                <w:tab w:val="left" w:pos="720"/>
              </w:tabs>
              <w:spacing w:line="360" w:lineRule="auto"/>
              <w:ind w:left="420"/>
              <w:jc w:val="center"/>
              <w:rPr>
                <w:rFonts w:ascii="宋体" w:hAnsi="宋体"/>
                <w:color w:val="auto"/>
                <w:szCs w:val="21"/>
                <w:highlight w:val="none"/>
              </w:rPr>
            </w:pPr>
          </w:p>
        </w:tc>
        <w:tc>
          <w:tcPr>
            <w:tcW w:w="2300" w:type="dxa"/>
            <w:vAlign w:val="center"/>
          </w:tcPr>
          <w:p>
            <w:pPr>
              <w:tabs>
                <w:tab w:val="left" w:pos="720"/>
              </w:tabs>
              <w:spacing w:line="360" w:lineRule="auto"/>
              <w:ind w:left="420"/>
              <w:jc w:val="center"/>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tabs>
                <w:tab w:val="left" w:pos="720"/>
              </w:tabs>
              <w:spacing w:line="360" w:lineRule="auto"/>
              <w:jc w:val="center"/>
              <w:rPr>
                <w:rFonts w:ascii="宋体" w:hAnsi="宋体"/>
                <w:color w:val="auto"/>
                <w:szCs w:val="21"/>
                <w:highlight w:val="none"/>
              </w:rPr>
            </w:pPr>
          </w:p>
        </w:tc>
        <w:tc>
          <w:tcPr>
            <w:tcW w:w="3038" w:type="dxa"/>
            <w:vAlign w:val="center"/>
          </w:tcPr>
          <w:p>
            <w:pPr>
              <w:tabs>
                <w:tab w:val="left" w:pos="720"/>
              </w:tabs>
              <w:spacing w:line="360" w:lineRule="auto"/>
              <w:jc w:val="center"/>
              <w:rPr>
                <w:rFonts w:ascii="宋体" w:hAnsi="宋体"/>
                <w:color w:val="auto"/>
                <w:szCs w:val="21"/>
                <w:highlight w:val="none"/>
              </w:rPr>
            </w:pPr>
          </w:p>
        </w:tc>
        <w:tc>
          <w:tcPr>
            <w:tcW w:w="2246" w:type="dxa"/>
            <w:vAlign w:val="center"/>
          </w:tcPr>
          <w:p>
            <w:pPr>
              <w:tabs>
                <w:tab w:val="left" w:pos="720"/>
              </w:tabs>
              <w:spacing w:line="360" w:lineRule="auto"/>
              <w:jc w:val="center"/>
              <w:rPr>
                <w:rFonts w:ascii="宋体" w:hAnsi="宋体"/>
                <w:color w:val="auto"/>
                <w:szCs w:val="21"/>
                <w:highlight w:val="none"/>
              </w:rPr>
            </w:pPr>
          </w:p>
        </w:tc>
        <w:tc>
          <w:tcPr>
            <w:tcW w:w="2300" w:type="dxa"/>
            <w:vAlign w:val="center"/>
          </w:tcPr>
          <w:p>
            <w:pPr>
              <w:tabs>
                <w:tab w:val="left" w:pos="720"/>
              </w:tabs>
              <w:spacing w:line="360" w:lineRule="auto"/>
              <w:jc w:val="center"/>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tabs>
                <w:tab w:val="left" w:pos="720"/>
              </w:tabs>
              <w:spacing w:line="360" w:lineRule="auto"/>
              <w:jc w:val="center"/>
              <w:rPr>
                <w:rFonts w:ascii="宋体" w:hAnsi="宋体"/>
                <w:color w:val="auto"/>
                <w:szCs w:val="21"/>
                <w:highlight w:val="none"/>
              </w:rPr>
            </w:pPr>
          </w:p>
        </w:tc>
        <w:tc>
          <w:tcPr>
            <w:tcW w:w="3038" w:type="dxa"/>
            <w:vAlign w:val="center"/>
          </w:tcPr>
          <w:p>
            <w:pPr>
              <w:tabs>
                <w:tab w:val="left" w:pos="720"/>
              </w:tabs>
              <w:spacing w:line="360" w:lineRule="auto"/>
              <w:jc w:val="center"/>
              <w:rPr>
                <w:rFonts w:ascii="宋体" w:hAnsi="宋体"/>
                <w:color w:val="auto"/>
                <w:szCs w:val="21"/>
                <w:highlight w:val="none"/>
              </w:rPr>
            </w:pPr>
          </w:p>
        </w:tc>
        <w:tc>
          <w:tcPr>
            <w:tcW w:w="2246" w:type="dxa"/>
            <w:vAlign w:val="center"/>
          </w:tcPr>
          <w:p>
            <w:pPr>
              <w:tabs>
                <w:tab w:val="left" w:pos="720"/>
              </w:tabs>
              <w:spacing w:line="360" w:lineRule="auto"/>
              <w:jc w:val="center"/>
              <w:rPr>
                <w:rFonts w:ascii="宋体" w:hAnsi="宋体"/>
                <w:color w:val="auto"/>
                <w:szCs w:val="21"/>
                <w:highlight w:val="none"/>
              </w:rPr>
            </w:pPr>
          </w:p>
        </w:tc>
        <w:tc>
          <w:tcPr>
            <w:tcW w:w="2300" w:type="dxa"/>
            <w:vAlign w:val="center"/>
          </w:tcPr>
          <w:p>
            <w:pPr>
              <w:tabs>
                <w:tab w:val="left" w:pos="720"/>
              </w:tabs>
              <w:spacing w:line="360" w:lineRule="auto"/>
              <w:jc w:val="center"/>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491" w:type="dxa"/>
            <w:vAlign w:val="center"/>
          </w:tcPr>
          <w:p>
            <w:pPr>
              <w:tabs>
                <w:tab w:val="left" w:pos="720"/>
              </w:tabs>
              <w:spacing w:line="360" w:lineRule="auto"/>
              <w:jc w:val="center"/>
              <w:rPr>
                <w:rFonts w:ascii="宋体" w:hAnsi="宋体"/>
                <w:color w:val="auto"/>
                <w:szCs w:val="21"/>
                <w:highlight w:val="none"/>
              </w:rPr>
            </w:pPr>
          </w:p>
        </w:tc>
        <w:tc>
          <w:tcPr>
            <w:tcW w:w="3038" w:type="dxa"/>
            <w:vAlign w:val="center"/>
          </w:tcPr>
          <w:p>
            <w:pPr>
              <w:tabs>
                <w:tab w:val="left" w:pos="720"/>
              </w:tabs>
              <w:spacing w:line="360" w:lineRule="auto"/>
              <w:jc w:val="center"/>
              <w:rPr>
                <w:rFonts w:ascii="宋体" w:hAnsi="宋体"/>
                <w:color w:val="auto"/>
                <w:szCs w:val="21"/>
                <w:highlight w:val="none"/>
              </w:rPr>
            </w:pPr>
          </w:p>
        </w:tc>
        <w:tc>
          <w:tcPr>
            <w:tcW w:w="2246" w:type="dxa"/>
            <w:vAlign w:val="center"/>
          </w:tcPr>
          <w:p>
            <w:pPr>
              <w:tabs>
                <w:tab w:val="left" w:pos="720"/>
              </w:tabs>
              <w:spacing w:line="360" w:lineRule="auto"/>
              <w:jc w:val="center"/>
              <w:rPr>
                <w:rFonts w:ascii="宋体" w:hAnsi="宋体"/>
                <w:color w:val="auto"/>
                <w:szCs w:val="21"/>
                <w:highlight w:val="none"/>
              </w:rPr>
            </w:pPr>
          </w:p>
        </w:tc>
        <w:tc>
          <w:tcPr>
            <w:tcW w:w="2300" w:type="dxa"/>
            <w:vAlign w:val="center"/>
          </w:tcPr>
          <w:p>
            <w:pPr>
              <w:tabs>
                <w:tab w:val="left" w:pos="720"/>
              </w:tabs>
              <w:spacing w:line="360" w:lineRule="auto"/>
              <w:jc w:val="center"/>
              <w:rPr>
                <w:rFonts w:ascii="宋体" w:hAnsi="宋体"/>
                <w:color w:val="auto"/>
                <w:szCs w:val="21"/>
                <w:highlight w:val="none"/>
              </w:rPr>
            </w:pPr>
          </w:p>
        </w:tc>
      </w:tr>
    </w:tbl>
    <w:p>
      <w:pPr>
        <w:jc w:val="left"/>
        <w:rPr>
          <w:rFonts w:ascii="宋体" w:hAnsi="宋体"/>
          <w:color w:val="auto"/>
          <w:szCs w:val="21"/>
          <w:highlight w:val="none"/>
        </w:rPr>
      </w:pPr>
    </w:p>
    <w:bookmarkEnd w:id="606"/>
    <w:bookmarkEnd w:id="607"/>
    <w:bookmarkEnd w:id="608"/>
    <w:p>
      <w:pPr>
        <w:pStyle w:val="35"/>
        <w:tabs>
          <w:tab w:val="left" w:pos="588"/>
        </w:tabs>
        <w:snapToGrid w:val="0"/>
        <w:spacing w:before="120" w:after="120" w:line="440" w:lineRule="exact"/>
        <w:jc w:val="both"/>
        <w:rPr>
          <w:rFonts w:ascii="宋体" w:hAnsi="宋体"/>
          <w:color w:val="auto"/>
          <w:sz w:val="21"/>
          <w:szCs w:val="21"/>
          <w:highlight w:val="none"/>
        </w:rPr>
        <w:sectPr>
          <w:pgSz w:w="11906" w:h="16838"/>
          <w:pgMar w:top="1440" w:right="1800" w:bottom="1440" w:left="1800" w:header="851" w:footer="992" w:gutter="0"/>
          <w:cols w:space="425" w:num="1"/>
          <w:docGrid w:type="lines" w:linePitch="312" w:charSpace="0"/>
        </w:sectPr>
      </w:pP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615" w:name="_Toc15915"/>
      <w:bookmarkStart w:id="616" w:name="_Toc17203558"/>
      <w:bookmarkStart w:id="617" w:name="_Toc488002677"/>
      <w:bookmarkStart w:id="618" w:name="_Toc17203043"/>
      <w:bookmarkStart w:id="619" w:name="_Toc17202836"/>
      <w:bookmarkStart w:id="620" w:name="_Toc475891555"/>
      <w:bookmarkStart w:id="621" w:name="_Toc476245699"/>
      <w:bookmarkStart w:id="622" w:name="_Toc438052120"/>
      <w:bookmarkStart w:id="623" w:name="_Toc475472672"/>
      <w:r>
        <w:rPr>
          <w:rFonts w:hint="eastAsia" w:ascii="宋体" w:hAnsi="宋体"/>
          <w:color w:val="auto"/>
          <w:sz w:val="28"/>
          <w:szCs w:val="24"/>
          <w:highlight w:val="none"/>
        </w:rPr>
        <w:t>专用印章授权函（如有）</w:t>
      </w:r>
      <w:bookmarkEnd w:id="615"/>
      <w:bookmarkEnd w:id="616"/>
      <w:bookmarkEnd w:id="617"/>
      <w:bookmarkEnd w:id="618"/>
      <w:bookmarkEnd w:id="619"/>
    </w:p>
    <w:bookmarkEnd w:id="620"/>
    <w:bookmarkEnd w:id="621"/>
    <w:p>
      <w:pPr>
        <w:spacing w:line="400" w:lineRule="exact"/>
        <w:jc w:val="center"/>
        <w:rPr>
          <w:rFonts w:ascii="宋体" w:hAnsi="宋体"/>
          <w:b/>
          <w:color w:val="auto"/>
          <w:sz w:val="24"/>
          <w:highlight w:val="none"/>
        </w:rPr>
      </w:pPr>
    </w:p>
    <w:p>
      <w:pPr>
        <w:spacing w:line="400" w:lineRule="exact"/>
        <w:jc w:val="center"/>
        <w:rPr>
          <w:rFonts w:ascii="宋体" w:hAnsi="宋体"/>
          <w:b/>
          <w:color w:val="auto"/>
          <w:sz w:val="24"/>
          <w:highlight w:val="none"/>
        </w:rPr>
      </w:pPr>
      <w:r>
        <w:rPr>
          <w:rFonts w:hint="eastAsia" w:ascii="宋体" w:hAnsi="宋体"/>
          <w:b/>
          <w:color w:val="auto"/>
          <w:sz w:val="24"/>
          <w:highlight w:val="none"/>
        </w:rPr>
        <w:t>专用印章授权函</w:t>
      </w:r>
    </w:p>
    <w:p>
      <w:pPr>
        <w:spacing w:line="400" w:lineRule="exact"/>
        <w:jc w:val="center"/>
        <w:rPr>
          <w:rFonts w:hAnsi="宋体"/>
          <w:color w:val="auto"/>
          <w:szCs w:val="21"/>
          <w:highlight w:val="none"/>
          <w:u w:val="single"/>
        </w:rPr>
      </w:pPr>
    </w:p>
    <w:p>
      <w:pPr>
        <w:spacing w:line="360" w:lineRule="auto"/>
        <w:rPr>
          <w:rFonts w:asciiTheme="minorEastAsia" w:hAnsiTheme="minorEastAsia" w:eastAsiaTheme="minorEastAsia"/>
          <w:color w:val="auto"/>
          <w:szCs w:val="21"/>
          <w:highlight w:val="none"/>
        </w:rPr>
      </w:pPr>
      <w:r>
        <w:rPr>
          <w:rFonts w:hint="eastAsia" w:asciiTheme="minorEastAsia" w:hAnsiTheme="minorEastAsia" w:eastAsiaTheme="minorEastAsia"/>
          <w:color w:val="auto"/>
          <w:szCs w:val="21"/>
          <w:highlight w:val="none"/>
          <w:u w:val="single"/>
        </w:rPr>
        <w:t xml:space="preserve">         （比选人）</w:t>
      </w:r>
      <w:r>
        <w:rPr>
          <w:rFonts w:hint="eastAsia" w:asciiTheme="minorEastAsia" w:hAnsiTheme="minorEastAsia" w:eastAsiaTheme="minorEastAsia"/>
          <w:color w:val="auto"/>
          <w:szCs w:val="21"/>
          <w:highlight w:val="none"/>
        </w:rPr>
        <w:t>：</w:t>
      </w:r>
    </w:p>
    <w:p>
      <w:pPr>
        <w:spacing w:line="360" w:lineRule="auto"/>
        <w:rPr>
          <w:rFonts w:ascii="仿宋_GB2312" w:hAnsi="宋体" w:eastAsia="仿宋_GB2312"/>
          <w:color w:val="auto"/>
          <w:sz w:val="24"/>
          <w:highlight w:val="none"/>
        </w:rPr>
      </w:pPr>
    </w:p>
    <w:p>
      <w:pPr>
        <w:spacing w:line="360" w:lineRule="auto"/>
        <w:ind w:firstLine="420" w:firstLineChars="200"/>
        <w:jc w:val="left"/>
        <w:rPr>
          <w:rFonts w:hAnsi="宋体"/>
          <w:color w:val="auto"/>
          <w:szCs w:val="21"/>
          <w:highlight w:val="none"/>
        </w:rPr>
      </w:pPr>
      <w:r>
        <w:rPr>
          <w:rFonts w:hint="eastAsia" w:hAnsi="宋体"/>
          <w:color w:val="auto"/>
          <w:szCs w:val="21"/>
          <w:highlight w:val="none"/>
        </w:rPr>
        <w:t>我单位特授权在</w:t>
      </w:r>
      <w:r>
        <w:rPr>
          <w:rFonts w:hAnsi="宋体"/>
          <w:color w:val="auto"/>
          <w:szCs w:val="21"/>
          <w:highlight w:val="none"/>
          <w:u w:val="single"/>
        </w:rPr>
        <w:t xml:space="preserve">      </w:t>
      </w:r>
      <w:r>
        <w:rPr>
          <w:rFonts w:hint="eastAsia" w:hAnsi="宋体"/>
          <w:color w:val="auto"/>
          <w:szCs w:val="21"/>
          <w:highlight w:val="none"/>
          <w:u w:val="single"/>
        </w:rPr>
        <w:t>（比选项目名称）</w:t>
      </w:r>
      <w:r>
        <w:rPr>
          <w:rFonts w:hint="eastAsia" w:hAnsi="宋体"/>
          <w:color w:val="auto"/>
          <w:szCs w:val="21"/>
          <w:highlight w:val="none"/>
        </w:rPr>
        <w:t>的参选活动中使用“</w:t>
      </w:r>
      <w:r>
        <w:rPr>
          <w:rFonts w:hAnsi="宋体"/>
          <w:color w:val="auto"/>
          <w:szCs w:val="21"/>
          <w:highlight w:val="none"/>
          <w:u w:val="single"/>
        </w:rPr>
        <w:t xml:space="preserve">        </w:t>
      </w:r>
      <w:r>
        <w:rPr>
          <w:rFonts w:hint="eastAsia" w:hAnsi="宋体"/>
          <w:color w:val="auto"/>
          <w:szCs w:val="21"/>
          <w:highlight w:val="none"/>
          <w:u w:val="single"/>
        </w:rPr>
        <w:t>（被授权印章名称）</w:t>
      </w:r>
      <w:r>
        <w:rPr>
          <w:rFonts w:hint="eastAsia" w:hAnsi="宋体"/>
          <w:color w:val="auto"/>
          <w:szCs w:val="21"/>
          <w:highlight w:val="none"/>
        </w:rPr>
        <w:t>”，</w:t>
      </w:r>
      <w:r>
        <w:rPr>
          <w:rFonts w:hAnsi="宋体"/>
          <w:color w:val="auto"/>
          <w:szCs w:val="21"/>
          <w:highlight w:val="none"/>
          <w:u w:val="single"/>
        </w:rPr>
        <w:t xml:space="preserve">       </w:t>
      </w:r>
      <w:r>
        <w:rPr>
          <w:rFonts w:hint="eastAsia" w:hAnsi="宋体"/>
          <w:color w:val="auto"/>
          <w:szCs w:val="21"/>
          <w:highlight w:val="none"/>
          <w:u w:val="single"/>
        </w:rPr>
        <w:t>（被授权印章名称）</w:t>
      </w:r>
      <w:r>
        <w:rPr>
          <w:rFonts w:hint="eastAsia" w:ascii="宋体" w:hAnsi="宋体"/>
          <w:b/>
          <w:color w:val="auto"/>
          <w:szCs w:val="21"/>
          <w:highlight w:val="none"/>
        </w:rPr>
        <w:t>依照国家行政部门要求已备案，与</w:t>
      </w:r>
      <w:r>
        <w:rPr>
          <w:rFonts w:hint="eastAsia" w:hAnsi="宋体"/>
          <w:color w:val="auto"/>
          <w:szCs w:val="21"/>
          <w:highlight w:val="none"/>
        </w:rPr>
        <w:t>我公司公章具有同等法律效力。因使用“</w:t>
      </w:r>
      <w:r>
        <w:rPr>
          <w:rFonts w:hAnsi="宋体"/>
          <w:color w:val="auto"/>
          <w:szCs w:val="21"/>
          <w:highlight w:val="none"/>
          <w:u w:val="single"/>
        </w:rPr>
        <w:t xml:space="preserve">        </w:t>
      </w:r>
      <w:r>
        <w:rPr>
          <w:rFonts w:hint="eastAsia" w:hAnsi="宋体"/>
          <w:color w:val="auto"/>
          <w:szCs w:val="21"/>
          <w:highlight w:val="none"/>
          <w:u w:val="single"/>
        </w:rPr>
        <w:t>（被授权印章名称）</w:t>
      </w:r>
      <w:r>
        <w:rPr>
          <w:rFonts w:hint="eastAsia" w:hAnsi="宋体"/>
          <w:color w:val="auto"/>
          <w:szCs w:val="21"/>
          <w:highlight w:val="none"/>
        </w:rPr>
        <w:t>”所引起的法律后果由我单位承担。</w:t>
      </w:r>
    </w:p>
    <w:p>
      <w:pPr>
        <w:spacing w:line="360" w:lineRule="auto"/>
        <w:ind w:firstLine="420" w:firstLineChars="200"/>
        <w:jc w:val="left"/>
        <w:rPr>
          <w:rFonts w:hAnsi="宋体"/>
          <w:color w:val="auto"/>
          <w:szCs w:val="21"/>
          <w:highlight w:val="none"/>
        </w:rPr>
      </w:pPr>
    </w:p>
    <w:p>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特此证明。</w:t>
      </w:r>
    </w:p>
    <w:p>
      <w:pPr>
        <w:ind w:firstLine="422" w:firstLineChars="200"/>
        <w:rPr>
          <w:rFonts w:ascii="宋体" w:hAnsi="宋体"/>
          <w:b/>
          <w:color w:val="auto"/>
          <w:szCs w:val="21"/>
          <w:highlight w:val="none"/>
        </w:rPr>
      </w:pPr>
    </w:p>
    <w:p>
      <w:pPr>
        <w:ind w:firstLine="422" w:firstLineChars="200"/>
        <w:rPr>
          <w:rFonts w:ascii="宋体" w:hAnsi="宋体"/>
          <w:b/>
          <w:color w:val="auto"/>
          <w:szCs w:val="21"/>
          <w:highlight w:val="none"/>
        </w:rPr>
      </w:pPr>
    </w:p>
    <w:p>
      <w:pPr>
        <w:ind w:firstLine="420" w:firstLineChars="200"/>
        <w:rPr>
          <w:rFonts w:ascii="宋体" w:hAnsi="宋体"/>
          <w:color w:val="auto"/>
          <w:szCs w:val="21"/>
          <w:highlight w:val="none"/>
        </w:rPr>
      </w:pPr>
      <w:r>
        <w:rPr>
          <w:rFonts w:hint="eastAsia" w:ascii="宋体" w:hAnsi="宋体"/>
          <w:color w:val="auto"/>
          <w:szCs w:val="21"/>
          <w:highlight w:val="none"/>
        </w:rPr>
        <w:t xml:space="preserve">被授权印章：                            </w:t>
      </w:r>
    </w:p>
    <w:p>
      <w:pPr>
        <w:rPr>
          <w:rFonts w:ascii="宋体" w:hAnsi="宋体"/>
          <w:color w:val="auto"/>
          <w:szCs w:val="21"/>
          <w:highlight w:val="none"/>
        </w:rPr>
      </w:pPr>
      <w:r>
        <w:rPr>
          <w:color w:val="auto"/>
          <w:highlight w:val="none"/>
        </w:rPr>
        <w:pict>
          <v:rect id="_x0000_s1026" o:spid="_x0000_s1026" o:spt="1" style="position:absolute;left:0pt;margin-left:16.5pt;margin-top:7.05pt;height:124.8pt;width:162pt;z-index:251663360;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">
            <v:path/>
            <v:fill focussize="0,0"/>
            <v:stroke/>
            <v:imagedata o:title=""/>
            <o:lock v:ext="edit"/>
            <v:textbox>
              <w:txbxContent>
                <w:p>
                  <w:r>
                    <w:rPr>
                      <w:rFonts w:hint="eastAsia"/>
                    </w:rPr>
                    <w:t>（在此盖章）</w:t>
                  </w:r>
                </w:p>
              </w:txbxContent>
            </v:textbox>
          </v:rect>
        </w:pict>
      </w:r>
    </w:p>
    <w:p>
      <w:pPr>
        <w:rPr>
          <w:rFonts w:ascii="宋体" w:hAnsi="宋体"/>
          <w:color w:val="auto"/>
          <w:szCs w:val="21"/>
          <w:highlight w:val="none"/>
        </w:rPr>
      </w:pPr>
    </w:p>
    <w:p>
      <w:pPr>
        <w:rPr>
          <w:rFonts w:ascii="宋体" w:hAnsi="宋体"/>
          <w:color w:val="auto"/>
          <w:szCs w:val="21"/>
          <w:highlight w:val="none"/>
        </w:rPr>
      </w:pPr>
    </w:p>
    <w:p>
      <w:pPr>
        <w:rPr>
          <w:rFonts w:ascii="宋体" w:hAnsi="宋体"/>
          <w:color w:val="auto"/>
          <w:szCs w:val="21"/>
          <w:highlight w:val="none"/>
        </w:rPr>
      </w:pPr>
    </w:p>
    <w:p>
      <w:pPr>
        <w:rPr>
          <w:rFonts w:ascii="宋体" w:hAnsi="宋体"/>
          <w:color w:val="auto"/>
          <w:szCs w:val="21"/>
          <w:highlight w:val="none"/>
        </w:rPr>
      </w:pPr>
    </w:p>
    <w:p>
      <w:pPr>
        <w:ind w:firstLine="1259" w:firstLineChars="597"/>
        <w:rPr>
          <w:rFonts w:ascii="宋体" w:hAnsi="宋体"/>
          <w:b/>
          <w:color w:val="auto"/>
          <w:szCs w:val="21"/>
          <w:highlight w:val="none"/>
        </w:rPr>
      </w:pPr>
    </w:p>
    <w:p>
      <w:pPr>
        <w:ind w:right="18" w:firstLine="4676" w:firstLineChars="2227"/>
        <w:rPr>
          <w:rFonts w:ascii="宋体" w:hAnsi="宋体"/>
          <w:color w:val="auto"/>
          <w:szCs w:val="21"/>
          <w:highlight w:val="none"/>
        </w:rPr>
      </w:pPr>
    </w:p>
    <w:p>
      <w:pPr>
        <w:ind w:right="18" w:firstLine="4676" w:firstLineChars="2227"/>
        <w:rPr>
          <w:rFonts w:ascii="宋体" w:hAnsi="宋体"/>
          <w:color w:val="auto"/>
          <w:szCs w:val="21"/>
          <w:highlight w:val="none"/>
        </w:rPr>
      </w:pPr>
    </w:p>
    <w:p>
      <w:pPr>
        <w:ind w:right="18" w:firstLine="4676" w:firstLineChars="2227"/>
        <w:rPr>
          <w:rFonts w:ascii="宋体" w:hAnsi="宋体"/>
          <w:color w:val="auto"/>
          <w:szCs w:val="21"/>
          <w:highlight w:val="none"/>
        </w:rPr>
      </w:pPr>
    </w:p>
    <w:p>
      <w:pPr>
        <w:ind w:right="18" w:firstLine="282" w:firstLineChars="134"/>
        <w:jc w:val="left"/>
        <w:rPr>
          <w:rFonts w:ascii="宋体" w:hAnsi="宋体"/>
          <w:color w:val="auto"/>
          <w:szCs w:val="21"/>
          <w:highlight w:val="none"/>
        </w:rPr>
      </w:pPr>
      <w:r>
        <w:rPr>
          <w:rFonts w:hint="eastAsia" w:ascii="宋体" w:hAnsi="宋体"/>
          <w:b/>
          <w:color w:val="auto"/>
          <w:szCs w:val="21"/>
          <w:highlight w:val="none"/>
        </w:rPr>
        <w:t>※提供所使用印章（被授权印章）的合法备案证明（复印件需加盖公章）。</w:t>
      </w:r>
    </w:p>
    <w:p>
      <w:pPr>
        <w:ind w:right="18" w:firstLine="4676" w:firstLineChars="2227"/>
        <w:rPr>
          <w:rFonts w:ascii="宋体" w:hAnsi="宋体"/>
          <w:color w:val="auto"/>
          <w:szCs w:val="21"/>
          <w:highlight w:val="none"/>
        </w:rPr>
      </w:pPr>
    </w:p>
    <w:p>
      <w:pPr>
        <w:ind w:right="18" w:firstLine="4676" w:firstLineChars="2227"/>
        <w:rPr>
          <w:rFonts w:ascii="宋体" w:hAnsi="宋体"/>
          <w:color w:val="auto"/>
          <w:szCs w:val="21"/>
          <w:highlight w:val="none"/>
        </w:rPr>
      </w:pPr>
    </w:p>
    <w:p>
      <w:pPr>
        <w:ind w:right="18"/>
        <w:rPr>
          <w:rFonts w:ascii="宋体" w:hAnsi="宋体"/>
          <w:color w:val="auto"/>
          <w:szCs w:val="21"/>
          <w:highlight w:val="none"/>
        </w:rPr>
      </w:pPr>
      <w:r>
        <w:rPr>
          <w:rFonts w:hint="eastAsia" w:ascii="宋体" w:hAnsi="宋体"/>
          <w:color w:val="auto"/>
          <w:szCs w:val="21"/>
          <w:highlight w:val="none"/>
        </w:rPr>
        <w:t xml:space="preserve">                           参选人名称：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（盖单位公章）</w:t>
      </w:r>
    </w:p>
    <w:p>
      <w:pPr>
        <w:spacing w:line="440" w:lineRule="exact"/>
        <w:ind w:firstLine="2835" w:firstLineChars="1350"/>
        <w:rPr>
          <w:rFonts w:ascii="宋体" w:hAnsi="宋体"/>
          <w:color w:val="auto"/>
          <w:szCs w:val="21"/>
          <w:highlight w:val="none"/>
        </w:rPr>
      </w:pPr>
      <w:r>
        <w:rPr>
          <w:rFonts w:hint="eastAsia" w:ascii="宋体" w:hAnsi="宋体"/>
          <w:color w:val="auto"/>
          <w:szCs w:val="21"/>
          <w:highlight w:val="none"/>
        </w:rPr>
        <w:t>法定代表人（负责人）：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pPr>
        <w:spacing w:line="440" w:lineRule="exact"/>
        <w:ind w:firstLine="2835" w:firstLineChars="1350"/>
        <w:rPr>
          <w:rFonts w:ascii="宋体" w:hAnsi="宋体"/>
          <w:color w:val="auto"/>
          <w:szCs w:val="21"/>
          <w:highlight w:val="none"/>
        </w:rPr>
      </w:pPr>
      <w:r>
        <w:rPr>
          <w:rFonts w:hint="eastAsia" w:ascii="宋体" w:hAnsi="宋体"/>
          <w:color w:val="auto"/>
          <w:szCs w:val="21"/>
          <w:highlight w:val="none"/>
        </w:rPr>
        <w:t xml:space="preserve"> </w:t>
      </w:r>
      <w:r>
        <w:rPr>
          <w:rFonts w:ascii="宋体" w:hAnsi="宋体"/>
          <w:color w:val="auto"/>
          <w:szCs w:val="21"/>
          <w:highlight w:val="none"/>
        </w:rPr>
        <w:t xml:space="preserve">      </w:t>
      </w:r>
      <w:r>
        <w:rPr>
          <w:rFonts w:hint="eastAsia" w:ascii="宋体" w:hAnsi="宋体"/>
          <w:color w:val="auto"/>
          <w:szCs w:val="21"/>
          <w:highlight w:val="none"/>
        </w:rPr>
        <w:t>年</w:t>
      </w:r>
      <w:r>
        <w:rPr>
          <w:rFonts w:ascii="宋体" w:hAnsi="宋体"/>
          <w:color w:val="auto"/>
          <w:szCs w:val="21"/>
          <w:highlight w:val="none"/>
        </w:rPr>
        <w:t xml:space="preserve">     </w:t>
      </w:r>
      <w:r>
        <w:rPr>
          <w:rFonts w:hint="eastAsia" w:ascii="宋体" w:hAnsi="宋体"/>
          <w:color w:val="auto"/>
          <w:szCs w:val="21"/>
          <w:highlight w:val="none"/>
        </w:rPr>
        <w:t>月</w:t>
      </w:r>
      <w:r>
        <w:rPr>
          <w:rFonts w:ascii="宋体" w:hAnsi="宋体"/>
          <w:color w:val="auto"/>
          <w:szCs w:val="21"/>
          <w:highlight w:val="none"/>
        </w:rPr>
        <w:t xml:space="preserve">    </w:t>
      </w:r>
      <w:r>
        <w:rPr>
          <w:rFonts w:hint="eastAsia" w:ascii="宋体" w:hAnsi="宋体"/>
          <w:color w:val="auto"/>
          <w:szCs w:val="21"/>
          <w:highlight w:val="none"/>
        </w:rPr>
        <w:t>日</w:t>
      </w:r>
    </w:p>
    <w:p>
      <w:pPr>
        <w:widowControl/>
        <w:jc w:val="left"/>
        <w:rPr>
          <w:rFonts w:ascii="宋体" w:hAnsi="宋体"/>
          <w:b/>
          <w:bCs/>
          <w:color w:val="auto"/>
          <w:sz w:val="32"/>
          <w:szCs w:val="21"/>
          <w:highlight w:val="none"/>
        </w:rPr>
      </w:pPr>
      <w:r>
        <w:rPr>
          <w:rFonts w:ascii="宋体" w:hAnsi="宋体"/>
          <w:color w:val="auto"/>
          <w:szCs w:val="21"/>
          <w:highlight w:val="none"/>
        </w:rPr>
        <w:br w:type="page"/>
      </w: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624" w:name="_Toc17203559"/>
      <w:bookmarkStart w:id="625" w:name="_Toc32226"/>
      <w:bookmarkStart w:id="626" w:name="_Toc17203044"/>
      <w:bookmarkStart w:id="627" w:name="_Toc17202837"/>
      <w:r>
        <w:rPr>
          <w:rFonts w:hint="eastAsia" w:ascii="宋体" w:hAnsi="宋体"/>
          <w:color w:val="auto"/>
          <w:sz w:val="28"/>
          <w:szCs w:val="24"/>
          <w:highlight w:val="none"/>
        </w:rPr>
        <w:t>参选函</w:t>
      </w:r>
      <w:bookmarkEnd w:id="622"/>
      <w:bookmarkEnd w:id="623"/>
      <w:bookmarkEnd w:id="624"/>
      <w:bookmarkEnd w:id="625"/>
      <w:bookmarkEnd w:id="626"/>
      <w:bookmarkEnd w:id="627"/>
    </w:p>
    <w:p>
      <w:pPr>
        <w:pStyle w:val="45"/>
        <w:ind w:firstLine="0" w:firstLineChars="0"/>
        <w:jc w:val="center"/>
        <w:rPr>
          <w:rFonts w:ascii="宋体" w:hAnsi="宋体"/>
          <w:b/>
          <w:color w:val="auto"/>
          <w:sz w:val="24"/>
          <w:highlight w:val="none"/>
        </w:rPr>
      </w:pPr>
      <w:r>
        <w:rPr>
          <w:rFonts w:hint="eastAsia" w:ascii="宋体" w:hAnsi="宋体"/>
          <w:b/>
          <w:color w:val="auto"/>
          <w:sz w:val="24"/>
          <w:highlight w:val="none"/>
        </w:rPr>
        <w:t>参  选  函</w:t>
      </w:r>
    </w:p>
    <w:p>
      <w:pPr>
        <w:adjustRightInd w:val="0"/>
        <w:snapToGrid w:val="0"/>
        <w:spacing w:line="440" w:lineRule="exact"/>
        <w:jc w:val="left"/>
        <w:rPr>
          <w:rFonts w:ascii="宋体" w:hAnsi="宋体" w:cs="宋体"/>
          <w:color w:val="auto"/>
          <w:szCs w:val="21"/>
          <w:highlight w:val="none"/>
        </w:rPr>
      </w:pPr>
      <w:r>
        <w:rPr>
          <w:rFonts w:hint="eastAsia" w:ascii="宋体" w:hAnsi="宋体" w:cs="宋体"/>
          <w:color w:val="auto"/>
          <w:szCs w:val="21"/>
          <w:highlight w:val="none"/>
        </w:rPr>
        <w:t>致：</w:t>
      </w:r>
      <w:r>
        <w:rPr>
          <w:rFonts w:hint="eastAsia" w:ascii="宋体" w:hAnsi="宋体"/>
          <w:color w:val="auto"/>
          <w:highlight w:val="none"/>
          <w:u w:val="single"/>
        </w:rPr>
        <w:t>XX公司[比选人名称]</w:t>
      </w:r>
      <w:r>
        <w:rPr>
          <w:rFonts w:ascii="宋体" w:hAnsi="宋体" w:cs="宋体"/>
          <w:color w:val="auto"/>
          <w:szCs w:val="21"/>
          <w:highlight w:val="none"/>
        </w:rPr>
        <w:t>：</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u w:val="single"/>
        </w:rPr>
        <w:t xml:space="preserve">          （参选人名称）</w:t>
      </w:r>
      <w:r>
        <w:rPr>
          <w:rFonts w:hint="eastAsia" w:ascii="宋体" w:hAnsi="宋体"/>
          <w:color w:val="auto"/>
          <w:szCs w:val="21"/>
          <w:highlight w:val="none"/>
        </w:rPr>
        <w:t>（以下称“我方”）</w:t>
      </w:r>
      <w:r>
        <w:rPr>
          <w:rFonts w:ascii="宋体" w:hAnsi="宋体"/>
          <w:color w:val="auto"/>
          <w:szCs w:val="21"/>
          <w:highlight w:val="none"/>
        </w:rPr>
        <w:t>已仔细研究了</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w:t>
      </w:r>
      <w:r>
        <w:rPr>
          <w:rFonts w:hint="eastAsia" w:ascii="宋体" w:hAnsi="宋体"/>
          <w:color w:val="auto"/>
          <w:szCs w:val="21"/>
          <w:highlight w:val="none"/>
        </w:rPr>
        <w:t>比选项目名称）</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rPr>
        <w:t>标段（比选代理机构编号：</w:t>
      </w:r>
      <w:r>
        <w:rPr>
          <w:rFonts w:hint="eastAsia" w:ascii="宋体" w:hAnsi="宋体"/>
          <w:color w:val="auto"/>
          <w:szCs w:val="21"/>
          <w:highlight w:val="none"/>
          <w:u w:val="single"/>
        </w:rPr>
        <w:t xml:space="preserve">        </w:t>
      </w:r>
      <w:r>
        <w:rPr>
          <w:rFonts w:hint="eastAsia" w:ascii="宋体" w:hAnsi="宋体"/>
          <w:color w:val="auto"/>
          <w:szCs w:val="21"/>
          <w:highlight w:val="none"/>
        </w:rPr>
        <w:t>）</w:t>
      </w:r>
      <w:r>
        <w:rPr>
          <w:rFonts w:ascii="宋体" w:hAnsi="宋体"/>
          <w:color w:val="auto"/>
          <w:szCs w:val="21"/>
          <w:highlight w:val="none"/>
        </w:rPr>
        <w:t>比选文件的全部内容</w:t>
      </w:r>
      <w:r>
        <w:rPr>
          <w:rFonts w:hint="eastAsia" w:ascii="宋体" w:hAnsi="宋体"/>
          <w:color w:val="auto"/>
          <w:szCs w:val="21"/>
          <w:highlight w:val="none"/>
        </w:rPr>
        <w:t>，</w:t>
      </w:r>
      <w:r>
        <w:rPr>
          <w:rFonts w:ascii="宋体" w:hAnsi="宋体"/>
          <w:bCs/>
          <w:color w:val="auto"/>
          <w:szCs w:val="21"/>
          <w:highlight w:val="none"/>
        </w:rPr>
        <w:t>包括</w:t>
      </w:r>
      <w:r>
        <w:rPr>
          <w:rFonts w:hint="eastAsia" w:ascii="宋体" w:hAnsi="宋体"/>
          <w:bCs/>
          <w:color w:val="auto"/>
          <w:szCs w:val="21"/>
          <w:highlight w:val="none"/>
        </w:rPr>
        <w:t>澄清或者</w:t>
      </w:r>
      <w:r>
        <w:rPr>
          <w:rFonts w:ascii="宋体" w:hAnsi="宋体"/>
          <w:bCs/>
          <w:color w:val="auto"/>
          <w:szCs w:val="21"/>
          <w:highlight w:val="none"/>
        </w:rPr>
        <w:t>修改文件</w:t>
      </w:r>
      <w:r>
        <w:rPr>
          <w:rFonts w:hint="eastAsia" w:ascii="宋体" w:hAnsi="宋体"/>
          <w:bCs/>
          <w:color w:val="auto"/>
          <w:szCs w:val="21"/>
          <w:highlight w:val="none"/>
        </w:rPr>
        <w:t>以及</w:t>
      </w:r>
      <w:r>
        <w:rPr>
          <w:rFonts w:ascii="宋体" w:hAnsi="宋体"/>
          <w:bCs/>
          <w:color w:val="auto"/>
          <w:szCs w:val="21"/>
          <w:highlight w:val="none"/>
        </w:rPr>
        <w:t>有关附件</w:t>
      </w:r>
      <w:r>
        <w:rPr>
          <w:rFonts w:ascii="宋体" w:hAnsi="宋体"/>
          <w:color w:val="auto"/>
          <w:szCs w:val="21"/>
          <w:highlight w:val="none"/>
        </w:rPr>
        <w:t>，</w:t>
      </w:r>
      <w:r>
        <w:rPr>
          <w:rFonts w:hint="eastAsia" w:ascii="宋体" w:hAnsi="宋体"/>
          <w:color w:val="auto"/>
          <w:szCs w:val="21"/>
          <w:highlight w:val="none"/>
        </w:rPr>
        <w:t>我方将严格按照比选文件要求递交符合要求的全部参选文件。</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我方承诺如下内容：</w:t>
      </w:r>
    </w:p>
    <w:p>
      <w:pPr>
        <w:pStyle w:val="45"/>
        <w:numPr>
          <w:ilvl w:val="3"/>
          <w:numId w:val="20"/>
        </w:numPr>
        <w:tabs>
          <w:tab w:val="left" w:pos="709"/>
        </w:tabs>
        <w:spacing w:line="440" w:lineRule="exact"/>
        <w:ind w:left="0" w:firstLine="424" w:firstLineChars="202"/>
        <w:rPr>
          <w:rFonts w:ascii="宋体" w:hAnsi="宋体"/>
          <w:color w:val="auto"/>
          <w:szCs w:val="21"/>
          <w:highlight w:val="none"/>
        </w:rPr>
      </w:pPr>
      <w:r>
        <w:rPr>
          <w:rFonts w:hint="eastAsia" w:ascii="宋体" w:hAnsi="宋体"/>
          <w:color w:val="auto"/>
          <w:szCs w:val="21"/>
          <w:highlight w:val="none"/>
        </w:rPr>
        <w:t>我方的参选文件包含第二章“参选人须知”第3.1款规定的全部内容。</w:t>
      </w:r>
    </w:p>
    <w:p>
      <w:pPr>
        <w:pStyle w:val="45"/>
        <w:numPr>
          <w:ilvl w:val="3"/>
          <w:numId w:val="20"/>
        </w:numPr>
        <w:tabs>
          <w:tab w:val="left" w:pos="709"/>
        </w:tabs>
        <w:spacing w:line="440" w:lineRule="exact"/>
        <w:ind w:left="0" w:firstLine="424" w:firstLineChars="202"/>
        <w:rPr>
          <w:rFonts w:ascii="宋体" w:hAnsi="宋体"/>
          <w:color w:val="auto"/>
          <w:szCs w:val="21"/>
          <w:highlight w:val="none"/>
        </w:rPr>
      </w:pPr>
      <w:r>
        <w:rPr>
          <w:rFonts w:ascii="宋体" w:hAnsi="宋体"/>
          <w:color w:val="auto"/>
          <w:szCs w:val="21"/>
          <w:highlight w:val="none"/>
        </w:rPr>
        <w:t>我方承诺在</w:t>
      </w:r>
      <w:r>
        <w:rPr>
          <w:rFonts w:hint="eastAsia" w:ascii="宋体" w:hAnsi="宋体"/>
          <w:color w:val="auto"/>
          <w:szCs w:val="21"/>
          <w:highlight w:val="none"/>
        </w:rPr>
        <w:t>比选文件规定的</w:t>
      </w:r>
      <w:r>
        <w:rPr>
          <w:rFonts w:ascii="宋体" w:hAnsi="宋体"/>
          <w:color w:val="auto"/>
          <w:szCs w:val="21"/>
          <w:highlight w:val="none"/>
        </w:rPr>
        <w:t>参选有效期内不修改、撤销参选文件。</w:t>
      </w:r>
    </w:p>
    <w:p>
      <w:pPr>
        <w:pStyle w:val="45"/>
        <w:numPr>
          <w:ilvl w:val="3"/>
          <w:numId w:val="20"/>
        </w:numPr>
        <w:tabs>
          <w:tab w:val="left" w:pos="709"/>
        </w:tabs>
        <w:spacing w:line="440" w:lineRule="exact"/>
        <w:ind w:left="0" w:firstLine="424" w:firstLineChars="202"/>
        <w:rPr>
          <w:rFonts w:ascii="宋体" w:hAnsi="宋体"/>
          <w:color w:val="auto"/>
          <w:szCs w:val="21"/>
          <w:highlight w:val="none"/>
        </w:rPr>
      </w:pPr>
      <w:r>
        <w:rPr>
          <w:rFonts w:ascii="宋体" w:hAnsi="宋体"/>
          <w:color w:val="auto"/>
          <w:szCs w:val="21"/>
          <w:highlight w:val="none"/>
        </w:rPr>
        <w:t>随同本参选函递交参选保证金一份，金额为人民币（大写）</w:t>
      </w:r>
      <w:r>
        <w:rPr>
          <w:rFonts w:ascii="宋体" w:hAnsi="宋体"/>
          <w:color w:val="auto"/>
          <w:szCs w:val="21"/>
          <w:highlight w:val="none"/>
          <w:u w:val="single"/>
        </w:rPr>
        <w:t xml:space="preserve">        </w:t>
      </w:r>
      <w:r>
        <w:rPr>
          <w:rFonts w:ascii="宋体" w:hAnsi="宋体"/>
          <w:color w:val="auto"/>
          <w:szCs w:val="21"/>
          <w:highlight w:val="non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w:t>
      </w:r>
    </w:p>
    <w:p>
      <w:pPr>
        <w:pStyle w:val="45"/>
        <w:numPr>
          <w:ilvl w:val="3"/>
          <w:numId w:val="20"/>
        </w:numPr>
        <w:tabs>
          <w:tab w:val="left" w:pos="709"/>
        </w:tabs>
        <w:spacing w:line="440" w:lineRule="exact"/>
        <w:ind w:left="0" w:firstLine="424" w:firstLineChars="202"/>
        <w:rPr>
          <w:rFonts w:ascii="宋体" w:hAnsi="宋体"/>
          <w:color w:val="auto"/>
          <w:szCs w:val="21"/>
          <w:highlight w:val="none"/>
        </w:rPr>
      </w:pPr>
      <w:r>
        <w:rPr>
          <w:rFonts w:hint="eastAsia" w:ascii="宋体" w:hAnsi="宋体"/>
          <w:color w:val="auto"/>
          <w:kern w:val="0"/>
          <w:szCs w:val="21"/>
          <w:highlight w:val="none"/>
        </w:rPr>
        <w:t>我方承诺如果在规定的唱价时间后，在参选有效期内撤销参选文件的，我方自愿接受比选人做出的不予退还我方参选保证金的决定</w:t>
      </w:r>
      <w:r>
        <w:rPr>
          <w:rFonts w:hint="eastAsia" w:ascii="宋体" w:hAnsi="宋体"/>
          <w:color w:val="auto"/>
          <w:szCs w:val="21"/>
          <w:highlight w:val="none"/>
        </w:rPr>
        <w:t>。</w:t>
      </w:r>
    </w:p>
    <w:p>
      <w:pPr>
        <w:pStyle w:val="45"/>
        <w:numPr>
          <w:ilvl w:val="3"/>
          <w:numId w:val="20"/>
        </w:numPr>
        <w:tabs>
          <w:tab w:val="left" w:pos="709"/>
        </w:tabs>
        <w:spacing w:line="440" w:lineRule="exact"/>
        <w:ind w:left="0" w:firstLine="424" w:firstLineChars="202"/>
        <w:rPr>
          <w:rFonts w:ascii="宋体" w:hAnsi="宋体"/>
          <w:color w:val="auto"/>
          <w:szCs w:val="21"/>
          <w:highlight w:val="none"/>
        </w:rPr>
      </w:pPr>
      <w:r>
        <w:rPr>
          <w:rFonts w:hint="eastAsia" w:ascii="宋体" w:hAnsi="宋体"/>
          <w:color w:val="auto"/>
          <w:szCs w:val="21"/>
          <w:highlight w:val="none"/>
        </w:rPr>
        <w:t>我方在评选过程中根据评选委员会要求提供的符合相关规定的澄清文件，构成参选文件的组成部分。</w:t>
      </w:r>
    </w:p>
    <w:p>
      <w:pPr>
        <w:pStyle w:val="45"/>
        <w:numPr>
          <w:ilvl w:val="3"/>
          <w:numId w:val="20"/>
        </w:numPr>
        <w:tabs>
          <w:tab w:val="left" w:pos="709"/>
        </w:tabs>
        <w:spacing w:line="440" w:lineRule="exact"/>
        <w:ind w:left="0" w:firstLine="424" w:firstLineChars="202"/>
        <w:rPr>
          <w:rFonts w:ascii="宋体" w:hAnsi="宋体"/>
          <w:color w:val="auto"/>
          <w:szCs w:val="21"/>
          <w:highlight w:val="none"/>
        </w:rPr>
      </w:pPr>
      <w:r>
        <w:rPr>
          <w:rFonts w:hint="eastAsia" w:ascii="宋体" w:hAnsi="宋体"/>
          <w:color w:val="auto"/>
          <w:szCs w:val="21"/>
          <w:highlight w:val="none"/>
        </w:rPr>
        <w:t>我方同意提供贵方可能要求的与参选有关的一切数据或者资料，并完全理解贵方不一定接受最低价的参选。</w:t>
      </w:r>
    </w:p>
    <w:p>
      <w:pPr>
        <w:pStyle w:val="45"/>
        <w:numPr>
          <w:ilvl w:val="3"/>
          <w:numId w:val="20"/>
        </w:numPr>
        <w:tabs>
          <w:tab w:val="left" w:pos="709"/>
        </w:tabs>
        <w:spacing w:line="440" w:lineRule="exact"/>
        <w:ind w:left="0" w:firstLine="424" w:firstLineChars="202"/>
        <w:rPr>
          <w:rFonts w:ascii="宋体" w:hAnsi="宋体"/>
          <w:color w:val="auto"/>
          <w:szCs w:val="21"/>
          <w:highlight w:val="none"/>
        </w:rPr>
      </w:pPr>
      <w:r>
        <w:rPr>
          <w:rFonts w:hint="eastAsia" w:ascii="宋体" w:hAnsi="宋体"/>
          <w:color w:val="auto"/>
          <w:szCs w:val="21"/>
          <w:highlight w:val="none"/>
        </w:rPr>
        <w:t>我方承诺不向第三方透露与比选相关的所有信息。</w:t>
      </w:r>
    </w:p>
    <w:p>
      <w:pPr>
        <w:pStyle w:val="45"/>
        <w:numPr>
          <w:ilvl w:val="3"/>
          <w:numId w:val="20"/>
        </w:numPr>
        <w:tabs>
          <w:tab w:val="left" w:pos="709"/>
        </w:tabs>
        <w:spacing w:line="440" w:lineRule="exact"/>
        <w:ind w:left="0" w:firstLine="424" w:firstLineChars="202"/>
        <w:rPr>
          <w:rFonts w:ascii="宋体" w:hAnsi="宋体"/>
          <w:color w:val="auto"/>
          <w:szCs w:val="21"/>
          <w:highlight w:val="none"/>
        </w:rPr>
      </w:pPr>
      <w:r>
        <w:rPr>
          <w:rFonts w:hint="eastAsia" w:ascii="宋体" w:hAnsi="宋体"/>
          <w:color w:val="auto"/>
          <w:szCs w:val="21"/>
          <w:highlight w:val="none"/>
        </w:rPr>
        <w:t>我方承诺接受《中国电信供应商不良行为管理规则》（管理规则版本号：V20200722，内容详见比选文件第七章）。本项承诺自本函签署之日起生效，长期有效，不受参选有效期的约束，其效力独立存在，不可撤销。</w:t>
      </w:r>
    </w:p>
    <w:p>
      <w:pPr>
        <w:pStyle w:val="45"/>
        <w:numPr>
          <w:ilvl w:val="3"/>
          <w:numId w:val="20"/>
        </w:numPr>
        <w:tabs>
          <w:tab w:val="left" w:pos="709"/>
        </w:tabs>
        <w:spacing w:line="440" w:lineRule="exact"/>
        <w:ind w:left="0" w:firstLine="424" w:firstLineChars="202"/>
        <w:rPr>
          <w:rFonts w:ascii="宋体" w:hAnsi="宋体"/>
          <w:color w:val="auto"/>
          <w:szCs w:val="21"/>
          <w:highlight w:val="none"/>
        </w:rPr>
      </w:pPr>
      <w:r>
        <w:rPr>
          <w:rFonts w:ascii="宋体" w:hAnsi="宋体"/>
          <w:color w:val="auto"/>
          <w:szCs w:val="21"/>
          <w:highlight w:val="none"/>
        </w:rPr>
        <w:t>如我方中选：</w:t>
      </w:r>
    </w:p>
    <w:p>
      <w:pPr>
        <w:pStyle w:val="45"/>
        <w:numPr>
          <w:ilvl w:val="0"/>
          <w:numId w:val="21"/>
        </w:numPr>
        <w:tabs>
          <w:tab w:val="left" w:pos="993"/>
        </w:tabs>
        <w:spacing w:line="440" w:lineRule="exact"/>
        <w:ind w:left="0" w:firstLine="426" w:firstLineChars="0"/>
        <w:rPr>
          <w:rFonts w:ascii="宋体" w:hAnsi="宋体"/>
          <w:color w:val="auto"/>
          <w:szCs w:val="21"/>
          <w:highlight w:val="none"/>
        </w:rPr>
      </w:pPr>
      <w:r>
        <w:rPr>
          <w:rFonts w:ascii="宋体" w:hAnsi="宋体"/>
          <w:color w:val="auto"/>
          <w:szCs w:val="21"/>
          <w:highlight w:val="none"/>
        </w:rPr>
        <w:t>我方承诺在收到中选通知书后，在中选通知书规定的期限内与你方签订合同。</w:t>
      </w:r>
    </w:p>
    <w:p>
      <w:pPr>
        <w:pStyle w:val="45"/>
        <w:numPr>
          <w:ilvl w:val="0"/>
          <w:numId w:val="21"/>
        </w:numPr>
        <w:tabs>
          <w:tab w:val="left" w:pos="993"/>
        </w:tabs>
        <w:spacing w:line="440" w:lineRule="exact"/>
        <w:ind w:left="0" w:firstLine="426" w:firstLineChars="0"/>
        <w:rPr>
          <w:rFonts w:ascii="宋体" w:hAnsi="宋体"/>
          <w:color w:val="auto"/>
          <w:szCs w:val="21"/>
          <w:highlight w:val="none"/>
        </w:rPr>
      </w:pPr>
      <w:r>
        <w:rPr>
          <w:rFonts w:ascii="宋体" w:hAnsi="宋体"/>
          <w:color w:val="auto"/>
          <w:szCs w:val="21"/>
          <w:highlight w:val="none"/>
        </w:rPr>
        <w:t>我方承诺按照比选文件规定递交履约</w:t>
      </w:r>
      <w:r>
        <w:rPr>
          <w:rFonts w:hint="eastAsia" w:ascii="宋体" w:hAnsi="宋体"/>
          <w:color w:val="auto"/>
          <w:szCs w:val="21"/>
          <w:highlight w:val="none"/>
        </w:rPr>
        <w:t>保证金、支付比选代理服务费</w:t>
      </w:r>
      <w:r>
        <w:rPr>
          <w:rFonts w:ascii="宋体" w:hAnsi="宋体"/>
          <w:color w:val="auto"/>
          <w:szCs w:val="21"/>
          <w:highlight w:val="none"/>
        </w:rPr>
        <w:t>。</w:t>
      </w:r>
    </w:p>
    <w:p>
      <w:pPr>
        <w:pStyle w:val="45"/>
        <w:numPr>
          <w:ilvl w:val="0"/>
          <w:numId w:val="21"/>
        </w:numPr>
        <w:tabs>
          <w:tab w:val="left" w:pos="993"/>
        </w:tabs>
        <w:spacing w:line="440" w:lineRule="exact"/>
        <w:ind w:left="0" w:firstLine="426" w:firstLineChars="0"/>
        <w:rPr>
          <w:rFonts w:ascii="宋体" w:hAnsi="宋体"/>
          <w:color w:val="auto"/>
          <w:szCs w:val="21"/>
          <w:highlight w:val="none"/>
        </w:rPr>
      </w:pPr>
      <w:r>
        <w:rPr>
          <w:rFonts w:ascii="宋体" w:hAnsi="宋体"/>
          <w:color w:val="auto"/>
          <w:szCs w:val="21"/>
          <w:highlight w:val="none"/>
        </w:rPr>
        <w:t>我方承诺</w:t>
      </w:r>
      <w:r>
        <w:rPr>
          <w:rFonts w:hint="eastAsia" w:ascii="宋体" w:hAnsi="宋体"/>
          <w:color w:val="auto"/>
          <w:szCs w:val="21"/>
          <w:highlight w:val="none"/>
        </w:rPr>
        <w:t>按照比选文件的规定及合同约定履行相关责任和义务。</w:t>
      </w:r>
    </w:p>
    <w:p>
      <w:pPr>
        <w:spacing w:line="440" w:lineRule="exact"/>
        <w:ind w:firstLine="420" w:firstLineChars="200"/>
        <w:rPr>
          <w:rFonts w:ascii="宋体" w:hAnsi="宋体"/>
          <w:color w:val="auto"/>
          <w:szCs w:val="21"/>
          <w:highlight w:val="none"/>
        </w:rPr>
      </w:pPr>
      <w:r>
        <w:rPr>
          <w:rFonts w:hint="eastAsia" w:ascii="宋体" w:hAnsi="宋体"/>
          <w:color w:val="auto"/>
          <w:szCs w:val="21"/>
          <w:highlight w:val="none"/>
        </w:rPr>
        <w:t>我方在此声明，所递交的参选文件及有关资料内容完整、真实和准确，且不存在第二章“参选人须知”第1.8款规定的任何一种情形。</w:t>
      </w:r>
      <w:r>
        <w:rPr>
          <w:rFonts w:ascii="宋体" w:hAnsi="宋体"/>
          <w:color w:val="auto"/>
          <w:szCs w:val="21"/>
          <w:highlight w:val="none"/>
        </w:rPr>
        <w:t>如有弄虚作假，将承担相应的法律责任，并赔偿由此造成的一切损失。</w:t>
      </w:r>
    </w:p>
    <w:p>
      <w:pPr>
        <w:pStyle w:val="45"/>
        <w:numPr>
          <w:ilvl w:val="3"/>
          <w:numId w:val="20"/>
        </w:numPr>
        <w:tabs>
          <w:tab w:val="left" w:pos="709"/>
        </w:tabs>
        <w:spacing w:line="440" w:lineRule="exact"/>
        <w:ind w:left="0" w:firstLine="424" w:firstLineChars="202"/>
        <w:rPr>
          <w:rFonts w:ascii="宋体" w:hAnsi="宋体"/>
          <w:color w:val="auto"/>
          <w:szCs w:val="21"/>
          <w:highlight w:val="none"/>
        </w:rPr>
      </w:pPr>
      <w:r>
        <w:rPr>
          <w:rFonts w:hint="eastAsia" w:ascii="宋体" w:hAnsi="宋体"/>
          <w:color w:val="auto"/>
          <w:szCs w:val="21"/>
          <w:highlight w:val="none"/>
        </w:rPr>
        <w:t>其他</w:t>
      </w:r>
      <w:r>
        <w:rPr>
          <w:rFonts w:ascii="宋体" w:hAnsi="宋体"/>
          <w:color w:val="auto"/>
          <w:szCs w:val="21"/>
          <w:highlight w:val="none"/>
        </w:rPr>
        <w:t>补充说明</w:t>
      </w:r>
      <w:r>
        <w:rPr>
          <w:rFonts w:hint="eastAsia" w:ascii="宋体" w:hAnsi="宋体"/>
          <w:color w:val="auto"/>
          <w:szCs w:val="21"/>
          <w:highlight w:val="none"/>
        </w:rPr>
        <w:t>：我方承诺按照比选人的要求在中国电信阳光采购网进行供应商注册。/无/具体的其他说明或要求</w:t>
      </w:r>
    </w:p>
    <w:p>
      <w:pPr>
        <w:pStyle w:val="45"/>
        <w:tabs>
          <w:tab w:val="left" w:pos="709"/>
        </w:tabs>
        <w:spacing w:line="440" w:lineRule="exact"/>
        <w:ind w:left="424" w:firstLine="0" w:firstLineChars="0"/>
        <w:rPr>
          <w:rFonts w:ascii="宋体" w:hAnsi="宋体"/>
          <w:color w:val="auto"/>
          <w:szCs w:val="21"/>
          <w:highlight w:val="none"/>
        </w:rPr>
      </w:pPr>
    </w:p>
    <w:p>
      <w:pPr>
        <w:spacing w:line="440" w:lineRule="exact"/>
        <w:ind w:firstLine="2835" w:firstLineChars="1350"/>
        <w:rPr>
          <w:rFonts w:ascii="宋体" w:hAnsi="宋体"/>
          <w:color w:val="auto"/>
          <w:szCs w:val="21"/>
          <w:highlight w:val="none"/>
        </w:rPr>
      </w:pPr>
      <w:r>
        <w:rPr>
          <w:rFonts w:ascii="宋体" w:hAnsi="宋体"/>
          <w:color w:val="auto"/>
          <w:szCs w:val="21"/>
          <w:highlight w:val="none"/>
        </w:rPr>
        <w:t>参选人</w:t>
      </w:r>
      <w:r>
        <w:rPr>
          <w:rFonts w:hint="eastAsia" w:ascii="宋体" w:hAnsi="宋体"/>
          <w:color w:val="auto"/>
          <w:szCs w:val="21"/>
          <w:highlight w:val="none"/>
        </w:rPr>
        <w:t>名称</w:t>
      </w:r>
      <w:r>
        <w:rPr>
          <w:rFonts w:ascii="宋体" w:hAnsi="宋体"/>
          <w:color w:val="auto"/>
          <w:szCs w:val="21"/>
          <w:highlight w:val="none"/>
        </w:rPr>
        <w:t>：</w:t>
      </w:r>
      <w:r>
        <w:rPr>
          <w:rFonts w:ascii="宋体" w:hAnsi="宋体"/>
          <w:color w:val="auto"/>
          <w:szCs w:val="21"/>
          <w:highlight w:val="none"/>
          <w:u w:val="single"/>
        </w:rPr>
        <w:t xml:space="preserve">                     </w:t>
      </w:r>
      <w:r>
        <w:rPr>
          <w:rFonts w:ascii="宋体" w:hAnsi="宋体"/>
          <w:color w:val="auto"/>
          <w:szCs w:val="21"/>
          <w:highlight w:val="none"/>
        </w:rPr>
        <w:t>（盖单位公章）</w:t>
      </w:r>
    </w:p>
    <w:p>
      <w:pPr>
        <w:spacing w:line="440" w:lineRule="exact"/>
        <w:ind w:firstLine="2835" w:firstLineChars="1350"/>
        <w:rPr>
          <w:rFonts w:ascii="宋体" w:hAnsi="宋体"/>
          <w:color w:val="auto"/>
          <w:szCs w:val="21"/>
          <w:highlight w:val="none"/>
        </w:rPr>
      </w:pPr>
      <w:r>
        <w:rPr>
          <w:rFonts w:ascii="宋体" w:hAnsi="宋体"/>
          <w:color w:val="auto"/>
          <w:szCs w:val="21"/>
          <w:highlight w:val="none"/>
        </w:rPr>
        <w:t>法定代表人</w:t>
      </w:r>
      <w:r>
        <w:rPr>
          <w:rFonts w:hint="eastAsia" w:ascii="宋体" w:hAnsi="宋体"/>
          <w:color w:val="auto"/>
          <w:szCs w:val="21"/>
          <w:highlight w:val="none"/>
        </w:rPr>
        <w:t>（负责人）</w:t>
      </w:r>
      <w:r>
        <w:rPr>
          <w:rFonts w:ascii="宋体" w:hAnsi="宋体"/>
          <w:color w:val="auto"/>
          <w:szCs w:val="21"/>
          <w:highlight w:val="none"/>
        </w:rPr>
        <w:t>或者其委托代理人：</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（签字）</w:t>
      </w:r>
    </w:p>
    <w:p>
      <w:pPr>
        <w:spacing w:line="440" w:lineRule="exact"/>
        <w:ind w:firstLine="2835" w:firstLineChars="1350"/>
        <w:rPr>
          <w:rFonts w:ascii="宋体" w:hAnsi="宋体"/>
          <w:color w:val="auto"/>
          <w:szCs w:val="21"/>
          <w:highlight w:val="none"/>
          <w:u w:val="single"/>
        </w:rPr>
      </w:pPr>
      <w:r>
        <w:rPr>
          <w:rFonts w:ascii="宋体" w:hAnsi="宋体"/>
          <w:color w:val="auto"/>
          <w:szCs w:val="21"/>
          <w:highlight w:val="none"/>
        </w:rPr>
        <w:t>地址：</w:t>
      </w:r>
      <w:r>
        <w:rPr>
          <w:rFonts w:ascii="宋体" w:hAnsi="宋体"/>
          <w:color w:val="auto"/>
          <w:szCs w:val="21"/>
          <w:highlight w:val="none"/>
          <w:u w:val="single"/>
        </w:rPr>
        <w:t xml:space="preserve">                                     </w:t>
      </w:r>
    </w:p>
    <w:p>
      <w:pPr>
        <w:spacing w:line="440" w:lineRule="exact"/>
        <w:ind w:firstLine="2835" w:firstLineChars="1350"/>
        <w:rPr>
          <w:rFonts w:ascii="宋体" w:hAnsi="宋体"/>
          <w:color w:val="auto"/>
          <w:szCs w:val="21"/>
          <w:highlight w:val="none"/>
        </w:rPr>
      </w:pPr>
      <w:r>
        <w:rPr>
          <w:rFonts w:ascii="宋体" w:hAnsi="宋体"/>
          <w:color w:val="auto"/>
          <w:szCs w:val="21"/>
          <w:highlight w:val="none"/>
        </w:rPr>
        <w:t>电话：</w:t>
      </w:r>
      <w:r>
        <w:rPr>
          <w:rFonts w:ascii="宋体" w:hAnsi="宋体"/>
          <w:color w:val="auto"/>
          <w:szCs w:val="21"/>
          <w:highlight w:val="none"/>
          <w:u w:val="single"/>
        </w:rPr>
        <w:t xml:space="preserve">                                     </w:t>
      </w:r>
    </w:p>
    <w:p>
      <w:pPr>
        <w:spacing w:line="440" w:lineRule="exact"/>
        <w:ind w:firstLine="2835" w:firstLineChars="1350"/>
        <w:rPr>
          <w:rFonts w:ascii="宋体" w:hAnsi="宋体"/>
          <w:color w:val="auto"/>
          <w:szCs w:val="21"/>
          <w:highlight w:val="none"/>
        </w:rPr>
      </w:pPr>
      <w:r>
        <w:rPr>
          <w:rFonts w:hint="eastAsia" w:ascii="宋体" w:hAnsi="宋体"/>
          <w:color w:val="auto"/>
          <w:szCs w:val="21"/>
          <w:highlight w:val="none"/>
        </w:rPr>
        <w:t>电子邮箱</w:t>
      </w:r>
      <w:r>
        <w:rPr>
          <w:rFonts w:ascii="宋体" w:hAnsi="宋体"/>
          <w:color w:val="auto"/>
          <w:szCs w:val="21"/>
          <w:highlight w:val="none"/>
        </w:rPr>
        <w:t>：</w:t>
      </w:r>
      <w:r>
        <w:rPr>
          <w:rFonts w:ascii="宋体" w:hAnsi="宋体"/>
          <w:color w:val="auto"/>
          <w:szCs w:val="21"/>
          <w:highlight w:val="none"/>
          <w:u w:val="single"/>
        </w:rPr>
        <w:t xml:space="preserve">                                 </w:t>
      </w:r>
    </w:p>
    <w:p>
      <w:pPr>
        <w:spacing w:line="400" w:lineRule="exact"/>
        <w:ind w:firstLine="2835" w:firstLineChars="1350"/>
        <w:rPr>
          <w:rFonts w:ascii="宋体" w:hAnsi="宋体"/>
          <w:color w:val="auto"/>
          <w:highlight w:val="none"/>
        </w:rPr>
      </w:pPr>
      <w:r>
        <w:rPr>
          <w:rFonts w:hint="eastAsia" w:ascii="宋体" w:hAnsi="宋体"/>
          <w:color w:val="auto"/>
          <w:highlight w:val="none"/>
        </w:rPr>
        <w:t>日期：XX年XX月XX日</w:t>
      </w:r>
    </w:p>
    <w:p>
      <w:pPr>
        <w:ind w:firstLine="2835" w:firstLineChars="1350"/>
        <w:rPr>
          <w:rFonts w:ascii="宋体" w:hAnsi="宋体"/>
          <w:color w:val="auto"/>
          <w:highlight w:val="none"/>
        </w:rPr>
      </w:pPr>
    </w:p>
    <w:p>
      <w:pPr>
        <w:ind w:firstLine="2835" w:firstLineChars="1350"/>
        <w:rPr>
          <w:rFonts w:ascii="宋体" w:hAnsi="宋体"/>
          <w:color w:val="auto"/>
          <w:highlight w:val="none"/>
        </w:rPr>
      </w:pPr>
    </w:p>
    <w:p>
      <w:pPr>
        <w:numPr>
          <w:ilvl w:val="0"/>
          <w:numId w:val="22"/>
        </w:numPr>
        <w:topLinePunct/>
        <w:spacing w:line="440" w:lineRule="exact"/>
        <w:ind w:left="422" w:hanging="422" w:hangingChars="201"/>
        <w:jc w:val="left"/>
        <w:rPr>
          <w:rFonts w:ascii="宋体" w:hAnsi="宋体"/>
          <w:color w:val="auto"/>
          <w:highlight w:val="none"/>
        </w:rPr>
        <w:sectPr>
          <w:pgSz w:w="11906" w:h="16838"/>
          <w:pgMar w:top="1440" w:right="1800" w:bottom="1440" w:left="1800" w:header="851" w:footer="992" w:gutter="0"/>
          <w:cols w:space="425" w:num="1"/>
          <w:docGrid w:type="lines" w:linePitch="312" w:charSpace="0"/>
        </w:sectPr>
      </w:pP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628" w:name="_Toc492552990"/>
      <w:bookmarkEnd w:id="628"/>
      <w:bookmarkStart w:id="629" w:name="_Toc492552979"/>
      <w:bookmarkEnd w:id="629"/>
      <w:bookmarkStart w:id="630" w:name="_Toc492552983"/>
      <w:bookmarkEnd w:id="630"/>
      <w:bookmarkStart w:id="631" w:name="_Toc492552973"/>
      <w:bookmarkEnd w:id="631"/>
      <w:bookmarkStart w:id="632" w:name="_Toc492552988"/>
      <w:bookmarkEnd w:id="632"/>
      <w:bookmarkStart w:id="633" w:name="_Toc492552996"/>
      <w:bookmarkEnd w:id="633"/>
      <w:bookmarkStart w:id="634" w:name="_Toc492552982"/>
      <w:bookmarkEnd w:id="634"/>
      <w:bookmarkStart w:id="635" w:name="_Toc492552999"/>
      <w:bookmarkEnd w:id="635"/>
      <w:bookmarkStart w:id="636" w:name="_Toc492552992"/>
      <w:bookmarkEnd w:id="636"/>
      <w:bookmarkStart w:id="637" w:name="_Toc492552987"/>
      <w:bookmarkEnd w:id="637"/>
      <w:bookmarkStart w:id="638" w:name="_Toc492552991"/>
      <w:bookmarkEnd w:id="638"/>
      <w:bookmarkStart w:id="639" w:name="_Toc492552981"/>
      <w:bookmarkEnd w:id="639"/>
      <w:bookmarkStart w:id="640" w:name="_Toc492552975"/>
      <w:bookmarkEnd w:id="640"/>
      <w:bookmarkStart w:id="641" w:name="_Toc492552976"/>
      <w:bookmarkEnd w:id="641"/>
      <w:bookmarkStart w:id="642" w:name="_Toc492552998"/>
      <w:bookmarkEnd w:id="642"/>
      <w:bookmarkStart w:id="643" w:name="_Toc492552989"/>
      <w:bookmarkEnd w:id="643"/>
      <w:bookmarkStart w:id="644" w:name="_Toc492552986"/>
      <w:bookmarkEnd w:id="644"/>
      <w:bookmarkStart w:id="645" w:name="_Toc492552985"/>
      <w:bookmarkEnd w:id="645"/>
      <w:bookmarkStart w:id="646" w:name="_Toc492552978"/>
      <w:bookmarkEnd w:id="646"/>
      <w:bookmarkStart w:id="647" w:name="_Toc492552977"/>
      <w:bookmarkEnd w:id="647"/>
      <w:bookmarkStart w:id="648" w:name="_Toc492552995"/>
      <w:bookmarkEnd w:id="648"/>
      <w:bookmarkStart w:id="649" w:name="_Toc492552993"/>
      <w:bookmarkEnd w:id="649"/>
      <w:bookmarkStart w:id="650" w:name="_Toc492552997"/>
      <w:bookmarkEnd w:id="650"/>
      <w:bookmarkStart w:id="651" w:name="_Toc492552984"/>
      <w:bookmarkEnd w:id="651"/>
      <w:bookmarkStart w:id="652" w:name="_Toc492552974"/>
      <w:bookmarkEnd w:id="652"/>
      <w:bookmarkStart w:id="653" w:name="_Toc492552980"/>
      <w:bookmarkEnd w:id="653"/>
      <w:bookmarkStart w:id="654" w:name="_Toc492552994"/>
      <w:bookmarkEnd w:id="654"/>
      <w:bookmarkStart w:id="655" w:name="_Toc17203560"/>
      <w:bookmarkStart w:id="656" w:name="_Toc475472674"/>
      <w:bookmarkStart w:id="657" w:name="_Toc17203045"/>
      <w:bookmarkStart w:id="658" w:name="_Toc17202838"/>
      <w:bookmarkStart w:id="659" w:name="_Toc21078"/>
      <w:r>
        <w:rPr>
          <w:rFonts w:ascii="宋体" w:hAnsi="宋体"/>
          <w:color w:val="auto"/>
          <w:sz w:val="28"/>
          <w:szCs w:val="24"/>
          <w:highlight w:val="none"/>
        </w:rPr>
        <w:t>法定代表人</w:t>
      </w:r>
      <w:r>
        <w:rPr>
          <w:rFonts w:hint="eastAsia" w:ascii="宋体" w:hAnsi="宋体"/>
          <w:color w:val="auto"/>
          <w:sz w:val="28"/>
          <w:szCs w:val="24"/>
          <w:highlight w:val="none"/>
        </w:rPr>
        <w:t>（负责人）</w:t>
      </w:r>
      <w:r>
        <w:rPr>
          <w:rFonts w:ascii="宋体" w:hAnsi="宋体"/>
          <w:color w:val="auto"/>
          <w:sz w:val="28"/>
          <w:szCs w:val="24"/>
          <w:highlight w:val="none"/>
        </w:rPr>
        <w:t>身份证明</w:t>
      </w:r>
      <w:bookmarkEnd w:id="655"/>
      <w:bookmarkEnd w:id="656"/>
      <w:bookmarkEnd w:id="657"/>
      <w:bookmarkEnd w:id="658"/>
      <w:bookmarkEnd w:id="659"/>
    </w:p>
    <w:p>
      <w:pPr>
        <w:jc w:val="center"/>
        <w:rPr>
          <w:rFonts w:ascii="宋体" w:hAnsi="宋体" w:cs="宋体"/>
          <w:b/>
          <w:color w:val="auto"/>
          <w:sz w:val="24"/>
          <w:highlight w:val="none"/>
        </w:rPr>
      </w:pPr>
    </w:p>
    <w:p>
      <w:pPr>
        <w:jc w:val="center"/>
        <w:rPr>
          <w:rFonts w:ascii="宋体" w:hAnsi="宋体" w:cs="宋体"/>
          <w:b/>
          <w:color w:val="auto"/>
          <w:sz w:val="24"/>
          <w:highlight w:val="none"/>
        </w:rPr>
      </w:pPr>
      <w:r>
        <w:rPr>
          <w:rFonts w:hint="eastAsia" w:ascii="宋体" w:hAnsi="宋体" w:cs="宋体"/>
          <w:b/>
          <w:color w:val="auto"/>
          <w:sz w:val="24"/>
          <w:highlight w:val="none"/>
        </w:rPr>
        <w:t>法定代表人（负责人）身份证明</w:t>
      </w:r>
    </w:p>
    <w:p>
      <w:pPr>
        <w:spacing w:line="440" w:lineRule="exact"/>
        <w:rPr>
          <w:rFonts w:ascii="宋体" w:hAnsi="宋体"/>
          <w:color w:val="auto"/>
          <w:szCs w:val="21"/>
          <w:highlight w:val="none"/>
        </w:rPr>
      </w:pPr>
    </w:p>
    <w:p>
      <w:pPr>
        <w:topLinePunct/>
        <w:snapToGrid w:val="0"/>
        <w:spacing w:line="440" w:lineRule="exact"/>
        <w:rPr>
          <w:rFonts w:ascii="宋体" w:hAnsi="宋体"/>
          <w:bCs/>
          <w:color w:val="auto"/>
          <w:szCs w:val="21"/>
          <w:highlight w:val="none"/>
          <w:u w:val="single"/>
        </w:rPr>
      </w:pPr>
      <w:r>
        <w:rPr>
          <w:rFonts w:hint="eastAsia" w:ascii="宋体" w:hAnsi="宋体"/>
          <w:bCs/>
          <w:color w:val="auto"/>
          <w:szCs w:val="21"/>
          <w:highlight w:val="none"/>
        </w:rPr>
        <w:t>参选</w:t>
      </w:r>
      <w:r>
        <w:rPr>
          <w:rFonts w:ascii="宋体" w:hAnsi="宋体"/>
          <w:bCs/>
          <w:color w:val="auto"/>
          <w:szCs w:val="21"/>
          <w:highlight w:val="none"/>
        </w:rPr>
        <w:t>人名称：</w:t>
      </w:r>
      <w:r>
        <w:rPr>
          <w:rFonts w:ascii="宋体" w:hAnsi="宋体"/>
          <w:bCs/>
          <w:color w:val="auto"/>
          <w:szCs w:val="21"/>
          <w:highlight w:val="none"/>
          <w:u w:val="single"/>
        </w:rPr>
        <w:t xml:space="preserve">                         </w:t>
      </w:r>
    </w:p>
    <w:p>
      <w:pPr>
        <w:topLinePunct/>
        <w:snapToGrid w:val="0"/>
        <w:spacing w:line="440" w:lineRule="exact"/>
        <w:rPr>
          <w:rFonts w:ascii="宋体" w:hAnsi="宋体"/>
          <w:bCs/>
          <w:color w:val="auto"/>
          <w:szCs w:val="21"/>
          <w:highlight w:val="none"/>
        </w:rPr>
      </w:pPr>
      <w:r>
        <w:rPr>
          <w:rFonts w:ascii="宋体" w:hAnsi="宋体"/>
          <w:bCs/>
          <w:color w:val="auto"/>
          <w:szCs w:val="21"/>
          <w:highlight w:val="none"/>
        </w:rPr>
        <w:t>单位性质：</w:t>
      </w:r>
      <w:r>
        <w:rPr>
          <w:rFonts w:ascii="宋体" w:hAnsi="宋体"/>
          <w:bCs/>
          <w:color w:val="auto"/>
          <w:szCs w:val="21"/>
          <w:highlight w:val="none"/>
          <w:u w:val="single"/>
        </w:rPr>
        <w:t xml:space="preserve">                           </w:t>
      </w:r>
    </w:p>
    <w:p>
      <w:pPr>
        <w:topLinePunct/>
        <w:snapToGrid w:val="0"/>
        <w:spacing w:line="440" w:lineRule="exact"/>
        <w:rPr>
          <w:rFonts w:ascii="宋体" w:hAnsi="宋体"/>
          <w:bCs/>
          <w:color w:val="auto"/>
          <w:szCs w:val="21"/>
          <w:highlight w:val="none"/>
        </w:rPr>
      </w:pPr>
      <w:r>
        <w:rPr>
          <w:rFonts w:ascii="宋体" w:hAnsi="宋体"/>
          <w:bCs/>
          <w:color w:val="auto"/>
          <w:szCs w:val="21"/>
          <w:highlight w:val="none"/>
        </w:rPr>
        <w:t>成立时间：</w:t>
      </w:r>
      <w:r>
        <w:rPr>
          <w:rFonts w:ascii="宋体" w:hAnsi="宋体"/>
          <w:bCs/>
          <w:color w:val="auto"/>
          <w:szCs w:val="21"/>
          <w:highlight w:val="none"/>
          <w:u w:val="single"/>
        </w:rPr>
        <w:t xml:space="preserve">       </w:t>
      </w:r>
      <w:r>
        <w:rPr>
          <w:rFonts w:ascii="宋体" w:hAnsi="宋体"/>
          <w:bCs/>
          <w:color w:val="auto"/>
          <w:szCs w:val="21"/>
          <w:highlight w:val="none"/>
        </w:rPr>
        <w:t>年</w:t>
      </w:r>
      <w:r>
        <w:rPr>
          <w:rFonts w:ascii="宋体" w:hAnsi="宋体"/>
          <w:bCs/>
          <w:color w:val="auto"/>
          <w:szCs w:val="21"/>
          <w:highlight w:val="none"/>
          <w:u w:val="single"/>
        </w:rPr>
        <w:t xml:space="preserve">       </w:t>
      </w:r>
      <w:r>
        <w:rPr>
          <w:rFonts w:ascii="宋体" w:hAnsi="宋体"/>
          <w:bCs/>
          <w:color w:val="auto"/>
          <w:szCs w:val="21"/>
          <w:highlight w:val="none"/>
        </w:rPr>
        <w:t>月</w:t>
      </w:r>
      <w:r>
        <w:rPr>
          <w:rFonts w:ascii="宋体" w:hAnsi="宋体"/>
          <w:bCs/>
          <w:color w:val="auto"/>
          <w:szCs w:val="21"/>
          <w:highlight w:val="none"/>
          <w:u w:val="single"/>
        </w:rPr>
        <w:t xml:space="preserve">       </w:t>
      </w:r>
      <w:r>
        <w:rPr>
          <w:rFonts w:ascii="宋体" w:hAnsi="宋体"/>
          <w:bCs/>
          <w:color w:val="auto"/>
          <w:szCs w:val="21"/>
          <w:highlight w:val="none"/>
        </w:rPr>
        <w:t>日</w:t>
      </w:r>
    </w:p>
    <w:p>
      <w:pPr>
        <w:topLinePunct/>
        <w:snapToGrid w:val="0"/>
        <w:spacing w:line="440" w:lineRule="exact"/>
        <w:rPr>
          <w:rFonts w:ascii="宋体" w:hAnsi="宋体"/>
          <w:bCs/>
          <w:color w:val="auto"/>
          <w:szCs w:val="21"/>
          <w:highlight w:val="none"/>
        </w:rPr>
      </w:pPr>
      <w:r>
        <w:rPr>
          <w:rFonts w:ascii="宋体" w:hAnsi="宋体"/>
          <w:bCs/>
          <w:color w:val="auto"/>
          <w:szCs w:val="21"/>
          <w:highlight w:val="none"/>
        </w:rPr>
        <w:t>经营期限：</w:t>
      </w:r>
      <w:r>
        <w:rPr>
          <w:rFonts w:ascii="宋体" w:hAnsi="宋体"/>
          <w:bCs/>
          <w:color w:val="auto"/>
          <w:szCs w:val="21"/>
          <w:highlight w:val="none"/>
          <w:u w:val="single"/>
        </w:rPr>
        <w:t xml:space="preserve">            </w:t>
      </w:r>
    </w:p>
    <w:p>
      <w:pPr>
        <w:topLinePunct/>
        <w:snapToGrid w:val="0"/>
        <w:spacing w:line="440" w:lineRule="exact"/>
        <w:rPr>
          <w:rFonts w:ascii="宋体" w:hAnsi="宋体"/>
          <w:bCs/>
          <w:color w:val="auto"/>
          <w:szCs w:val="21"/>
          <w:highlight w:val="none"/>
          <w:u w:val="single"/>
        </w:rPr>
      </w:pPr>
      <w:r>
        <w:rPr>
          <w:rFonts w:ascii="宋体" w:hAnsi="宋体"/>
          <w:bCs/>
          <w:color w:val="auto"/>
          <w:szCs w:val="21"/>
          <w:highlight w:val="none"/>
        </w:rPr>
        <w:t>姓名：</w:t>
      </w:r>
      <w:r>
        <w:rPr>
          <w:rFonts w:ascii="宋体" w:hAnsi="宋体"/>
          <w:bCs/>
          <w:color w:val="auto"/>
          <w:szCs w:val="21"/>
          <w:highlight w:val="none"/>
          <w:u w:val="single"/>
        </w:rPr>
        <w:t xml:space="preserve">         </w:t>
      </w:r>
      <w:r>
        <w:rPr>
          <w:rFonts w:ascii="宋体" w:hAnsi="宋体"/>
          <w:bCs/>
          <w:color w:val="auto"/>
          <w:szCs w:val="21"/>
          <w:highlight w:val="none"/>
        </w:rPr>
        <w:t>性别：</w:t>
      </w:r>
      <w:r>
        <w:rPr>
          <w:rFonts w:ascii="宋体" w:hAnsi="宋体"/>
          <w:bCs/>
          <w:color w:val="auto"/>
          <w:szCs w:val="21"/>
          <w:highlight w:val="none"/>
          <w:u w:val="single"/>
        </w:rPr>
        <w:t xml:space="preserve">          </w:t>
      </w:r>
      <w:r>
        <w:rPr>
          <w:rFonts w:ascii="宋体" w:hAnsi="宋体"/>
          <w:bCs/>
          <w:color w:val="auto"/>
          <w:szCs w:val="21"/>
          <w:highlight w:val="none"/>
        </w:rPr>
        <w:t>年龄：</w:t>
      </w:r>
      <w:r>
        <w:rPr>
          <w:rFonts w:ascii="宋体" w:hAnsi="宋体"/>
          <w:bCs/>
          <w:color w:val="auto"/>
          <w:szCs w:val="21"/>
          <w:highlight w:val="none"/>
          <w:u w:val="single"/>
        </w:rPr>
        <w:t xml:space="preserve">        </w:t>
      </w:r>
      <w:r>
        <w:rPr>
          <w:rFonts w:hint="eastAsia" w:ascii="宋体" w:hAnsi="宋体"/>
          <w:bCs/>
          <w:color w:val="auto"/>
          <w:szCs w:val="21"/>
          <w:highlight w:val="none"/>
          <w:u w:val="single"/>
        </w:rPr>
        <w:t xml:space="preserve"> </w:t>
      </w:r>
      <w:r>
        <w:rPr>
          <w:rFonts w:ascii="宋体" w:hAnsi="宋体"/>
          <w:bCs/>
          <w:color w:val="auto"/>
          <w:szCs w:val="21"/>
          <w:highlight w:val="none"/>
        </w:rPr>
        <w:t>职务：</w:t>
      </w:r>
      <w:r>
        <w:rPr>
          <w:rFonts w:ascii="宋体" w:hAnsi="宋体"/>
          <w:bCs/>
          <w:color w:val="auto"/>
          <w:szCs w:val="21"/>
          <w:highlight w:val="none"/>
          <w:u w:val="single"/>
        </w:rPr>
        <w:t xml:space="preserve">        </w:t>
      </w:r>
      <w:r>
        <w:rPr>
          <w:rFonts w:hint="eastAsia" w:ascii="宋体" w:hAnsi="宋体"/>
          <w:bCs/>
          <w:color w:val="auto"/>
          <w:szCs w:val="21"/>
          <w:highlight w:val="none"/>
          <w:u w:val="single"/>
        </w:rPr>
        <w:t xml:space="preserve"> </w:t>
      </w:r>
    </w:p>
    <w:p>
      <w:pPr>
        <w:topLinePunct/>
        <w:snapToGrid w:val="0"/>
        <w:spacing w:line="440" w:lineRule="exact"/>
        <w:rPr>
          <w:rFonts w:ascii="宋体" w:hAnsi="宋体"/>
          <w:bCs/>
          <w:color w:val="auto"/>
          <w:szCs w:val="21"/>
          <w:highlight w:val="none"/>
        </w:rPr>
      </w:pPr>
      <w:r>
        <w:rPr>
          <w:rFonts w:ascii="宋体" w:hAnsi="宋体"/>
          <w:bCs/>
          <w:color w:val="auto"/>
          <w:szCs w:val="21"/>
          <w:highlight w:val="none"/>
        </w:rPr>
        <w:t>系</w:t>
      </w:r>
      <w:r>
        <w:rPr>
          <w:rFonts w:hint="eastAsia" w:ascii="宋体" w:hAnsi="宋体"/>
          <w:color w:val="auto"/>
          <w:highlight w:val="none"/>
          <w:u w:val="single"/>
        </w:rPr>
        <w:t>XX公司</w:t>
      </w:r>
      <w:r>
        <w:rPr>
          <w:rFonts w:hint="eastAsia" w:ascii="宋体" w:hAnsi="宋体"/>
          <w:color w:val="auto"/>
          <w:szCs w:val="21"/>
          <w:highlight w:val="none"/>
          <w:u w:val="single"/>
        </w:rPr>
        <w:t>[参选人单位</w:t>
      </w:r>
      <w:r>
        <w:rPr>
          <w:rFonts w:ascii="宋体" w:hAnsi="宋体"/>
          <w:color w:val="auto"/>
          <w:szCs w:val="21"/>
          <w:highlight w:val="none"/>
          <w:u w:val="single"/>
        </w:rPr>
        <w:t>名称</w:t>
      </w:r>
      <w:r>
        <w:rPr>
          <w:rFonts w:hint="eastAsia" w:ascii="宋体" w:hAnsi="宋体"/>
          <w:color w:val="auto"/>
          <w:szCs w:val="21"/>
          <w:highlight w:val="none"/>
          <w:u w:val="single"/>
        </w:rPr>
        <w:t>]</w:t>
      </w:r>
      <w:r>
        <w:rPr>
          <w:rFonts w:ascii="宋体" w:hAnsi="宋体"/>
          <w:bCs/>
          <w:color w:val="auto"/>
          <w:szCs w:val="21"/>
          <w:highlight w:val="none"/>
        </w:rPr>
        <w:t>的法定代表人。</w:t>
      </w:r>
    </w:p>
    <w:p>
      <w:pPr>
        <w:topLinePunct/>
        <w:snapToGrid w:val="0"/>
        <w:spacing w:line="440" w:lineRule="exact"/>
        <w:ind w:firstLine="420" w:firstLineChars="200"/>
        <w:rPr>
          <w:rFonts w:ascii="宋体" w:hAnsi="宋体"/>
          <w:bCs/>
          <w:color w:val="auto"/>
          <w:szCs w:val="21"/>
          <w:highlight w:val="none"/>
        </w:rPr>
      </w:pPr>
      <w:r>
        <w:rPr>
          <w:rFonts w:ascii="宋体" w:hAnsi="宋体"/>
          <w:bCs/>
          <w:color w:val="auto"/>
          <w:szCs w:val="21"/>
          <w:highlight w:val="none"/>
        </w:rPr>
        <w:t>特此证明。</w:t>
      </w:r>
    </w:p>
    <w:p>
      <w:pPr>
        <w:topLinePunct/>
        <w:snapToGrid w:val="0"/>
        <w:spacing w:line="440" w:lineRule="exact"/>
        <w:ind w:firstLine="420" w:firstLineChars="200"/>
        <w:rPr>
          <w:rFonts w:ascii="宋体" w:hAnsi="宋体"/>
          <w:bCs/>
          <w:color w:val="auto"/>
          <w:szCs w:val="21"/>
          <w:highlight w:val="none"/>
        </w:rPr>
      </w:pPr>
    </w:p>
    <w:p>
      <w:pPr>
        <w:topLinePunct/>
        <w:snapToGrid w:val="0"/>
        <w:spacing w:line="440" w:lineRule="exact"/>
        <w:rPr>
          <w:rFonts w:ascii="宋体" w:hAnsi="宋体"/>
          <w:color w:val="auto"/>
          <w:highlight w:val="none"/>
        </w:rPr>
      </w:pPr>
      <w:r>
        <w:rPr>
          <w:rFonts w:hint="eastAsia" w:ascii="宋体" w:hAnsi="宋体"/>
          <w:color w:val="auto"/>
          <w:highlight w:val="none"/>
        </w:rPr>
        <w:t>※</w:t>
      </w:r>
      <w:r>
        <w:rPr>
          <w:rFonts w:ascii="宋体" w:hAnsi="宋体"/>
          <w:color w:val="auto"/>
          <w:highlight w:val="none"/>
        </w:rPr>
        <w:t>附：法定代表人身份证复印件</w:t>
      </w:r>
      <w:r>
        <w:rPr>
          <w:rFonts w:hint="eastAsia" w:ascii="宋体" w:hAnsi="宋体"/>
          <w:bCs/>
          <w:color w:val="auto"/>
          <w:szCs w:val="21"/>
          <w:highlight w:val="none"/>
        </w:rPr>
        <w:t>(需同时提供正面及背面)</w:t>
      </w:r>
    </w:p>
    <w:p>
      <w:pPr>
        <w:spacing w:line="500" w:lineRule="exact"/>
        <w:rPr>
          <w:rFonts w:ascii="宋体" w:hAnsi="宋体"/>
          <w:color w:val="auto"/>
          <w:szCs w:val="21"/>
          <w:highlight w:val="none"/>
        </w:rPr>
      </w:pPr>
      <w:r>
        <w:rPr>
          <w:rFonts w:ascii="宋体" w:hAnsi="宋体"/>
          <w:color w:val="auto"/>
          <w:szCs w:val="21"/>
          <w:highlight w:val="none"/>
        </w:rPr>
        <w:pict>
          <v:shape id="流程图: 可选过程 10" o:spid="_x0000_s1027" o:spt="176" type="#_x0000_t176" style="position:absolute;left:0pt;margin-left:208.3pt;margin-top:18.8pt;height:166.45pt;width:259.65pt;z-index:25166028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">
            <v:path/>
            <v:fill focussize="0,0"/>
            <v:stroke joinstyle="miter"/>
            <v:imagedata o:title=""/>
            <o:lock v:ext="edit"/>
            <v:textbox>
              <w:txbxContent>
                <w:p>
                  <w:pPr>
                    <w:jc w:val="center"/>
                    <w:rPr>
                      <w:szCs w:val="21"/>
                    </w:rPr>
                  </w:pPr>
                  <w:r>
                    <w:rPr>
                      <w:rFonts w:hint="eastAsia"/>
                      <w:szCs w:val="21"/>
                    </w:rPr>
                    <w:t>法定代表人身份证背面复印件贴于此处</w:t>
                  </w:r>
                </w:p>
              </w:txbxContent>
            </v:textbox>
          </v:shape>
        </w:pict>
      </w:r>
      <w:r>
        <w:rPr>
          <w:rFonts w:ascii="宋体" w:hAnsi="宋体"/>
          <w:color w:val="auto"/>
          <w:szCs w:val="21"/>
          <w:highlight w:val="none"/>
        </w:rPr>
        <w:pict>
          <v:shape id="流程图: 可选过程 9" o:spid="_x0000_s1028" o:spt="176" type="#_x0000_t176" style="position:absolute;left:0pt;margin-left:-51.35pt;margin-top:18.8pt;height:166.45pt;width:259.65pt;z-index:251659264;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">
            <v:path/>
            <v:fill focussize="0,0"/>
            <v:stroke joinstyle="miter"/>
            <v:imagedata o:title=""/>
            <o:lock v:ext="edit"/>
            <v:textbox>
              <w:txbxContent>
                <w:p>
                  <w:pPr>
                    <w:jc w:val="center"/>
                    <w:rPr>
                      <w:szCs w:val="21"/>
                    </w:rPr>
                  </w:pPr>
                  <w:r>
                    <w:rPr>
                      <w:rFonts w:hint="eastAsia"/>
                      <w:szCs w:val="21"/>
                    </w:rPr>
                    <w:t>法定代表人身份证正面复印件贴于此处</w:t>
                  </w:r>
                </w:p>
              </w:txbxContent>
            </v:textbox>
          </v:shape>
        </w:pict>
      </w:r>
    </w:p>
    <w:p>
      <w:pPr>
        <w:spacing w:line="500" w:lineRule="exact"/>
        <w:rPr>
          <w:rFonts w:ascii="宋体" w:hAnsi="宋体"/>
          <w:color w:val="auto"/>
          <w:szCs w:val="21"/>
          <w:highlight w:val="none"/>
        </w:rPr>
      </w:pPr>
    </w:p>
    <w:p>
      <w:pPr>
        <w:spacing w:line="440" w:lineRule="exact"/>
        <w:rPr>
          <w:rFonts w:ascii="宋体" w:hAnsi="宋体"/>
          <w:color w:val="auto"/>
          <w:szCs w:val="21"/>
          <w:highlight w:val="none"/>
        </w:rPr>
      </w:pPr>
    </w:p>
    <w:p>
      <w:pPr>
        <w:spacing w:line="440" w:lineRule="exact"/>
        <w:rPr>
          <w:rFonts w:ascii="宋体" w:hAnsi="宋体"/>
          <w:color w:val="auto"/>
          <w:szCs w:val="21"/>
          <w:highlight w:val="none"/>
        </w:rPr>
      </w:pPr>
      <w:r>
        <w:rPr>
          <w:rFonts w:ascii="宋体" w:hAnsi="宋体"/>
          <w:color w:val="auto"/>
          <w:szCs w:val="21"/>
          <w:highlight w:val="none"/>
        </w:rPr>
        <w:t xml:space="preserve">                          </w:t>
      </w:r>
    </w:p>
    <w:p>
      <w:pPr>
        <w:spacing w:line="500" w:lineRule="exact"/>
        <w:rPr>
          <w:rFonts w:ascii="宋体" w:hAnsi="宋体"/>
          <w:color w:val="auto"/>
          <w:szCs w:val="21"/>
          <w:highlight w:val="none"/>
        </w:rPr>
      </w:pPr>
    </w:p>
    <w:p>
      <w:pPr>
        <w:spacing w:line="440" w:lineRule="exact"/>
        <w:rPr>
          <w:rFonts w:ascii="宋体" w:hAnsi="宋体"/>
          <w:color w:val="auto"/>
          <w:szCs w:val="21"/>
          <w:highlight w:val="none"/>
        </w:rPr>
      </w:pPr>
    </w:p>
    <w:p>
      <w:pPr>
        <w:spacing w:line="500" w:lineRule="exact"/>
        <w:rPr>
          <w:rFonts w:ascii="宋体" w:hAnsi="宋体"/>
          <w:color w:val="auto"/>
          <w:szCs w:val="21"/>
          <w:highlight w:val="none"/>
        </w:rPr>
      </w:pPr>
    </w:p>
    <w:p>
      <w:pPr>
        <w:spacing w:line="440" w:lineRule="exact"/>
        <w:rPr>
          <w:rFonts w:ascii="宋体" w:hAnsi="宋体"/>
          <w:color w:val="auto"/>
          <w:szCs w:val="21"/>
          <w:highlight w:val="none"/>
        </w:rPr>
      </w:pPr>
    </w:p>
    <w:p>
      <w:pPr>
        <w:spacing w:line="440" w:lineRule="exact"/>
        <w:rPr>
          <w:rFonts w:ascii="宋体" w:hAnsi="宋体"/>
          <w:color w:val="auto"/>
          <w:szCs w:val="21"/>
          <w:highlight w:val="none"/>
        </w:rPr>
      </w:pPr>
      <w:r>
        <w:rPr>
          <w:rFonts w:ascii="宋体" w:hAnsi="宋体"/>
          <w:color w:val="auto"/>
          <w:szCs w:val="21"/>
          <w:highlight w:val="none"/>
        </w:rPr>
        <w:t xml:space="preserve">                          </w:t>
      </w:r>
    </w:p>
    <w:p>
      <w:pPr>
        <w:spacing w:line="440" w:lineRule="exact"/>
        <w:ind w:firstLine="4305" w:firstLineChars="2050"/>
        <w:rPr>
          <w:rFonts w:ascii="宋体" w:hAnsi="宋体"/>
          <w:color w:val="auto"/>
          <w:szCs w:val="21"/>
          <w:highlight w:val="none"/>
        </w:rPr>
      </w:pPr>
      <w:r>
        <w:rPr>
          <w:rFonts w:ascii="宋体" w:hAnsi="宋体"/>
          <w:color w:val="auto"/>
          <w:szCs w:val="21"/>
          <w:highlight w:val="none"/>
        </w:rPr>
        <w:t>参选人</w:t>
      </w:r>
      <w:r>
        <w:rPr>
          <w:rFonts w:hint="eastAsia" w:ascii="宋体" w:hAnsi="宋体"/>
          <w:color w:val="auto"/>
          <w:szCs w:val="21"/>
          <w:highlight w:val="none"/>
        </w:rPr>
        <w:t>名称</w:t>
      </w:r>
      <w:r>
        <w:rPr>
          <w:rFonts w:ascii="宋体" w:hAnsi="宋体"/>
          <w:color w:val="auto"/>
          <w:szCs w:val="21"/>
          <w:highlight w:val="none"/>
        </w:rPr>
        <w:t>：</w:t>
      </w:r>
      <w:r>
        <w:rPr>
          <w:rFonts w:ascii="宋体" w:hAnsi="宋体"/>
          <w:color w:val="auto"/>
          <w:szCs w:val="21"/>
          <w:highlight w:val="none"/>
          <w:u w:val="single"/>
        </w:rPr>
        <w:t xml:space="preserve">               </w:t>
      </w:r>
      <w:r>
        <w:rPr>
          <w:rFonts w:ascii="宋体" w:hAnsi="宋体"/>
          <w:color w:val="auto"/>
          <w:szCs w:val="21"/>
          <w:highlight w:val="none"/>
        </w:rPr>
        <w:t>（盖单位公章）</w:t>
      </w:r>
    </w:p>
    <w:p>
      <w:pPr>
        <w:spacing w:line="440" w:lineRule="exact"/>
        <w:ind w:firstLine="4305" w:firstLineChars="2050"/>
        <w:rPr>
          <w:rFonts w:ascii="宋体" w:hAnsi="宋体"/>
          <w:color w:val="auto"/>
          <w:szCs w:val="21"/>
          <w:highlight w:val="none"/>
        </w:rPr>
      </w:pPr>
    </w:p>
    <w:p>
      <w:pPr>
        <w:spacing w:line="440" w:lineRule="exact"/>
        <w:rPr>
          <w:rFonts w:ascii="宋体" w:hAnsi="宋体"/>
          <w:color w:val="auto"/>
          <w:szCs w:val="21"/>
          <w:highlight w:val="none"/>
        </w:rPr>
      </w:pPr>
      <w:r>
        <w:rPr>
          <w:rFonts w:ascii="宋体" w:hAnsi="宋体"/>
          <w:color w:val="auto"/>
          <w:szCs w:val="21"/>
          <w:highlight w:val="none"/>
        </w:rPr>
        <w:t xml:space="preserve">                                </w:t>
      </w:r>
      <w:r>
        <w:rPr>
          <w:rFonts w:hint="eastAsia" w:ascii="宋体" w:hAnsi="宋体"/>
          <w:color w:val="auto"/>
          <w:szCs w:val="21"/>
          <w:highlight w:val="none"/>
        </w:rPr>
        <w:t xml:space="preserve">         </w:t>
      </w:r>
      <w:r>
        <w:rPr>
          <w:rFonts w:hint="eastAsia" w:ascii="宋体" w:hAnsi="宋体"/>
          <w:color w:val="auto"/>
          <w:highlight w:val="none"/>
        </w:rPr>
        <w:t>日期：XX年XX月XX日</w:t>
      </w:r>
    </w:p>
    <w:p>
      <w:pPr>
        <w:pStyle w:val="35"/>
        <w:numPr>
          <w:ilvl w:val="0"/>
          <w:numId w:val="17"/>
        </w:numPr>
        <w:tabs>
          <w:tab w:val="left" w:pos="0"/>
        </w:tabs>
        <w:snapToGrid w:val="0"/>
        <w:spacing w:before="120" w:after="120" w:line="440" w:lineRule="exact"/>
        <w:jc w:val="left"/>
        <w:outlineLvl w:val="1"/>
        <w:rPr>
          <w:rFonts w:ascii="宋体" w:hAnsi="宋体"/>
          <w:color w:val="auto"/>
          <w:sz w:val="24"/>
          <w:szCs w:val="24"/>
          <w:highlight w:val="none"/>
        </w:rPr>
      </w:pPr>
      <w:r>
        <w:rPr>
          <w:rFonts w:ascii="宋体" w:hAnsi="宋体"/>
          <w:color w:val="auto"/>
          <w:szCs w:val="21"/>
          <w:highlight w:val="none"/>
        </w:rPr>
        <w:br w:type="page"/>
      </w:r>
      <w:bookmarkStart w:id="660" w:name="_Toc438052122"/>
      <w:bookmarkStart w:id="661" w:name="_Toc475472675"/>
      <w:bookmarkStart w:id="662" w:name="_Toc17203046"/>
      <w:bookmarkStart w:id="663" w:name="_Toc17203561"/>
      <w:bookmarkStart w:id="664" w:name="_Toc11232"/>
      <w:bookmarkStart w:id="665" w:name="_Toc17202839"/>
      <w:r>
        <w:rPr>
          <w:rFonts w:ascii="宋体" w:hAnsi="宋体"/>
          <w:color w:val="auto"/>
          <w:sz w:val="28"/>
          <w:szCs w:val="24"/>
          <w:highlight w:val="none"/>
        </w:rPr>
        <w:t>法定代表人</w:t>
      </w:r>
      <w:r>
        <w:rPr>
          <w:rFonts w:hint="eastAsia" w:ascii="宋体" w:hAnsi="宋体"/>
          <w:color w:val="auto"/>
          <w:sz w:val="28"/>
          <w:szCs w:val="24"/>
          <w:highlight w:val="none"/>
        </w:rPr>
        <w:t>（负责人）</w:t>
      </w:r>
      <w:r>
        <w:rPr>
          <w:rFonts w:ascii="宋体" w:hAnsi="宋体"/>
          <w:color w:val="auto"/>
          <w:sz w:val="28"/>
          <w:szCs w:val="24"/>
          <w:highlight w:val="none"/>
        </w:rPr>
        <w:t>授权委托书</w:t>
      </w:r>
      <w:bookmarkEnd w:id="660"/>
      <w:bookmarkEnd w:id="661"/>
      <w:bookmarkEnd w:id="662"/>
      <w:bookmarkEnd w:id="663"/>
      <w:bookmarkEnd w:id="664"/>
      <w:bookmarkEnd w:id="665"/>
    </w:p>
    <w:p>
      <w:pPr>
        <w:spacing w:before="156" w:beforeLines="50" w:after="156" w:afterLines="50"/>
        <w:jc w:val="center"/>
        <w:rPr>
          <w:rFonts w:ascii="宋体" w:hAnsi="宋体" w:cs="宋体"/>
          <w:b/>
          <w:color w:val="auto"/>
          <w:sz w:val="24"/>
          <w:highlight w:val="none"/>
        </w:rPr>
      </w:pPr>
    </w:p>
    <w:p>
      <w:pPr>
        <w:spacing w:before="156" w:beforeLines="50" w:after="156" w:afterLines="50"/>
        <w:jc w:val="center"/>
        <w:rPr>
          <w:rFonts w:ascii="宋体" w:hAnsi="宋体" w:cs="宋体"/>
          <w:b/>
          <w:color w:val="auto"/>
          <w:sz w:val="24"/>
          <w:highlight w:val="none"/>
        </w:rPr>
      </w:pPr>
      <w:r>
        <w:rPr>
          <w:rFonts w:hint="eastAsia" w:ascii="宋体" w:hAnsi="宋体" w:cs="宋体"/>
          <w:b/>
          <w:color w:val="auto"/>
          <w:sz w:val="24"/>
          <w:highlight w:val="none"/>
        </w:rPr>
        <w:t>法定代表人（负责人）授权委托书</w:t>
      </w:r>
    </w:p>
    <w:p>
      <w:pPr>
        <w:jc w:val="center"/>
        <w:rPr>
          <w:rFonts w:ascii="宋体" w:hAnsi="宋体" w:cs="宋体"/>
          <w:b/>
          <w:color w:val="auto"/>
          <w:sz w:val="24"/>
          <w:highlight w:val="none"/>
        </w:rPr>
      </w:pPr>
    </w:p>
    <w:p>
      <w:pPr>
        <w:topLinePunct/>
        <w:snapToGrid w:val="0"/>
        <w:spacing w:line="440" w:lineRule="exact"/>
        <w:ind w:firstLine="420" w:firstLineChars="200"/>
        <w:rPr>
          <w:rFonts w:ascii="宋体" w:hAnsi="宋体"/>
          <w:bCs/>
          <w:color w:val="auto"/>
          <w:szCs w:val="21"/>
          <w:highlight w:val="none"/>
        </w:rPr>
      </w:pPr>
      <w:r>
        <w:rPr>
          <w:rFonts w:ascii="宋体" w:hAnsi="宋体"/>
          <w:bCs/>
          <w:color w:val="auto"/>
          <w:szCs w:val="21"/>
          <w:highlight w:val="none"/>
        </w:rPr>
        <w:t>本人</w:t>
      </w:r>
      <w:r>
        <w:rPr>
          <w:rFonts w:hint="eastAsia" w:ascii="宋体" w:hAnsi="宋体"/>
          <w:color w:val="auto"/>
          <w:highlight w:val="none"/>
          <w:u w:val="single"/>
        </w:rPr>
        <w:t>XX</w:t>
      </w:r>
      <w:r>
        <w:rPr>
          <w:rFonts w:hint="eastAsia" w:ascii="宋体" w:hAnsi="宋体"/>
          <w:color w:val="auto"/>
          <w:szCs w:val="21"/>
          <w:highlight w:val="none"/>
          <w:u w:val="single"/>
        </w:rPr>
        <w:t xml:space="preserve"> [参选人法定代表人（负责人）</w:t>
      </w:r>
      <w:r>
        <w:rPr>
          <w:rFonts w:ascii="宋体" w:hAnsi="宋体"/>
          <w:color w:val="auto"/>
          <w:szCs w:val="21"/>
          <w:highlight w:val="none"/>
          <w:u w:val="single"/>
        </w:rPr>
        <w:t>姓名</w:t>
      </w:r>
      <w:r>
        <w:rPr>
          <w:rFonts w:hint="eastAsia" w:ascii="宋体" w:hAnsi="宋体"/>
          <w:color w:val="auto"/>
          <w:szCs w:val="21"/>
          <w:highlight w:val="none"/>
          <w:u w:val="single"/>
        </w:rPr>
        <w:t>]</w:t>
      </w:r>
      <w:r>
        <w:rPr>
          <w:rFonts w:ascii="宋体" w:hAnsi="宋体"/>
          <w:bCs/>
          <w:color w:val="auto"/>
          <w:szCs w:val="21"/>
          <w:highlight w:val="none"/>
        </w:rPr>
        <w:t xml:space="preserve">系 </w:t>
      </w:r>
      <w:r>
        <w:rPr>
          <w:rFonts w:hint="eastAsia" w:ascii="宋体" w:hAnsi="宋体"/>
          <w:color w:val="auto"/>
          <w:highlight w:val="none"/>
          <w:u w:val="single"/>
        </w:rPr>
        <w:t>XX公司</w:t>
      </w:r>
      <w:r>
        <w:rPr>
          <w:rFonts w:hint="eastAsia" w:ascii="宋体" w:hAnsi="宋体"/>
          <w:color w:val="auto"/>
          <w:szCs w:val="21"/>
          <w:highlight w:val="none"/>
          <w:u w:val="single"/>
        </w:rPr>
        <w:t>[参选</w:t>
      </w:r>
      <w:r>
        <w:rPr>
          <w:rFonts w:ascii="宋体" w:hAnsi="宋体"/>
          <w:color w:val="auto"/>
          <w:szCs w:val="21"/>
          <w:highlight w:val="none"/>
          <w:u w:val="single"/>
        </w:rPr>
        <w:t>人名称</w:t>
      </w:r>
      <w:r>
        <w:rPr>
          <w:rFonts w:hint="eastAsia" w:ascii="宋体" w:hAnsi="宋体"/>
          <w:color w:val="auto"/>
          <w:szCs w:val="21"/>
          <w:highlight w:val="none"/>
          <w:u w:val="single"/>
        </w:rPr>
        <w:t>]</w:t>
      </w:r>
      <w:r>
        <w:rPr>
          <w:rFonts w:ascii="宋体" w:hAnsi="宋体"/>
          <w:bCs/>
          <w:color w:val="auto"/>
          <w:szCs w:val="21"/>
          <w:highlight w:val="none"/>
        </w:rPr>
        <w:t>的法定代表人，现委托</w:t>
      </w:r>
      <w:r>
        <w:rPr>
          <w:rFonts w:hint="eastAsia" w:ascii="宋体" w:hAnsi="宋体"/>
          <w:color w:val="auto"/>
          <w:highlight w:val="none"/>
          <w:u w:val="single"/>
        </w:rPr>
        <w:t>XX</w:t>
      </w:r>
      <w:r>
        <w:rPr>
          <w:rFonts w:hint="eastAsia" w:ascii="宋体" w:hAnsi="宋体"/>
          <w:color w:val="auto"/>
          <w:szCs w:val="21"/>
          <w:highlight w:val="none"/>
          <w:u w:val="single"/>
        </w:rPr>
        <w:t xml:space="preserve"> [委托代理人</w:t>
      </w:r>
      <w:r>
        <w:rPr>
          <w:rFonts w:ascii="宋体" w:hAnsi="宋体"/>
          <w:color w:val="auto"/>
          <w:szCs w:val="21"/>
          <w:highlight w:val="none"/>
          <w:u w:val="single"/>
        </w:rPr>
        <w:t>姓名</w:t>
      </w:r>
      <w:r>
        <w:rPr>
          <w:rFonts w:hint="eastAsia" w:ascii="宋体" w:hAnsi="宋体"/>
          <w:color w:val="auto"/>
          <w:szCs w:val="21"/>
          <w:highlight w:val="none"/>
          <w:u w:val="single"/>
        </w:rPr>
        <w:t>]</w:t>
      </w:r>
      <w:r>
        <w:rPr>
          <w:rFonts w:ascii="宋体" w:hAnsi="宋体"/>
          <w:bCs/>
          <w:color w:val="auto"/>
          <w:szCs w:val="21"/>
          <w:highlight w:val="none"/>
        </w:rPr>
        <w:t>为我方代理人。代理人根据授权，以我方名义</w:t>
      </w:r>
      <w:r>
        <w:rPr>
          <w:rFonts w:hint="eastAsia" w:ascii="宋体" w:hAnsi="宋体"/>
          <w:bCs/>
          <w:color w:val="auto"/>
          <w:szCs w:val="21"/>
          <w:highlight w:val="none"/>
        </w:rPr>
        <w:t>全权处理</w:t>
      </w:r>
      <w:r>
        <w:rPr>
          <w:rFonts w:hint="eastAsia" w:ascii="宋体" w:hAnsi="宋体"/>
          <w:color w:val="auto"/>
          <w:highlight w:val="none"/>
          <w:u w:val="single"/>
        </w:rPr>
        <w:t>XX</w:t>
      </w:r>
      <w:r>
        <w:rPr>
          <w:rFonts w:hint="eastAsia" w:ascii="宋体" w:hAnsi="宋体"/>
          <w:color w:val="auto"/>
          <w:szCs w:val="21"/>
          <w:highlight w:val="none"/>
          <w:u w:val="single"/>
        </w:rPr>
        <w:t>项目[</w:t>
      </w:r>
      <w:r>
        <w:rPr>
          <w:rFonts w:ascii="宋体" w:hAnsi="宋体"/>
          <w:bCs/>
          <w:color w:val="auto"/>
          <w:szCs w:val="21"/>
          <w:highlight w:val="none"/>
          <w:u w:val="single"/>
        </w:rPr>
        <w:t>比选项目名称</w:t>
      </w:r>
      <w:r>
        <w:rPr>
          <w:rFonts w:hint="eastAsia" w:ascii="宋体" w:hAnsi="宋体"/>
          <w:color w:val="auto"/>
          <w:szCs w:val="21"/>
          <w:highlight w:val="none"/>
          <w:u w:val="single"/>
        </w:rPr>
        <w:t>]</w:t>
      </w:r>
      <w:r>
        <w:rPr>
          <w:rFonts w:hint="eastAsia" w:ascii="宋体" w:hAnsi="宋体"/>
          <w:color w:val="auto"/>
          <w:highlight w:val="none"/>
          <w:u w:val="single"/>
        </w:rPr>
        <w:t>XX</w:t>
      </w:r>
      <w:r>
        <w:rPr>
          <w:rFonts w:hint="eastAsia" w:ascii="宋体" w:hAnsi="宋体"/>
          <w:color w:val="auto"/>
          <w:szCs w:val="21"/>
          <w:highlight w:val="none"/>
          <w:u w:val="single"/>
        </w:rPr>
        <w:t>标段[标段名称]</w:t>
      </w:r>
      <w:r>
        <w:rPr>
          <w:rFonts w:ascii="宋体" w:hAnsi="宋体"/>
          <w:bCs/>
          <w:color w:val="auto"/>
          <w:szCs w:val="21"/>
          <w:highlight w:val="none"/>
          <w:u w:val="single"/>
        </w:rPr>
        <w:t>签署、澄清</w:t>
      </w:r>
      <w:r>
        <w:rPr>
          <w:rFonts w:hint="eastAsia" w:ascii="宋体" w:hAnsi="宋体"/>
          <w:bCs/>
          <w:color w:val="auto"/>
          <w:szCs w:val="21"/>
          <w:highlight w:val="none"/>
          <w:u w:val="single"/>
        </w:rPr>
        <w:t>、说明、补正</w:t>
      </w:r>
      <w:r>
        <w:rPr>
          <w:rFonts w:ascii="宋体" w:hAnsi="宋体"/>
          <w:bCs/>
          <w:color w:val="auto"/>
          <w:szCs w:val="21"/>
          <w:highlight w:val="none"/>
          <w:u w:val="single"/>
        </w:rPr>
        <w:t>、递交、撤回、修改参选文件</w:t>
      </w:r>
      <w:r>
        <w:rPr>
          <w:rFonts w:hint="eastAsia" w:ascii="宋体" w:hAnsi="宋体"/>
          <w:bCs/>
          <w:color w:val="auto"/>
          <w:szCs w:val="21"/>
          <w:highlight w:val="none"/>
          <w:u w:val="single"/>
        </w:rPr>
        <w:t>，</w:t>
      </w:r>
      <w:r>
        <w:rPr>
          <w:rFonts w:ascii="宋体" w:hAnsi="宋体"/>
          <w:bCs/>
          <w:color w:val="auto"/>
          <w:szCs w:val="21"/>
          <w:highlight w:val="none"/>
          <w:u w:val="single"/>
        </w:rPr>
        <w:t>签订合同和处理</w:t>
      </w:r>
      <w:r>
        <w:rPr>
          <w:rFonts w:hint="eastAsia" w:ascii="宋体" w:hAnsi="宋体"/>
          <w:bCs/>
          <w:color w:val="auto"/>
          <w:szCs w:val="21"/>
          <w:highlight w:val="none"/>
          <w:u w:val="single"/>
        </w:rPr>
        <w:t>一切</w:t>
      </w:r>
      <w:r>
        <w:rPr>
          <w:rFonts w:ascii="宋体" w:hAnsi="宋体"/>
          <w:bCs/>
          <w:color w:val="auto"/>
          <w:szCs w:val="21"/>
          <w:highlight w:val="none"/>
          <w:u w:val="single"/>
        </w:rPr>
        <w:t>有关事宜</w:t>
      </w:r>
      <w:r>
        <w:rPr>
          <w:rFonts w:ascii="宋体" w:hAnsi="宋体"/>
          <w:bCs/>
          <w:color w:val="auto"/>
          <w:szCs w:val="21"/>
          <w:highlight w:val="none"/>
        </w:rPr>
        <w:t xml:space="preserve">，其法律后果由我方承担。 </w:t>
      </w:r>
    </w:p>
    <w:p>
      <w:pPr>
        <w:topLinePunct/>
        <w:snapToGrid w:val="0"/>
        <w:spacing w:line="440" w:lineRule="exact"/>
        <w:ind w:firstLine="420" w:firstLineChars="200"/>
        <w:rPr>
          <w:rFonts w:ascii="宋体" w:hAnsi="宋体"/>
          <w:bCs/>
          <w:color w:val="auto"/>
          <w:szCs w:val="21"/>
          <w:highlight w:val="none"/>
        </w:rPr>
      </w:pPr>
      <w:r>
        <w:rPr>
          <w:rFonts w:ascii="宋体" w:hAnsi="宋体"/>
          <w:bCs/>
          <w:color w:val="auto"/>
          <w:szCs w:val="21"/>
          <w:highlight w:val="none"/>
        </w:rPr>
        <w:t>委托期限：</w:t>
      </w:r>
      <w:r>
        <w:rPr>
          <w:rFonts w:ascii="宋体" w:hAnsi="宋体"/>
          <w:bCs/>
          <w:color w:val="auto"/>
          <w:szCs w:val="21"/>
          <w:highlight w:val="none"/>
          <w:u w:val="single"/>
        </w:rPr>
        <w:t xml:space="preserve">       </w:t>
      </w:r>
      <w:r>
        <w:rPr>
          <w:rFonts w:hint="eastAsia" w:ascii="宋体" w:hAnsi="宋体"/>
          <w:bCs/>
          <w:color w:val="auto"/>
          <w:szCs w:val="21"/>
          <w:highlight w:val="none"/>
        </w:rPr>
        <w:t>。</w:t>
      </w:r>
    </w:p>
    <w:p>
      <w:pPr>
        <w:topLinePunct/>
        <w:snapToGrid w:val="0"/>
        <w:spacing w:line="440" w:lineRule="exact"/>
        <w:ind w:firstLine="420" w:firstLineChars="200"/>
        <w:rPr>
          <w:rFonts w:ascii="宋体" w:hAnsi="宋体"/>
          <w:bCs/>
          <w:color w:val="auto"/>
          <w:szCs w:val="21"/>
          <w:highlight w:val="none"/>
        </w:rPr>
      </w:pPr>
      <w:r>
        <w:rPr>
          <w:rFonts w:hint="eastAsia" w:ascii="宋体" w:hAnsi="宋体"/>
          <w:bCs/>
          <w:color w:val="auto"/>
          <w:szCs w:val="21"/>
          <w:highlight w:val="none"/>
        </w:rPr>
        <w:t>委托</w:t>
      </w:r>
      <w:r>
        <w:rPr>
          <w:rFonts w:ascii="宋体" w:hAnsi="宋体"/>
          <w:bCs/>
          <w:color w:val="auto"/>
          <w:szCs w:val="21"/>
          <w:highlight w:val="none"/>
        </w:rPr>
        <w:t>代理人无转委托权。</w:t>
      </w:r>
    </w:p>
    <w:p>
      <w:pPr>
        <w:spacing w:line="440" w:lineRule="exact"/>
        <w:ind w:firstLine="420" w:firstLineChars="200"/>
        <w:rPr>
          <w:rFonts w:ascii="宋体" w:hAnsi="宋体"/>
          <w:color w:val="auto"/>
          <w:szCs w:val="21"/>
          <w:highlight w:val="none"/>
        </w:rPr>
      </w:pPr>
      <w:r>
        <w:rPr>
          <w:rFonts w:hint="eastAsia" w:ascii="宋体" w:hAnsi="宋体"/>
          <w:bCs/>
          <w:color w:val="auto"/>
          <w:szCs w:val="21"/>
          <w:highlight w:val="none"/>
        </w:rPr>
        <w:t>※附：委托代理人身份证复印件(需同时提供正面及背面)</w:t>
      </w:r>
    </w:p>
    <w:p>
      <w:pPr>
        <w:topLinePunct/>
        <w:snapToGrid w:val="0"/>
        <w:spacing w:line="440" w:lineRule="exact"/>
        <w:ind w:firstLine="420" w:firstLineChars="200"/>
        <w:jc w:val="right"/>
        <w:rPr>
          <w:rFonts w:ascii="宋体" w:hAnsi="宋体"/>
          <w:bCs/>
          <w:color w:val="auto"/>
          <w:szCs w:val="21"/>
          <w:highlight w:val="none"/>
        </w:rPr>
      </w:pPr>
      <w:r>
        <w:rPr>
          <w:rFonts w:hint="eastAsia" w:ascii="宋体" w:hAnsi="宋体"/>
          <w:bCs/>
          <w:color w:val="auto"/>
          <w:szCs w:val="21"/>
          <w:highlight w:val="none"/>
        </w:rPr>
        <w:t xml:space="preserve"> </w:t>
      </w:r>
    </w:p>
    <w:p>
      <w:pPr>
        <w:topLinePunct/>
        <w:snapToGrid w:val="0"/>
        <w:spacing w:line="440" w:lineRule="exact"/>
        <w:ind w:firstLine="420" w:firstLineChars="200"/>
        <w:jc w:val="right"/>
        <w:rPr>
          <w:rFonts w:ascii="宋体" w:hAnsi="宋体"/>
          <w:bCs/>
          <w:color w:val="auto"/>
          <w:szCs w:val="21"/>
          <w:highlight w:val="none"/>
        </w:rPr>
      </w:pPr>
      <w:r>
        <w:rPr>
          <w:rFonts w:ascii="宋体" w:hAnsi="宋体"/>
          <w:bCs/>
          <w:color w:val="auto"/>
          <w:szCs w:val="21"/>
          <w:highlight w:val="none"/>
        </w:rPr>
        <w:t>参选人</w:t>
      </w:r>
      <w:r>
        <w:rPr>
          <w:rFonts w:hint="eastAsia" w:ascii="宋体" w:hAnsi="宋体"/>
          <w:bCs/>
          <w:color w:val="auto"/>
          <w:szCs w:val="21"/>
          <w:highlight w:val="none"/>
        </w:rPr>
        <w:t>名称</w:t>
      </w:r>
      <w:r>
        <w:rPr>
          <w:rFonts w:ascii="宋体" w:hAnsi="宋体"/>
          <w:bCs/>
          <w:color w:val="auto"/>
          <w:szCs w:val="21"/>
          <w:highlight w:val="none"/>
        </w:rPr>
        <w:t>：</w:t>
      </w:r>
      <w:r>
        <w:rPr>
          <w:rFonts w:ascii="宋体" w:hAnsi="宋体"/>
          <w:bCs/>
          <w:color w:val="auto"/>
          <w:szCs w:val="21"/>
          <w:highlight w:val="none"/>
          <w:u w:val="single"/>
        </w:rPr>
        <w:t xml:space="preserve">                               </w:t>
      </w:r>
      <w:r>
        <w:rPr>
          <w:rFonts w:ascii="宋体" w:hAnsi="宋体"/>
          <w:bCs/>
          <w:color w:val="auto"/>
          <w:szCs w:val="21"/>
          <w:highlight w:val="none"/>
        </w:rPr>
        <w:t>（盖单位公章）</w:t>
      </w:r>
    </w:p>
    <w:p>
      <w:pPr>
        <w:topLinePunct/>
        <w:snapToGrid w:val="0"/>
        <w:spacing w:line="440" w:lineRule="exact"/>
        <w:ind w:firstLine="2310" w:firstLineChars="1100"/>
        <w:rPr>
          <w:rFonts w:ascii="宋体" w:hAnsi="宋体"/>
          <w:bCs/>
          <w:color w:val="auto"/>
          <w:szCs w:val="21"/>
          <w:highlight w:val="none"/>
        </w:rPr>
      </w:pPr>
      <w:r>
        <w:rPr>
          <w:rFonts w:ascii="宋体" w:hAnsi="宋体"/>
          <w:bCs/>
          <w:color w:val="auto"/>
          <w:szCs w:val="21"/>
          <w:highlight w:val="none"/>
        </w:rPr>
        <w:t>法定代表人</w:t>
      </w:r>
      <w:r>
        <w:rPr>
          <w:rFonts w:hint="eastAsia" w:ascii="宋体" w:hAnsi="宋体"/>
          <w:bCs/>
          <w:color w:val="auto"/>
          <w:szCs w:val="21"/>
          <w:highlight w:val="none"/>
        </w:rPr>
        <w:t>（负责人）</w:t>
      </w:r>
      <w:r>
        <w:rPr>
          <w:rFonts w:ascii="宋体" w:hAnsi="宋体"/>
          <w:bCs/>
          <w:color w:val="auto"/>
          <w:szCs w:val="21"/>
          <w:highlight w:val="none"/>
        </w:rPr>
        <w:t>：</w:t>
      </w:r>
      <w:r>
        <w:rPr>
          <w:rFonts w:ascii="宋体" w:hAnsi="宋体"/>
          <w:bCs/>
          <w:color w:val="auto"/>
          <w:szCs w:val="21"/>
          <w:highlight w:val="none"/>
          <w:u w:val="single"/>
        </w:rPr>
        <w:t xml:space="preserve">                               </w:t>
      </w:r>
      <w:r>
        <w:rPr>
          <w:rFonts w:ascii="宋体" w:hAnsi="宋体"/>
          <w:bCs/>
          <w:color w:val="auto"/>
          <w:szCs w:val="21"/>
          <w:highlight w:val="none"/>
        </w:rPr>
        <w:t>（签字）</w:t>
      </w:r>
    </w:p>
    <w:p>
      <w:pPr>
        <w:topLinePunct/>
        <w:snapToGrid w:val="0"/>
        <w:spacing w:line="440" w:lineRule="exact"/>
        <w:ind w:firstLine="2310" w:firstLineChars="1100"/>
        <w:rPr>
          <w:rFonts w:ascii="宋体" w:hAnsi="宋体"/>
          <w:bCs/>
          <w:color w:val="auto"/>
          <w:szCs w:val="21"/>
          <w:highlight w:val="none"/>
        </w:rPr>
      </w:pPr>
      <w:r>
        <w:rPr>
          <w:rFonts w:ascii="宋体" w:hAnsi="宋体"/>
          <w:bCs/>
          <w:color w:val="auto"/>
          <w:szCs w:val="21"/>
          <w:highlight w:val="none"/>
        </w:rPr>
        <w:t>身份证号码：</w:t>
      </w:r>
      <w:r>
        <w:rPr>
          <w:rFonts w:ascii="宋体" w:hAnsi="宋体"/>
          <w:bCs/>
          <w:color w:val="auto"/>
          <w:szCs w:val="21"/>
          <w:highlight w:val="none"/>
          <w:u w:val="single"/>
        </w:rPr>
        <w:t xml:space="preserve">                                </w:t>
      </w:r>
      <w:r>
        <w:rPr>
          <w:rFonts w:ascii="宋体" w:hAnsi="宋体"/>
          <w:bCs/>
          <w:color w:val="auto"/>
          <w:szCs w:val="21"/>
          <w:highlight w:val="none"/>
        </w:rPr>
        <w:t xml:space="preserve">     </w:t>
      </w:r>
    </w:p>
    <w:p>
      <w:pPr>
        <w:topLinePunct/>
        <w:snapToGrid w:val="0"/>
        <w:spacing w:line="440" w:lineRule="exact"/>
        <w:ind w:firstLine="2310" w:firstLineChars="1100"/>
        <w:rPr>
          <w:rFonts w:ascii="宋体" w:hAnsi="宋体"/>
          <w:bCs/>
          <w:color w:val="auto"/>
          <w:szCs w:val="21"/>
          <w:highlight w:val="none"/>
        </w:rPr>
      </w:pPr>
      <w:r>
        <w:rPr>
          <w:rFonts w:ascii="宋体" w:hAnsi="宋体"/>
          <w:bCs/>
          <w:color w:val="auto"/>
          <w:szCs w:val="21"/>
          <w:highlight w:val="none"/>
        </w:rPr>
        <w:t>委托代理人：</w:t>
      </w:r>
      <w:r>
        <w:rPr>
          <w:rFonts w:ascii="宋体" w:hAnsi="宋体"/>
          <w:bCs/>
          <w:color w:val="auto"/>
          <w:szCs w:val="21"/>
          <w:highlight w:val="none"/>
          <w:u w:val="single"/>
        </w:rPr>
        <w:t xml:space="preserve">                              </w:t>
      </w:r>
      <w:r>
        <w:rPr>
          <w:rFonts w:ascii="宋体" w:hAnsi="宋体"/>
          <w:bCs/>
          <w:color w:val="auto"/>
          <w:szCs w:val="21"/>
          <w:highlight w:val="none"/>
        </w:rPr>
        <w:t xml:space="preserve">（签字） </w:t>
      </w:r>
    </w:p>
    <w:p>
      <w:pPr>
        <w:topLinePunct/>
        <w:snapToGrid w:val="0"/>
        <w:spacing w:line="440" w:lineRule="exact"/>
        <w:ind w:firstLine="2310" w:firstLineChars="1100"/>
        <w:rPr>
          <w:rFonts w:ascii="宋体" w:hAnsi="宋体"/>
          <w:bCs/>
          <w:color w:val="auto"/>
          <w:szCs w:val="21"/>
          <w:highlight w:val="none"/>
        </w:rPr>
      </w:pPr>
      <w:r>
        <w:rPr>
          <w:rFonts w:ascii="宋体" w:hAnsi="宋体"/>
          <w:bCs/>
          <w:color w:val="auto"/>
          <w:szCs w:val="21"/>
          <w:highlight w:val="none"/>
        </w:rPr>
        <w:t>身份证号码：</w:t>
      </w:r>
      <w:r>
        <w:rPr>
          <w:rFonts w:ascii="宋体" w:hAnsi="宋体"/>
          <w:bCs/>
          <w:color w:val="auto"/>
          <w:szCs w:val="21"/>
          <w:highlight w:val="none"/>
          <w:u w:val="single"/>
        </w:rPr>
        <w:t xml:space="preserve">                   </w:t>
      </w:r>
      <w:r>
        <w:rPr>
          <w:rFonts w:hint="eastAsia" w:ascii="宋体" w:hAnsi="宋体"/>
          <w:bCs/>
          <w:color w:val="auto"/>
          <w:szCs w:val="21"/>
          <w:highlight w:val="none"/>
          <w:u w:val="single"/>
        </w:rPr>
        <w:t xml:space="preserve"> </w:t>
      </w:r>
      <w:r>
        <w:rPr>
          <w:rFonts w:ascii="宋体" w:hAnsi="宋体"/>
          <w:bCs/>
          <w:color w:val="auto"/>
          <w:szCs w:val="21"/>
          <w:highlight w:val="none"/>
          <w:u w:val="single"/>
        </w:rPr>
        <w:t xml:space="preserve">           </w:t>
      </w:r>
      <w:r>
        <w:rPr>
          <w:rFonts w:ascii="宋体" w:hAnsi="宋体"/>
          <w:bCs/>
          <w:color w:val="auto"/>
          <w:szCs w:val="21"/>
          <w:highlight w:val="none"/>
        </w:rPr>
        <w:t xml:space="preserve">      </w:t>
      </w:r>
    </w:p>
    <w:p>
      <w:pPr>
        <w:topLinePunct/>
        <w:snapToGrid w:val="0"/>
        <w:spacing w:line="440" w:lineRule="exact"/>
        <w:ind w:firstLine="2310" w:firstLineChars="1100"/>
        <w:rPr>
          <w:rFonts w:ascii="宋体" w:hAnsi="宋体"/>
          <w:bCs/>
          <w:color w:val="auto"/>
          <w:szCs w:val="21"/>
          <w:highlight w:val="none"/>
        </w:rPr>
      </w:pPr>
      <w:r>
        <w:rPr>
          <w:rFonts w:hint="eastAsia" w:ascii="宋体" w:hAnsi="宋体"/>
          <w:bCs/>
          <w:color w:val="auto"/>
          <w:szCs w:val="21"/>
          <w:highlight w:val="none"/>
        </w:rPr>
        <w:t>委托代理人上级领导：</w:t>
      </w:r>
      <w:r>
        <w:rPr>
          <w:rFonts w:hint="eastAsia" w:ascii="宋体" w:hAnsi="宋体"/>
          <w:bCs/>
          <w:color w:val="auto"/>
          <w:szCs w:val="21"/>
          <w:highlight w:val="none"/>
          <w:u w:val="single"/>
        </w:rPr>
        <w:t xml:space="preserve">                    </w:t>
      </w:r>
      <w:r>
        <w:rPr>
          <w:rFonts w:hint="eastAsia" w:ascii="宋体" w:hAnsi="宋体"/>
          <w:bCs/>
          <w:color w:val="auto"/>
          <w:szCs w:val="21"/>
          <w:highlight w:val="none"/>
        </w:rPr>
        <w:t>（姓名）</w:t>
      </w:r>
    </w:p>
    <w:p>
      <w:pPr>
        <w:topLinePunct/>
        <w:snapToGrid w:val="0"/>
        <w:spacing w:line="440" w:lineRule="exact"/>
        <w:ind w:firstLine="2310" w:firstLineChars="1100"/>
        <w:rPr>
          <w:rFonts w:ascii="宋体" w:hAnsi="宋体"/>
          <w:bCs/>
          <w:color w:val="auto"/>
          <w:szCs w:val="21"/>
          <w:highlight w:val="none"/>
        </w:rPr>
      </w:pPr>
      <w:r>
        <w:rPr>
          <w:rFonts w:hint="eastAsia" w:ascii="宋体" w:hAnsi="宋体"/>
          <w:bCs/>
          <w:color w:val="auto"/>
          <w:szCs w:val="21"/>
          <w:highlight w:val="none"/>
        </w:rPr>
        <w:t>联系方式（手机）：</w:t>
      </w:r>
      <w:r>
        <w:rPr>
          <w:rFonts w:hint="eastAsia" w:ascii="宋体" w:hAnsi="宋体"/>
          <w:bCs/>
          <w:color w:val="auto"/>
          <w:szCs w:val="21"/>
          <w:highlight w:val="none"/>
          <w:u w:val="single"/>
        </w:rPr>
        <w:t xml:space="preserve">                     </w:t>
      </w:r>
    </w:p>
    <w:p>
      <w:pPr>
        <w:topLinePunct/>
        <w:snapToGrid w:val="0"/>
        <w:spacing w:line="440" w:lineRule="exact"/>
        <w:ind w:firstLine="420" w:firstLineChars="200"/>
        <w:rPr>
          <w:rFonts w:ascii="宋体" w:hAnsi="宋体"/>
          <w:color w:val="auto"/>
          <w:highlight w:val="none"/>
        </w:rPr>
      </w:pPr>
      <w:r>
        <w:rPr>
          <w:rFonts w:ascii="宋体" w:hAnsi="宋体"/>
          <w:bCs/>
          <w:color w:val="auto"/>
          <w:szCs w:val="21"/>
          <w:highlight w:val="none"/>
        </w:rPr>
        <w:t xml:space="preserve">       </w:t>
      </w:r>
      <w:r>
        <w:rPr>
          <w:rFonts w:hint="eastAsia" w:ascii="宋体" w:hAnsi="宋体"/>
          <w:bCs/>
          <w:color w:val="auto"/>
          <w:szCs w:val="21"/>
          <w:highlight w:val="none"/>
        </w:rPr>
        <w:t xml:space="preserve">           </w:t>
      </w:r>
      <w:r>
        <w:rPr>
          <w:rFonts w:hint="eastAsia" w:ascii="宋体" w:hAnsi="宋体"/>
          <w:color w:val="auto"/>
          <w:highlight w:val="none"/>
        </w:rPr>
        <w:t>日期：XX年XX月XX日</w:t>
      </w:r>
    </w:p>
    <w:p>
      <w:pPr>
        <w:spacing w:line="500" w:lineRule="exact"/>
        <w:rPr>
          <w:rFonts w:ascii="宋体" w:hAnsi="宋体"/>
          <w:color w:val="auto"/>
          <w:szCs w:val="21"/>
          <w:highlight w:val="none"/>
        </w:rPr>
      </w:pPr>
      <w:r>
        <w:rPr>
          <w:rFonts w:ascii="宋体" w:hAnsi="宋体"/>
          <w:color w:val="auto"/>
          <w:szCs w:val="21"/>
          <w:highlight w:val="none"/>
        </w:rPr>
        <w:pict>
          <v:shape id="流程图: 可选过程 8" o:spid="_x0000_s1029" o:spt="176" type="#_x0000_t176" style="position:absolute;left:0pt;margin-left:208.3pt;margin-top:18.8pt;height:166.45pt;width:259.65pt;z-index:25166233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">
            <v:path/>
            <v:fill focussize="0,0"/>
            <v:stroke joinstyle="miter"/>
            <v:imagedata o:title=""/>
            <o:lock v:ext="edit"/>
            <v:textbox>
              <w:txbxContent>
                <w:p>
                  <w:pPr>
                    <w:jc w:val="center"/>
                    <w:rPr>
                      <w:szCs w:val="21"/>
                    </w:rPr>
                  </w:pPr>
                  <w:r>
                    <w:rPr>
                      <w:rFonts w:hint="eastAsia"/>
                      <w:szCs w:val="21"/>
                    </w:rPr>
                    <w:t>委托代理人身份证背面复印件贴于此处</w:t>
                  </w:r>
                </w:p>
              </w:txbxContent>
            </v:textbox>
          </v:shape>
        </w:pict>
      </w:r>
      <w:r>
        <w:rPr>
          <w:rFonts w:ascii="宋体" w:hAnsi="宋体"/>
          <w:color w:val="auto"/>
          <w:szCs w:val="21"/>
          <w:highlight w:val="none"/>
        </w:rPr>
        <w:pict>
          <v:shape id="流程图: 可选过程 7" o:spid="_x0000_s1030" o:spt="176" type="#_x0000_t176" style="position:absolute;left:0pt;margin-left:-51.35pt;margin-top:18.8pt;height:166.45pt;width:259.65pt;z-index:25166131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">
            <v:path/>
            <v:fill focussize="0,0"/>
            <v:stroke joinstyle="miter"/>
            <v:imagedata o:title=""/>
            <o:lock v:ext="edit"/>
            <v:textbox>
              <w:txbxContent>
                <w:p>
                  <w:pPr>
                    <w:jc w:val="center"/>
                    <w:rPr>
                      <w:szCs w:val="21"/>
                    </w:rPr>
                  </w:pPr>
                  <w:r>
                    <w:rPr>
                      <w:rFonts w:hint="eastAsia"/>
                      <w:szCs w:val="21"/>
                    </w:rPr>
                    <w:t>委托代理人身份证正面复印件贴于此处</w:t>
                  </w:r>
                </w:p>
                <w:p>
                  <w:pPr>
                    <w:jc w:val="center"/>
                    <w:rPr>
                      <w:szCs w:val="21"/>
                    </w:rPr>
                  </w:pPr>
                </w:p>
              </w:txbxContent>
            </v:textbox>
          </v:shape>
        </w:pict>
      </w:r>
    </w:p>
    <w:p>
      <w:pPr>
        <w:spacing w:line="440" w:lineRule="exact"/>
        <w:rPr>
          <w:rFonts w:ascii="宋体" w:hAnsi="宋体"/>
          <w:color w:val="auto"/>
          <w:szCs w:val="21"/>
          <w:highlight w:val="none"/>
        </w:rPr>
      </w:pPr>
    </w:p>
    <w:p>
      <w:pPr>
        <w:spacing w:line="500" w:lineRule="exact"/>
        <w:rPr>
          <w:rFonts w:ascii="宋体" w:hAnsi="宋体"/>
          <w:color w:val="auto"/>
          <w:szCs w:val="21"/>
          <w:highlight w:val="none"/>
        </w:rPr>
      </w:pPr>
    </w:p>
    <w:p>
      <w:pPr>
        <w:spacing w:line="440" w:lineRule="exact"/>
        <w:rPr>
          <w:rFonts w:ascii="宋体" w:hAnsi="宋体"/>
          <w:color w:val="auto"/>
          <w:szCs w:val="21"/>
          <w:highlight w:val="none"/>
        </w:rPr>
      </w:pPr>
    </w:p>
    <w:p>
      <w:pPr>
        <w:topLinePunct/>
        <w:snapToGrid w:val="0"/>
        <w:spacing w:line="440" w:lineRule="exact"/>
        <w:rPr>
          <w:rFonts w:ascii="宋体" w:hAnsi="宋体"/>
          <w:color w:val="auto"/>
          <w:highlight w:val="none"/>
        </w:rPr>
      </w:pPr>
    </w:p>
    <w:p>
      <w:pPr>
        <w:topLinePunct/>
        <w:snapToGrid w:val="0"/>
        <w:spacing w:line="440" w:lineRule="exact"/>
        <w:ind w:firstLine="420" w:firstLineChars="200"/>
        <w:rPr>
          <w:rFonts w:ascii="宋体" w:hAnsi="宋体"/>
          <w:bCs/>
          <w:color w:val="auto"/>
          <w:szCs w:val="21"/>
          <w:highlight w:val="none"/>
        </w:rPr>
      </w:pPr>
    </w:p>
    <w:p>
      <w:pPr>
        <w:topLinePunct/>
        <w:snapToGrid w:val="0"/>
        <w:spacing w:line="440" w:lineRule="exact"/>
        <w:ind w:firstLine="420" w:firstLineChars="200"/>
        <w:rPr>
          <w:rFonts w:ascii="宋体" w:hAnsi="宋体"/>
          <w:bCs/>
          <w:color w:val="auto"/>
          <w:szCs w:val="21"/>
          <w:highlight w:val="none"/>
        </w:rPr>
      </w:pPr>
    </w:p>
    <w:p>
      <w:pPr>
        <w:topLinePunct/>
        <w:snapToGrid w:val="0"/>
        <w:spacing w:line="440" w:lineRule="exact"/>
        <w:ind w:firstLine="420" w:firstLineChars="200"/>
        <w:rPr>
          <w:rFonts w:ascii="宋体" w:hAnsi="宋体"/>
          <w:bCs/>
          <w:color w:val="auto"/>
          <w:szCs w:val="21"/>
          <w:highlight w:val="none"/>
        </w:rPr>
      </w:pPr>
    </w:p>
    <w:p>
      <w:pPr>
        <w:topLinePunct/>
        <w:spacing w:line="440" w:lineRule="exact"/>
        <w:ind w:left="422"/>
        <w:jc w:val="left"/>
        <w:rPr>
          <w:rFonts w:ascii="宋体" w:hAnsi="宋体"/>
          <w:color w:val="auto"/>
          <w:highlight w:val="none"/>
        </w:rPr>
        <w:sectPr>
          <w:pgSz w:w="11906" w:h="16838"/>
          <w:pgMar w:top="1440" w:right="1800" w:bottom="1440" w:left="1800" w:header="851" w:footer="992" w:gutter="0"/>
          <w:cols w:space="425" w:num="1"/>
          <w:docGrid w:type="lines" w:linePitch="312" w:charSpace="0"/>
        </w:sectPr>
      </w:pP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666" w:name="_Toc502225014"/>
      <w:bookmarkEnd w:id="666"/>
      <w:bookmarkStart w:id="667" w:name="_Toc502225026"/>
      <w:bookmarkEnd w:id="667"/>
      <w:bookmarkStart w:id="668" w:name="_Toc502225019"/>
      <w:bookmarkEnd w:id="668"/>
      <w:bookmarkStart w:id="669" w:name="_Toc502225025"/>
      <w:bookmarkEnd w:id="669"/>
      <w:bookmarkStart w:id="670" w:name="_Toc502225021"/>
      <w:bookmarkEnd w:id="670"/>
      <w:bookmarkStart w:id="671" w:name="_Toc502225023"/>
      <w:bookmarkEnd w:id="671"/>
      <w:bookmarkStart w:id="672" w:name="_Toc502225031"/>
      <w:bookmarkEnd w:id="672"/>
      <w:bookmarkStart w:id="673" w:name="_Toc502225022"/>
      <w:bookmarkEnd w:id="673"/>
      <w:bookmarkStart w:id="674" w:name="_Toc502225015"/>
      <w:bookmarkEnd w:id="674"/>
      <w:bookmarkStart w:id="675" w:name="_Toc502225029"/>
      <w:bookmarkEnd w:id="675"/>
      <w:bookmarkStart w:id="676" w:name="_Toc502225017"/>
      <w:bookmarkEnd w:id="676"/>
      <w:bookmarkStart w:id="677" w:name="_Toc502225027"/>
      <w:bookmarkEnd w:id="677"/>
      <w:bookmarkStart w:id="678" w:name="_Toc502225024"/>
      <w:bookmarkEnd w:id="678"/>
      <w:bookmarkStart w:id="679" w:name="_Toc502225018"/>
      <w:bookmarkEnd w:id="679"/>
      <w:bookmarkStart w:id="680" w:name="_Toc502225028"/>
      <w:bookmarkEnd w:id="680"/>
      <w:bookmarkStart w:id="681" w:name="_Toc502225030"/>
      <w:bookmarkEnd w:id="681"/>
      <w:bookmarkStart w:id="682" w:name="_Toc502225016"/>
      <w:bookmarkEnd w:id="682"/>
      <w:bookmarkStart w:id="683" w:name="_Toc502225020"/>
      <w:bookmarkEnd w:id="683"/>
      <w:bookmarkStart w:id="684" w:name="_Toc475472677"/>
      <w:bookmarkStart w:id="685" w:name="_Toc20579726"/>
      <w:bookmarkStart w:id="686" w:name="_Toc7523490"/>
      <w:bookmarkStart w:id="687" w:name="_Toc475294115"/>
      <w:bookmarkStart w:id="688" w:name="_Toc9601"/>
      <w:r>
        <w:rPr>
          <w:rFonts w:hint="eastAsia" w:ascii="宋体" w:hAnsi="宋体"/>
          <w:color w:val="auto"/>
          <w:sz w:val="28"/>
          <w:szCs w:val="24"/>
          <w:highlight w:val="none"/>
        </w:rPr>
        <w:t>廉洁参选承诺书</w:t>
      </w:r>
      <w:bookmarkEnd w:id="684"/>
      <w:bookmarkEnd w:id="685"/>
      <w:bookmarkEnd w:id="686"/>
      <w:bookmarkEnd w:id="687"/>
      <w:bookmarkEnd w:id="688"/>
    </w:p>
    <w:p>
      <w:pPr>
        <w:topLinePunct/>
        <w:spacing w:line="440" w:lineRule="exact"/>
        <w:jc w:val="center"/>
        <w:rPr>
          <w:rFonts w:ascii="宋体" w:hAnsi="宋体"/>
          <w:b/>
          <w:color w:val="auto"/>
          <w:highlight w:val="none"/>
        </w:rPr>
      </w:pPr>
      <w:r>
        <w:rPr>
          <w:rFonts w:hint="eastAsia" w:ascii="宋体" w:hAnsi="宋体"/>
          <w:b/>
          <w:color w:val="auto"/>
          <w:sz w:val="24"/>
          <w:highlight w:val="none"/>
        </w:rPr>
        <w:t>廉洁参选承诺书</w:t>
      </w:r>
    </w:p>
    <w:p>
      <w:pPr>
        <w:topLinePunct/>
        <w:snapToGrid w:val="0"/>
        <w:spacing w:line="400" w:lineRule="exact"/>
        <w:rPr>
          <w:rFonts w:ascii="宋体" w:hAnsi="宋体"/>
          <w:color w:val="auto"/>
          <w:highlight w:val="none"/>
        </w:rPr>
      </w:pPr>
      <w:r>
        <w:rPr>
          <w:rFonts w:hint="eastAsia" w:ascii="宋体" w:hAnsi="宋体"/>
          <w:color w:val="auto"/>
          <w:highlight w:val="none"/>
        </w:rPr>
        <w:t>XX公司[比选人名称]：</w:t>
      </w:r>
    </w:p>
    <w:p>
      <w:pPr>
        <w:topLinePunct/>
        <w:snapToGrid w:val="0"/>
        <w:spacing w:line="400" w:lineRule="exact"/>
        <w:ind w:firstLine="420" w:firstLineChars="200"/>
        <w:rPr>
          <w:rFonts w:ascii="宋体" w:hAnsi="宋体"/>
          <w:color w:val="auto"/>
          <w:szCs w:val="21"/>
          <w:highlight w:val="none"/>
        </w:rPr>
      </w:pPr>
      <w:r>
        <w:rPr>
          <w:rFonts w:hint="eastAsia" w:ascii="宋体" w:hAnsi="宋体"/>
          <w:color w:val="auto"/>
          <w:szCs w:val="21"/>
          <w:highlight w:val="none"/>
        </w:rPr>
        <w:t>我公司自愿参加</w:t>
      </w:r>
      <w:r>
        <w:rPr>
          <w:rFonts w:hint="eastAsia" w:ascii="宋体" w:hAnsi="宋体"/>
          <w:color w:val="auto"/>
          <w:highlight w:val="none"/>
          <w:u w:val="single"/>
        </w:rPr>
        <w:t>XX</w:t>
      </w:r>
      <w:r>
        <w:rPr>
          <w:rFonts w:hint="eastAsia" w:ascii="宋体" w:hAnsi="宋体"/>
          <w:color w:val="auto"/>
          <w:szCs w:val="21"/>
          <w:highlight w:val="none"/>
          <w:u w:val="single"/>
        </w:rPr>
        <w:t>项目[项目名称]</w:t>
      </w:r>
      <w:r>
        <w:rPr>
          <w:rFonts w:hint="eastAsia" w:ascii="宋体" w:hAnsi="宋体"/>
          <w:color w:val="auto"/>
          <w:highlight w:val="none"/>
          <w:u w:val="single"/>
        </w:rPr>
        <w:t>XX</w:t>
      </w:r>
      <w:r>
        <w:rPr>
          <w:rFonts w:hint="eastAsia" w:ascii="宋体" w:hAnsi="宋体"/>
          <w:color w:val="auto"/>
          <w:szCs w:val="21"/>
          <w:highlight w:val="none"/>
          <w:u w:val="single"/>
        </w:rPr>
        <w:t>分包[分包名称]</w:t>
      </w:r>
      <w:r>
        <w:rPr>
          <w:rFonts w:hint="eastAsia" w:ascii="宋体" w:hAnsi="宋体"/>
          <w:color w:val="auto"/>
          <w:szCs w:val="21"/>
          <w:highlight w:val="none"/>
        </w:rPr>
        <w:t>比选项目，为保证招参选活动公开、公平、公正，依据国家法律法规和廉洁从业相关规定，现承诺如下：</w:t>
      </w:r>
    </w:p>
    <w:p>
      <w:pPr>
        <w:numPr>
          <w:ilvl w:val="0"/>
          <w:numId w:val="23"/>
        </w:numPr>
        <w:tabs>
          <w:tab w:val="left" w:pos="709"/>
        </w:tabs>
        <w:topLinePunct/>
        <w:snapToGrid w:val="0"/>
        <w:spacing w:line="400" w:lineRule="exact"/>
        <w:ind w:left="0" w:firstLine="420"/>
        <w:rPr>
          <w:rFonts w:ascii="宋体" w:hAnsi="宋体"/>
          <w:color w:val="auto"/>
          <w:szCs w:val="21"/>
          <w:highlight w:val="none"/>
        </w:rPr>
      </w:pPr>
      <w:r>
        <w:rPr>
          <w:rFonts w:hint="eastAsia" w:ascii="宋体" w:hAnsi="宋体"/>
          <w:color w:val="auto"/>
          <w:szCs w:val="21"/>
          <w:highlight w:val="none"/>
        </w:rPr>
        <w:t>不以他人名义参选或者以其他方式弄虚作假，骗取中选；</w:t>
      </w:r>
    </w:p>
    <w:p>
      <w:pPr>
        <w:numPr>
          <w:ilvl w:val="0"/>
          <w:numId w:val="23"/>
        </w:numPr>
        <w:tabs>
          <w:tab w:val="left" w:pos="709"/>
        </w:tabs>
        <w:topLinePunct/>
        <w:snapToGrid w:val="0"/>
        <w:spacing w:line="400" w:lineRule="exact"/>
        <w:ind w:left="0" w:firstLine="420"/>
        <w:rPr>
          <w:rFonts w:ascii="宋体" w:hAnsi="宋体"/>
          <w:color w:val="auto"/>
          <w:szCs w:val="21"/>
          <w:highlight w:val="none"/>
        </w:rPr>
      </w:pPr>
      <w:r>
        <w:rPr>
          <w:rFonts w:hint="eastAsia" w:ascii="宋体" w:hAnsi="宋体"/>
          <w:color w:val="auto"/>
          <w:szCs w:val="21"/>
          <w:highlight w:val="none"/>
        </w:rPr>
        <w:t>不与其他参选人相互串通参选或订立攻守同盟；</w:t>
      </w:r>
    </w:p>
    <w:p>
      <w:pPr>
        <w:numPr>
          <w:ilvl w:val="0"/>
          <w:numId w:val="23"/>
        </w:numPr>
        <w:tabs>
          <w:tab w:val="left" w:pos="709"/>
        </w:tabs>
        <w:topLinePunct/>
        <w:snapToGrid w:val="0"/>
        <w:spacing w:line="400" w:lineRule="exact"/>
        <w:ind w:left="0" w:firstLine="420"/>
        <w:rPr>
          <w:rFonts w:ascii="宋体" w:hAnsi="宋体"/>
          <w:color w:val="auto"/>
          <w:szCs w:val="21"/>
          <w:highlight w:val="none"/>
        </w:rPr>
      </w:pPr>
      <w:r>
        <w:rPr>
          <w:rFonts w:hint="eastAsia" w:ascii="宋体" w:hAnsi="宋体"/>
          <w:color w:val="auto"/>
          <w:szCs w:val="21"/>
          <w:highlight w:val="none"/>
        </w:rPr>
        <w:t>不与比选人或比选代理机构串通参选；</w:t>
      </w:r>
    </w:p>
    <w:p>
      <w:pPr>
        <w:numPr>
          <w:ilvl w:val="0"/>
          <w:numId w:val="23"/>
        </w:numPr>
        <w:tabs>
          <w:tab w:val="left" w:pos="709"/>
        </w:tabs>
        <w:topLinePunct/>
        <w:snapToGrid w:val="0"/>
        <w:spacing w:line="400" w:lineRule="exact"/>
        <w:ind w:left="0" w:firstLine="420"/>
        <w:rPr>
          <w:rFonts w:ascii="宋体" w:hAnsi="宋体"/>
          <w:color w:val="auto"/>
          <w:szCs w:val="21"/>
          <w:highlight w:val="none"/>
        </w:rPr>
      </w:pPr>
      <w:r>
        <w:rPr>
          <w:rFonts w:hint="eastAsia" w:ascii="宋体" w:hAnsi="宋体"/>
          <w:color w:val="auto"/>
          <w:szCs w:val="21"/>
          <w:highlight w:val="none"/>
        </w:rPr>
        <w:t>不向比选人、比选代理机构或评选委员会成员行贿，包括提供现金(礼金)、礼券、礼品、购物卡、有价证券等财物，或娱乐、宴请、旅游等活动，或支付应由其个人承担的学费、餐费、医药费等各种费用等；</w:t>
      </w:r>
    </w:p>
    <w:p>
      <w:pPr>
        <w:numPr>
          <w:ilvl w:val="0"/>
          <w:numId w:val="23"/>
        </w:numPr>
        <w:tabs>
          <w:tab w:val="left" w:pos="709"/>
        </w:tabs>
        <w:topLinePunct/>
        <w:snapToGrid w:val="0"/>
        <w:spacing w:line="400" w:lineRule="exact"/>
        <w:ind w:left="0" w:firstLine="420"/>
        <w:rPr>
          <w:rFonts w:ascii="宋体" w:hAnsi="宋体"/>
          <w:color w:val="auto"/>
          <w:szCs w:val="21"/>
          <w:highlight w:val="none"/>
        </w:rPr>
      </w:pPr>
      <w:r>
        <w:rPr>
          <w:rFonts w:hint="eastAsia" w:ascii="宋体" w:hAnsi="宋体"/>
          <w:color w:val="auto"/>
          <w:szCs w:val="21"/>
          <w:highlight w:val="none"/>
        </w:rPr>
        <w:t>不通过非正常渠道探听采购过程中应当保密的信息，包括(潜在)参选人的数量与名称、评选委员会成员名单和联系方式、其他参选人的参选文件、评选情况及中选推荐意见等；</w:t>
      </w:r>
    </w:p>
    <w:p>
      <w:pPr>
        <w:numPr>
          <w:ilvl w:val="0"/>
          <w:numId w:val="23"/>
        </w:numPr>
        <w:tabs>
          <w:tab w:val="left" w:pos="709"/>
        </w:tabs>
        <w:topLinePunct/>
        <w:snapToGrid w:val="0"/>
        <w:spacing w:line="400" w:lineRule="exact"/>
        <w:ind w:left="0" w:firstLine="420"/>
        <w:rPr>
          <w:rFonts w:ascii="宋体" w:hAnsi="宋体"/>
          <w:color w:val="auto"/>
          <w:szCs w:val="21"/>
          <w:highlight w:val="none"/>
        </w:rPr>
      </w:pPr>
      <w:r>
        <w:rPr>
          <w:rFonts w:hint="eastAsia" w:ascii="宋体" w:hAnsi="宋体"/>
          <w:color w:val="auto"/>
          <w:szCs w:val="21"/>
          <w:highlight w:val="none"/>
        </w:rPr>
        <w:t>不私下接触比选人、比选代理机构或评选委员会成员，利用人际关系干扰比选参选活动；</w:t>
      </w:r>
    </w:p>
    <w:p>
      <w:pPr>
        <w:numPr>
          <w:ilvl w:val="0"/>
          <w:numId w:val="23"/>
        </w:numPr>
        <w:tabs>
          <w:tab w:val="left" w:pos="709"/>
        </w:tabs>
        <w:topLinePunct/>
        <w:snapToGrid w:val="0"/>
        <w:spacing w:line="400" w:lineRule="exact"/>
        <w:ind w:left="0" w:firstLine="420"/>
        <w:rPr>
          <w:rFonts w:ascii="宋体" w:hAnsi="宋体"/>
          <w:color w:val="auto"/>
          <w:szCs w:val="21"/>
          <w:highlight w:val="none"/>
        </w:rPr>
      </w:pPr>
      <w:r>
        <w:rPr>
          <w:rFonts w:hint="eastAsia" w:ascii="宋体" w:hAnsi="宋体"/>
          <w:color w:val="auto"/>
          <w:szCs w:val="21"/>
          <w:highlight w:val="none"/>
        </w:rPr>
        <w:t>不在办公场所、比选现场寻衅滋事、无理取闹或以其他手段非法干预、影响比选的过程和结果；</w:t>
      </w:r>
    </w:p>
    <w:p>
      <w:pPr>
        <w:numPr>
          <w:ilvl w:val="0"/>
          <w:numId w:val="23"/>
        </w:numPr>
        <w:tabs>
          <w:tab w:val="left" w:pos="709"/>
        </w:tabs>
        <w:topLinePunct/>
        <w:snapToGrid w:val="0"/>
        <w:spacing w:line="400" w:lineRule="exact"/>
        <w:ind w:left="0" w:firstLine="420"/>
        <w:rPr>
          <w:rFonts w:ascii="宋体" w:hAnsi="宋体"/>
          <w:color w:val="auto"/>
          <w:szCs w:val="21"/>
          <w:highlight w:val="none"/>
        </w:rPr>
      </w:pPr>
      <w:r>
        <w:rPr>
          <w:rFonts w:hint="eastAsia" w:ascii="宋体" w:hAnsi="宋体"/>
          <w:color w:val="auto"/>
          <w:szCs w:val="21"/>
          <w:highlight w:val="none"/>
        </w:rPr>
        <w:t>不捏造事实、伪造材料，或以非法取得的材料进行恶意投诉与诬陷；不毫无根据地散播不实消息，诋毁他人名誉，主观臆断反映问题与诉求；</w:t>
      </w:r>
    </w:p>
    <w:p>
      <w:pPr>
        <w:numPr>
          <w:ilvl w:val="0"/>
          <w:numId w:val="23"/>
        </w:numPr>
        <w:tabs>
          <w:tab w:val="left" w:pos="709"/>
        </w:tabs>
        <w:topLinePunct/>
        <w:snapToGrid w:val="0"/>
        <w:spacing w:line="400" w:lineRule="exact"/>
        <w:ind w:left="0" w:firstLine="420"/>
        <w:rPr>
          <w:rFonts w:ascii="宋体" w:hAnsi="宋体"/>
          <w:color w:val="auto"/>
          <w:szCs w:val="21"/>
          <w:highlight w:val="none"/>
        </w:rPr>
      </w:pPr>
      <w:r>
        <w:rPr>
          <w:rFonts w:hint="eastAsia" w:ascii="宋体" w:hAnsi="宋体"/>
          <w:color w:val="auto"/>
          <w:szCs w:val="21"/>
          <w:highlight w:val="none"/>
        </w:rPr>
        <w:t>不以低于成本的报价参选；</w:t>
      </w:r>
    </w:p>
    <w:p>
      <w:pPr>
        <w:numPr>
          <w:ilvl w:val="0"/>
          <w:numId w:val="23"/>
        </w:numPr>
        <w:tabs>
          <w:tab w:val="left" w:pos="709"/>
        </w:tabs>
        <w:topLinePunct/>
        <w:snapToGrid w:val="0"/>
        <w:spacing w:line="400" w:lineRule="exact"/>
        <w:ind w:left="0" w:firstLine="420"/>
        <w:rPr>
          <w:rFonts w:ascii="宋体" w:hAnsi="宋体"/>
          <w:color w:val="auto"/>
          <w:szCs w:val="21"/>
          <w:highlight w:val="none"/>
        </w:rPr>
      </w:pPr>
      <w:r>
        <w:rPr>
          <w:rFonts w:hint="eastAsia" w:ascii="宋体" w:hAnsi="宋体"/>
          <w:color w:val="auto"/>
          <w:szCs w:val="21"/>
          <w:highlight w:val="none"/>
        </w:rPr>
        <w:t>不以其他方式排挤其他参选人的公平竞争。</w:t>
      </w:r>
    </w:p>
    <w:p>
      <w:pPr>
        <w:numPr>
          <w:ilvl w:val="0"/>
          <w:numId w:val="23"/>
        </w:numPr>
        <w:tabs>
          <w:tab w:val="left" w:pos="709"/>
        </w:tabs>
        <w:topLinePunct/>
        <w:spacing w:line="440" w:lineRule="exact"/>
        <w:ind w:left="0" w:firstLine="420"/>
        <w:rPr>
          <w:rFonts w:ascii="宋体" w:hAnsi="宋体"/>
          <w:color w:val="auto"/>
          <w:szCs w:val="21"/>
          <w:highlight w:val="none"/>
        </w:rPr>
      </w:pPr>
      <w:r>
        <w:rPr>
          <w:rFonts w:hint="eastAsia" w:ascii="宋体" w:hAnsi="宋体"/>
          <w:color w:val="auto"/>
          <w:szCs w:val="21"/>
          <w:highlight w:val="none"/>
        </w:rPr>
        <w:t>在最近五年内，不存在与采购活动相关的行贿犯罪记录。</w:t>
      </w:r>
    </w:p>
    <w:p>
      <w:pPr>
        <w:topLinePunct/>
        <w:snapToGrid w:val="0"/>
        <w:spacing w:line="400" w:lineRule="exact"/>
        <w:ind w:firstLine="420" w:firstLineChars="200"/>
        <w:rPr>
          <w:rFonts w:ascii="宋体" w:hAnsi="宋体"/>
          <w:color w:val="auto"/>
          <w:szCs w:val="21"/>
          <w:highlight w:val="none"/>
        </w:rPr>
      </w:pPr>
      <w:r>
        <w:rPr>
          <w:rFonts w:hint="eastAsia" w:ascii="宋体" w:hAnsi="宋体"/>
          <w:color w:val="auto"/>
          <w:szCs w:val="21"/>
          <w:highlight w:val="none"/>
        </w:rPr>
        <w:t>如发生任何违反本承诺的行为，除按法律法规接受处罚外，比选人有权否决我方本次参选、宣布中选无效、暂停甚至取消我方参加比选人后续比选项目的参选资格等。</w:t>
      </w:r>
    </w:p>
    <w:p>
      <w:pPr>
        <w:topLinePunct/>
        <w:spacing w:line="440" w:lineRule="exact"/>
        <w:ind w:left="420"/>
        <w:rPr>
          <w:rFonts w:ascii="宋体" w:hAnsi="宋体"/>
          <w:color w:val="auto"/>
          <w:szCs w:val="21"/>
          <w:highlight w:val="none"/>
        </w:rPr>
      </w:pPr>
    </w:p>
    <w:p>
      <w:pPr>
        <w:spacing w:line="440" w:lineRule="exact"/>
        <w:ind w:firstLine="1134" w:firstLineChars="540"/>
        <w:rPr>
          <w:rFonts w:ascii="宋体" w:hAnsi="宋体"/>
          <w:color w:val="auto"/>
          <w:szCs w:val="21"/>
          <w:highlight w:val="none"/>
        </w:rPr>
      </w:pPr>
      <w:r>
        <w:rPr>
          <w:rFonts w:hint="eastAsia" w:ascii="宋体" w:hAnsi="宋体"/>
          <w:color w:val="auto"/>
          <w:szCs w:val="21"/>
          <w:highlight w:val="none"/>
        </w:rPr>
        <w:t>参选人名称：</w:t>
      </w:r>
      <w:r>
        <w:rPr>
          <w:rFonts w:hint="eastAsia" w:ascii="宋体" w:hAnsi="宋体"/>
          <w:color w:val="auto"/>
          <w:szCs w:val="21"/>
          <w:highlight w:val="none"/>
          <w:u w:val="single"/>
        </w:rPr>
        <w:t>　　　　　　　　</w:t>
      </w:r>
      <w:r>
        <w:rPr>
          <w:rFonts w:hint="eastAsia" w:ascii="宋体" w:hAnsi="宋体"/>
          <w:color w:val="auto"/>
          <w:szCs w:val="21"/>
          <w:highlight w:val="none"/>
        </w:rPr>
        <w:t>（盖单位公章）</w:t>
      </w:r>
    </w:p>
    <w:p>
      <w:pPr>
        <w:spacing w:line="440" w:lineRule="exact"/>
        <w:ind w:firstLine="1134" w:firstLineChars="540"/>
        <w:rPr>
          <w:rFonts w:ascii="宋体" w:hAnsi="宋体"/>
          <w:color w:val="auto"/>
          <w:szCs w:val="21"/>
          <w:highlight w:val="none"/>
        </w:rPr>
      </w:pPr>
      <w:r>
        <w:rPr>
          <w:rFonts w:hint="eastAsia" w:ascii="宋体" w:hAnsi="宋体"/>
          <w:color w:val="auto"/>
          <w:szCs w:val="21"/>
          <w:highlight w:val="none"/>
        </w:rPr>
        <w:t>法定代表人/负责人（签字或盖章）或者其委托代理人（签字）：</w:t>
      </w:r>
      <w:r>
        <w:rPr>
          <w:rFonts w:hint="eastAsia" w:ascii="宋体" w:hAnsi="宋体"/>
          <w:color w:val="auto"/>
          <w:szCs w:val="21"/>
          <w:highlight w:val="none"/>
          <w:u w:val="single"/>
        </w:rPr>
        <w:t xml:space="preserve">         </w:t>
      </w:r>
    </w:p>
    <w:p>
      <w:pPr>
        <w:widowControl/>
        <w:tabs>
          <w:tab w:val="left" w:pos="3018"/>
          <w:tab w:val="left" w:pos="6260"/>
        </w:tabs>
        <w:ind w:firstLine="2692" w:firstLineChars="1282"/>
        <w:jc w:val="left"/>
        <w:rPr>
          <w:rFonts w:ascii="宋体" w:hAnsi="宋体" w:cs="Arial"/>
          <w:bCs/>
          <w:color w:val="auto"/>
          <w:szCs w:val="21"/>
          <w:highlight w:val="none"/>
        </w:rPr>
      </w:pPr>
    </w:p>
    <w:p>
      <w:pPr>
        <w:widowControl/>
        <w:tabs>
          <w:tab w:val="left" w:pos="3018"/>
          <w:tab w:val="left" w:pos="6260"/>
        </w:tabs>
        <w:ind w:firstLine="2692" w:firstLineChars="1282"/>
        <w:jc w:val="left"/>
        <w:rPr>
          <w:rFonts w:ascii="宋体" w:hAnsi="宋体" w:cs="Arial"/>
          <w:bCs/>
          <w:color w:val="auto"/>
          <w:szCs w:val="21"/>
          <w:highlight w:val="none"/>
        </w:rPr>
      </w:pPr>
      <w:r>
        <w:rPr>
          <w:rFonts w:hint="eastAsia" w:ascii="宋体" w:hAnsi="宋体" w:cs="Arial"/>
          <w:bCs/>
          <w:color w:val="auto"/>
          <w:kern w:val="0"/>
          <w:szCs w:val="21"/>
          <w:highlight w:val="none"/>
        </w:rPr>
        <w:t>日期：XX年 XX月XX日</w:t>
      </w:r>
    </w:p>
    <w:p>
      <w:pPr>
        <w:widowControl/>
        <w:jc w:val="left"/>
        <w:rPr>
          <w:rFonts w:ascii="宋体" w:hAnsi="宋体" w:cs="Arial"/>
          <w:bCs/>
          <w:color w:val="auto"/>
          <w:szCs w:val="21"/>
          <w:highlight w:val="none"/>
        </w:rPr>
      </w:pPr>
      <w:r>
        <w:rPr>
          <w:rFonts w:ascii="宋体" w:hAnsi="宋体" w:cs="Arial"/>
          <w:bCs/>
          <w:color w:val="auto"/>
          <w:szCs w:val="21"/>
          <w:highlight w:val="none"/>
        </w:rPr>
        <w:br w:type="page"/>
      </w: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689" w:name="_Toc17682"/>
      <w:bookmarkStart w:id="690" w:name="_Toc17203563"/>
      <w:bookmarkStart w:id="691" w:name="_Toc17203048"/>
      <w:bookmarkStart w:id="692" w:name="_Toc17202841"/>
      <w:r>
        <w:rPr>
          <w:rFonts w:hint="eastAsia" w:ascii="宋体" w:hAnsi="宋体"/>
          <w:color w:val="auto"/>
          <w:sz w:val="28"/>
          <w:szCs w:val="24"/>
          <w:highlight w:val="none"/>
        </w:rPr>
        <w:t>联合体协议书（如有）</w:t>
      </w:r>
      <w:bookmarkEnd w:id="689"/>
      <w:bookmarkEnd w:id="690"/>
      <w:bookmarkEnd w:id="691"/>
      <w:bookmarkEnd w:id="692"/>
    </w:p>
    <w:p>
      <w:pPr>
        <w:pStyle w:val="6"/>
        <w:spacing w:line="440" w:lineRule="exact"/>
        <w:ind w:firstLine="0"/>
        <w:jc w:val="center"/>
        <w:rPr>
          <w:rFonts w:asciiTheme="minorEastAsia" w:hAnsiTheme="minorEastAsia" w:eastAsiaTheme="minorEastAsia"/>
          <w:b/>
          <w:color w:val="auto"/>
          <w:sz w:val="24"/>
          <w:szCs w:val="21"/>
          <w:highlight w:val="none"/>
        </w:rPr>
      </w:pPr>
      <w:r>
        <w:rPr>
          <w:rFonts w:hint="eastAsia" w:asciiTheme="minorEastAsia" w:hAnsiTheme="minorEastAsia" w:eastAsiaTheme="minorEastAsia"/>
          <w:b/>
          <w:color w:val="auto"/>
          <w:sz w:val="24"/>
          <w:szCs w:val="21"/>
          <w:highlight w:val="none"/>
        </w:rPr>
        <w:t>联合体协议书</w:t>
      </w:r>
    </w:p>
    <w:p>
      <w:pPr>
        <w:pStyle w:val="6"/>
        <w:spacing w:line="440" w:lineRule="exact"/>
        <w:rPr>
          <w:rFonts w:asciiTheme="minorEastAsia" w:hAnsiTheme="minorEastAsia" w:eastAsiaTheme="minorEastAsia"/>
          <w:color w:val="auto"/>
          <w:sz w:val="21"/>
          <w:szCs w:val="21"/>
          <w:highlight w:val="none"/>
        </w:rPr>
      </w:pPr>
      <w:r>
        <w:rPr>
          <w:rFonts w:hint="eastAsia" w:asciiTheme="minorEastAsia" w:hAnsiTheme="minorEastAsia" w:eastAsiaTheme="minorEastAsia"/>
          <w:color w:val="auto"/>
          <w:sz w:val="21"/>
          <w:szCs w:val="21"/>
          <w:highlight w:val="none"/>
          <w:u w:val="single"/>
        </w:rPr>
        <w:t xml:space="preserve">（所有成员单位名单）  </w:t>
      </w:r>
      <w:r>
        <w:rPr>
          <w:rFonts w:asciiTheme="minorEastAsia" w:hAnsiTheme="minorEastAsia" w:eastAsiaTheme="minorEastAsia"/>
          <w:color w:val="auto"/>
          <w:sz w:val="21"/>
          <w:szCs w:val="21"/>
          <w:highlight w:val="none"/>
        </w:rPr>
        <w:t>自愿组成：</w:t>
      </w:r>
      <w:r>
        <w:rPr>
          <w:rFonts w:hint="eastAsia" w:asciiTheme="minorEastAsia" w:hAnsiTheme="minorEastAsia" w:eastAsiaTheme="minorEastAsia"/>
          <w:color w:val="auto"/>
          <w:sz w:val="21"/>
          <w:szCs w:val="21"/>
          <w:highlight w:val="none"/>
          <w:u w:val="single"/>
        </w:rPr>
        <w:t xml:space="preserve">    </w:t>
      </w:r>
      <w:r>
        <w:rPr>
          <w:rFonts w:asciiTheme="minorEastAsia" w:hAnsiTheme="minorEastAsia" w:eastAsiaTheme="minorEastAsia"/>
          <w:color w:val="auto"/>
          <w:sz w:val="21"/>
          <w:szCs w:val="21"/>
          <w:highlight w:val="none"/>
          <w:u w:val="single"/>
        </w:rPr>
        <w:t>（联合体名称）</w:t>
      </w:r>
      <w:r>
        <w:rPr>
          <w:rFonts w:hint="eastAsia" w:asciiTheme="minorEastAsia" w:hAnsiTheme="minorEastAsia" w:eastAsiaTheme="minorEastAsia"/>
          <w:color w:val="auto"/>
          <w:sz w:val="21"/>
          <w:szCs w:val="21"/>
          <w:highlight w:val="none"/>
          <w:u w:val="single"/>
        </w:rPr>
        <w:t xml:space="preserve">  </w:t>
      </w:r>
      <w:r>
        <w:rPr>
          <w:rFonts w:asciiTheme="minorEastAsia" w:hAnsiTheme="minorEastAsia" w:eastAsiaTheme="minorEastAsia"/>
          <w:color w:val="auto"/>
          <w:sz w:val="21"/>
          <w:szCs w:val="21"/>
          <w:highlight w:val="none"/>
        </w:rPr>
        <w:t>联合体，共同参加</w:t>
      </w:r>
      <w:r>
        <w:rPr>
          <w:rFonts w:asciiTheme="minorEastAsia" w:hAnsiTheme="minorEastAsia" w:eastAsiaTheme="minorEastAsia"/>
          <w:color w:val="auto"/>
          <w:sz w:val="21"/>
          <w:szCs w:val="21"/>
          <w:highlight w:val="none"/>
          <w:u w:val="single"/>
        </w:rPr>
        <w:t>（比选项目名称）</w:t>
      </w:r>
      <w:r>
        <w:rPr>
          <w:rFonts w:hint="eastAsia" w:asciiTheme="minorEastAsia" w:hAnsiTheme="minorEastAsia" w:eastAsiaTheme="minorEastAsia"/>
          <w:color w:val="auto"/>
          <w:sz w:val="21"/>
          <w:szCs w:val="21"/>
          <w:highlight w:val="none"/>
        </w:rPr>
        <w:t>服务</w:t>
      </w:r>
      <w:r>
        <w:rPr>
          <w:rFonts w:asciiTheme="minorEastAsia" w:hAnsiTheme="minorEastAsia" w:eastAsiaTheme="minorEastAsia"/>
          <w:color w:val="auto"/>
          <w:sz w:val="21"/>
          <w:szCs w:val="21"/>
          <w:highlight w:val="none"/>
        </w:rPr>
        <w:t>参选。现就联合体参选事宜订立如下协议</w:t>
      </w:r>
      <w:r>
        <w:rPr>
          <w:rFonts w:hint="eastAsia" w:asciiTheme="minorEastAsia" w:hAnsiTheme="minorEastAsia" w:eastAsiaTheme="minorEastAsia"/>
          <w:color w:val="auto"/>
          <w:sz w:val="21"/>
          <w:szCs w:val="21"/>
          <w:highlight w:val="none"/>
        </w:rPr>
        <w:t>：</w:t>
      </w:r>
    </w:p>
    <w:p>
      <w:pPr>
        <w:pStyle w:val="6"/>
        <w:spacing w:line="440" w:lineRule="exact"/>
        <w:rPr>
          <w:rFonts w:asciiTheme="minorEastAsia" w:hAnsiTheme="minorEastAsia" w:eastAsiaTheme="minorEastAsia"/>
          <w:color w:val="auto"/>
          <w:sz w:val="21"/>
          <w:szCs w:val="21"/>
          <w:highlight w:val="none"/>
        </w:rPr>
      </w:pPr>
      <w:r>
        <w:rPr>
          <w:rFonts w:asciiTheme="minorEastAsia" w:hAnsiTheme="minorEastAsia" w:eastAsiaTheme="minorEastAsia"/>
          <w:color w:val="auto"/>
          <w:sz w:val="21"/>
          <w:szCs w:val="21"/>
          <w:highlight w:val="none"/>
        </w:rPr>
        <w:t>1</w:t>
      </w:r>
      <w:r>
        <w:rPr>
          <w:rFonts w:hint="eastAsia" w:asciiTheme="minorEastAsia" w:hAnsiTheme="minorEastAsia" w:eastAsiaTheme="minorEastAsia"/>
          <w:color w:val="auto"/>
          <w:sz w:val="21"/>
          <w:szCs w:val="21"/>
          <w:highlight w:val="none"/>
        </w:rPr>
        <w:t>．</w:t>
      </w:r>
      <w:r>
        <w:rPr>
          <w:rFonts w:asciiTheme="minorEastAsia" w:hAnsiTheme="minorEastAsia" w:eastAsiaTheme="minorEastAsia"/>
          <w:color w:val="auto"/>
          <w:sz w:val="21"/>
          <w:szCs w:val="21"/>
          <w:highlight w:val="none"/>
          <w:u w:val="single"/>
        </w:rPr>
        <w:t>（成员单位名称）</w:t>
      </w:r>
      <w:r>
        <w:rPr>
          <w:rFonts w:asciiTheme="minorEastAsia" w:hAnsiTheme="minorEastAsia" w:eastAsiaTheme="minorEastAsia"/>
          <w:color w:val="auto"/>
          <w:sz w:val="21"/>
          <w:szCs w:val="21"/>
          <w:highlight w:val="none"/>
        </w:rPr>
        <w:t>为</w:t>
      </w:r>
      <w:r>
        <w:rPr>
          <w:rFonts w:asciiTheme="minorEastAsia" w:hAnsiTheme="minorEastAsia" w:eastAsiaTheme="minorEastAsia"/>
          <w:color w:val="auto"/>
          <w:sz w:val="21"/>
          <w:szCs w:val="21"/>
          <w:highlight w:val="none"/>
          <w:u w:val="single"/>
        </w:rPr>
        <w:t>（联合体名称）</w:t>
      </w:r>
      <w:r>
        <w:rPr>
          <w:rFonts w:asciiTheme="minorEastAsia" w:hAnsiTheme="minorEastAsia" w:eastAsiaTheme="minorEastAsia"/>
          <w:color w:val="auto"/>
          <w:sz w:val="21"/>
          <w:szCs w:val="21"/>
          <w:highlight w:val="none"/>
        </w:rPr>
        <w:t>牵头人。</w:t>
      </w:r>
    </w:p>
    <w:p>
      <w:pPr>
        <w:pStyle w:val="6"/>
        <w:spacing w:line="440" w:lineRule="exact"/>
        <w:rPr>
          <w:rFonts w:asciiTheme="minorEastAsia" w:hAnsiTheme="minorEastAsia" w:eastAsiaTheme="minorEastAsia"/>
          <w:color w:val="auto"/>
          <w:sz w:val="21"/>
          <w:szCs w:val="21"/>
          <w:highlight w:val="none"/>
        </w:rPr>
      </w:pPr>
      <w:r>
        <w:rPr>
          <w:rFonts w:asciiTheme="minorEastAsia" w:hAnsiTheme="minorEastAsia" w:eastAsiaTheme="minorEastAsia"/>
          <w:color w:val="auto"/>
          <w:sz w:val="21"/>
          <w:szCs w:val="21"/>
          <w:highlight w:val="none"/>
        </w:rPr>
        <w:t>2</w:t>
      </w:r>
      <w:r>
        <w:rPr>
          <w:rFonts w:hint="eastAsia" w:asciiTheme="minorEastAsia" w:hAnsiTheme="minorEastAsia" w:eastAsiaTheme="minorEastAsia"/>
          <w:color w:val="auto"/>
          <w:sz w:val="21"/>
          <w:szCs w:val="21"/>
          <w:highlight w:val="none"/>
        </w:rPr>
        <w:t>．</w:t>
      </w:r>
      <w:r>
        <w:rPr>
          <w:rFonts w:asciiTheme="minorEastAsia" w:hAnsiTheme="minorEastAsia" w:eastAsiaTheme="minorEastAsia"/>
          <w:color w:val="auto"/>
          <w:sz w:val="21"/>
          <w:szCs w:val="21"/>
          <w:highlight w:val="none"/>
        </w:rPr>
        <w:t>联合体牵头人合法代表联合体各成员，负责本比选项目参选文件编制和合同谈判活动，并代表联合体成员</w:t>
      </w:r>
      <w:r>
        <w:rPr>
          <w:rFonts w:hint="eastAsia" w:asciiTheme="minorEastAsia" w:hAnsiTheme="minorEastAsia" w:eastAsiaTheme="minorEastAsia"/>
          <w:color w:val="auto"/>
          <w:sz w:val="21"/>
          <w:szCs w:val="21"/>
          <w:highlight w:val="none"/>
        </w:rPr>
        <w:t>递</w:t>
      </w:r>
      <w:r>
        <w:rPr>
          <w:rFonts w:asciiTheme="minorEastAsia" w:hAnsiTheme="minorEastAsia" w:eastAsiaTheme="minorEastAsia"/>
          <w:color w:val="auto"/>
          <w:sz w:val="21"/>
          <w:szCs w:val="21"/>
          <w:highlight w:val="none"/>
        </w:rPr>
        <w:t>交和接受相关的资料、信息及指示，并处理与之有关的一切事务，负责合同实施阶段的主办、组织和协调工作。</w:t>
      </w:r>
    </w:p>
    <w:p>
      <w:pPr>
        <w:pStyle w:val="6"/>
        <w:spacing w:line="440" w:lineRule="exact"/>
        <w:rPr>
          <w:rFonts w:asciiTheme="minorEastAsia" w:hAnsiTheme="minorEastAsia" w:eastAsiaTheme="minorEastAsia"/>
          <w:color w:val="auto"/>
          <w:sz w:val="21"/>
          <w:szCs w:val="21"/>
          <w:highlight w:val="none"/>
        </w:rPr>
      </w:pPr>
      <w:r>
        <w:rPr>
          <w:rFonts w:asciiTheme="minorEastAsia" w:hAnsiTheme="minorEastAsia" w:eastAsiaTheme="minorEastAsia"/>
          <w:color w:val="auto"/>
          <w:sz w:val="21"/>
          <w:szCs w:val="21"/>
          <w:highlight w:val="none"/>
        </w:rPr>
        <w:t>3</w:t>
      </w:r>
      <w:r>
        <w:rPr>
          <w:rFonts w:hint="eastAsia" w:asciiTheme="minorEastAsia" w:hAnsiTheme="minorEastAsia" w:eastAsiaTheme="minorEastAsia"/>
          <w:color w:val="auto"/>
          <w:sz w:val="21"/>
          <w:szCs w:val="21"/>
          <w:highlight w:val="none"/>
        </w:rPr>
        <w:t>．</w:t>
      </w:r>
      <w:r>
        <w:rPr>
          <w:rFonts w:asciiTheme="minorEastAsia" w:hAnsiTheme="minorEastAsia" w:eastAsiaTheme="minorEastAsia"/>
          <w:color w:val="auto"/>
          <w:sz w:val="21"/>
          <w:szCs w:val="21"/>
          <w:highlight w:val="none"/>
        </w:rPr>
        <w:t>联合体将严格按照比选文件的各项要求，递交参选文件，履行合同，并对外承担连带责任。</w:t>
      </w:r>
    </w:p>
    <w:p>
      <w:pPr>
        <w:pStyle w:val="6"/>
        <w:spacing w:line="440" w:lineRule="exact"/>
        <w:rPr>
          <w:rFonts w:asciiTheme="minorEastAsia" w:hAnsiTheme="minorEastAsia" w:eastAsiaTheme="minorEastAsia"/>
          <w:color w:val="auto"/>
          <w:sz w:val="21"/>
          <w:szCs w:val="21"/>
          <w:highlight w:val="none"/>
        </w:rPr>
      </w:pPr>
      <w:r>
        <w:rPr>
          <w:rFonts w:asciiTheme="minorEastAsia" w:hAnsiTheme="minorEastAsia" w:eastAsiaTheme="minorEastAsia"/>
          <w:color w:val="auto"/>
          <w:sz w:val="21"/>
          <w:szCs w:val="21"/>
          <w:highlight w:val="none"/>
        </w:rPr>
        <w:t>4</w:t>
      </w:r>
      <w:r>
        <w:rPr>
          <w:rFonts w:hint="eastAsia" w:asciiTheme="minorEastAsia" w:hAnsiTheme="minorEastAsia" w:eastAsiaTheme="minorEastAsia"/>
          <w:color w:val="auto"/>
          <w:sz w:val="21"/>
          <w:szCs w:val="21"/>
          <w:highlight w:val="none"/>
        </w:rPr>
        <w:t>．</w:t>
      </w:r>
      <w:r>
        <w:rPr>
          <w:rFonts w:asciiTheme="minorEastAsia" w:hAnsiTheme="minorEastAsia" w:eastAsiaTheme="minorEastAsia"/>
          <w:color w:val="auto"/>
          <w:sz w:val="21"/>
          <w:szCs w:val="21"/>
          <w:highlight w:val="none"/>
        </w:rPr>
        <w:t>联合体各成员单位内部的职责分工</w:t>
      </w:r>
      <w:r>
        <w:rPr>
          <w:rFonts w:hint="eastAsia" w:asciiTheme="minorEastAsia" w:hAnsiTheme="minorEastAsia" w:eastAsiaTheme="minorEastAsia"/>
          <w:color w:val="auto"/>
          <w:sz w:val="21"/>
          <w:szCs w:val="21"/>
          <w:highlight w:val="none"/>
        </w:rPr>
        <w:t>以及资质等级</w:t>
      </w:r>
      <w:r>
        <w:rPr>
          <w:rFonts w:asciiTheme="minorEastAsia" w:hAnsiTheme="minorEastAsia" w:eastAsiaTheme="minorEastAsia"/>
          <w:color w:val="auto"/>
          <w:sz w:val="21"/>
          <w:szCs w:val="21"/>
          <w:highlight w:val="none"/>
        </w:rPr>
        <w:t>如下：_________________</w:t>
      </w:r>
      <w:r>
        <w:rPr>
          <w:rFonts w:hint="eastAsia" w:asciiTheme="minorEastAsia" w:hAnsiTheme="minorEastAsia" w:eastAsiaTheme="minorEastAsia"/>
          <w:color w:val="auto"/>
          <w:sz w:val="21"/>
          <w:szCs w:val="21"/>
          <w:highlight w:val="none"/>
        </w:rPr>
        <w:t>。</w:t>
      </w:r>
    </w:p>
    <w:p>
      <w:pPr>
        <w:pStyle w:val="6"/>
        <w:spacing w:line="440" w:lineRule="exact"/>
        <w:rPr>
          <w:rFonts w:asciiTheme="minorEastAsia" w:hAnsiTheme="minorEastAsia" w:eastAsiaTheme="minorEastAsia"/>
          <w:color w:val="auto"/>
          <w:sz w:val="21"/>
          <w:szCs w:val="21"/>
          <w:highlight w:val="none"/>
        </w:rPr>
      </w:pPr>
      <w:r>
        <w:rPr>
          <w:rFonts w:hint="eastAsia" w:asciiTheme="minorEastAsia" w:hAnsiTheme="minorEastAsia" w:eastAsiaTheme="minorEastAsia"/>
          <w:color w:val="auto"/>
          <w:sz w:val="21"/>
          <w:szCs w:val="21"/>
          <w:highlight w:val="none"/>
        </w:rPr>
        <w:t>按照本条上述分工，联合体成员单位各自所承担的合同工作量比例如下：</w:t>
      </w:r>
      <w:r>
        <w:rPr>
          <w:rFonts w:hint="eastAsia" w:asciiTheme="minorEastAsia" w:hAnsiTheme="minorEastAsia" w:eastAsiaTheme="minorEastAsia"/>
          <w:color w:val="auto"/>
          <w:sz w:val="21"/>
          <w:szCs w:val="21"/>
          <w:highlight w:val="none"/>
          <w:u w:val="single"/>
        </w:rPr>
        <w:t xml:space="preserve">           </w:t>
      </w:r>
    </w:p>
    <w:p>
      <w:pPr>
        <w:spacing w:line="440" w:lineRule="exact"/>
        <w:rPr>
          <w:rFonts w:asciiTheme="minorEastAsia" w:hAnsiTheme="minorEastAsia" w:eastAsiaTheme="minorEastAsia"/>
          <w:color w:val="auto"/>
          <w:szCs w:val="21"/>
          <w:highlight w:val="none"/>
        </w:rPr>
      </w:pPr>
      <w:r>
        <w:rPr>
          <w:rFonts w:hint="eastAsia" w:asciiTheme="minorEastAsia" w:hAnsiTheme="minorEastAsia" w:eastAsiaTheme="minorEastAsia"/>
          <w:color w:val="auto"/>
          <w:szCs w:val="21"/>
          <w:highlight w:val="none"/>
          <w:u w:val="single"/>
        </w:rPr>
        <w:t xml:space="preserve">                                                                  </w:t>
      </w:r>
      <w:r>
        <w:rPr>
          <w:rFonts w:hint="eastAsia" w:asciiTheme="minorEastAsia" w:hAnsiTheme="minorEastAsia" w:eastAsiaTheme="minorEastAsia"/>
          <w:color w:val="auto"/>
          <w:szCs w:val="21"/>
          <w:highlight w:val="none"/>
        </w:rPr>
        <w:t>。</w:t>
      </w:r>
    </w:p>
    <w:p>
      <w:pPr>
        <w:spacing w:line="440" w:lineRule="exact"/>
        <w:ind w:firstLine="424" w:firstLineChars="202"/>
        <w:rPr>
          <w:rFonts w:asciiTheme="minorEastAsia" w:hAnsiTheme="minorEastAsia" w:eastAsiaTheme="minorEastAsia"/>
          <w:color w:val="auto"/>
          <w:szCs w:val="21"/>
          <w:highlight w:val="none"/>
        </w:rPr>
      </w:pPr>
      <w:r>
        <w:rPr>
          <w:rFonts w:asciiTheme="minorEastAsia" w:hAnsiTheme="minorEastAsia" w:eastAsiaTheme="minorEastAsia"/>
          <w:color w:val="auto"/>
          <w:szCs w:val="21"/>
          <w:highlight w:val="none"/>
        </w:rPr>
        <w:t>5</w:t>
      </w:r>
      <w:r>
        <w:rPr>
          <w:rFonts w:hint="eastAsia" w:asciiTheme="minorEastAsia" w:hAnsiTheme="minorEastAsia" w:eastAsiaTheme="minorEastAsia"/>
          <w:color w:val="auto"/>
          <w:szCs w:val="21"/>
          <w:highlight w:val="none"/>
        </w:rPr>
        <w:t xml:space="preserve">． </w:t>
      </w:r>
      <w:r>
        <w:rPr>
          <w:rFonts w:asciiTheme="minorEastAsia" w:hAnsiTheme="minorEastAsia" w:eastAsiaTheme="minorEastAsia"/>
          <w:color w:val="auto"/>
          <w:szCs w:val="21"/>
          <w:highlight w:val="none"/>
        </w:rPr>
        <w:t>参选工作以及联合体在中选后</w:t>
      </w:r>
      <w:r>
        <w:rPr>
          <w:rFonts w:hint="eastAsia" w:asciiTheme="minorEastAsia" w:hAnsiTheme="minorEastAsia" w:eastAsiaTheme="minorEastAsia"/>
          <w:color w:val="auto"/>
          <w:szCs w:val="21"/>
          <w:highlight w:val="none"/>
        </w:rPr>
        <w:t>项目</w:t>
      </w:r>
      <w:r>
        <w:rPr>
          <w:rFonts w:asciiTheme="minorEastAsia" w:hAnsiTheme="minorEastAsia" w:eastAsiaTheme="minorEastAsia"/>
          <w:color w:val="auto"/>
          <w:szCs w:val="21"/>
          <w:highlight w:val="none"/>
        </w:rPr>
        <w:t>实施过程中的有关费用按</w:t>
      </w:r>
      <w:r>
        <w:rPr>
          <w:rFonts w:hint="eastAsia" w:asciiTheme="minorEastAsia" w:hAnsiTheme="minorEastAsia" w:eastAsiaTheme="minorEastAsia"/>
          <w:color w:val="auto"/>
          <w:szCs w:val="21"/>
          <w:highlight w:val="none"/>
        </w:rPr>
        <w:t>照</w:t>
      </w:r>
      <w:r>
        <w:rPr>
          <w:rFonts w:asciiTheme="minorEastAsia" w:hAnsiTheme="minorEastAsia" w:eastAsiaTheme="minorEastAsia"/>
          <w:color w:val="auto"/>
          <w:szCs w:val="21"/>
          <w:highlight w:val="none"/>
        </w:rPr>
        <w:t>各自承担的工作量分摊。</w:t>
      </w:r>
    </w:p>
    <w:p>
      <w:pPr>
        <w:spacing w:line="440" w:lineRule="exact"/>
        <w:ind w:firstLine="424" w:firstLineChars="202"/>
        <w:rPr>
          <w:rFonts w:asciiTheme="minorEastAsia" w:hAnsiTheme="minorEastAsia" w:eastAsiaTheme="minorEastAsia"/>
          <w:color w:val="auto"/>
          <w:szCs w:val="21"/>
          <w:highlight w:val="none"/>
        </w:rPr>
      </w:pPr>
      <w:r>
        <w:rPr>
          <w:rFonts w:asciiTheme="minorEastAsia" w:hAnsiTheme="minorEastAsia" w:eastAsiaTheme="minorEastAsia"/>
          <w:color w:val="auto"/>
          <w:szCs w:val="21"/>
          <w:highlight w:val="none"/>
        </w:rPr>
        <w:t>6</w:t>
      </w:r>
      <w:r>
        <w:rPr>
          <w:rFonts w:hint="eastAsia" w:asciiTheme="minorEastAsia" w:hAnsiTheme="minorEastAsia" w:eastAsiaTheme="minorEastAsia"/>
          <w:color w:val="auto"/>
          <w:szCs w:val="21"/>
          <w:highlight w:val="none"/>
        </w:rPr>
        <w:t>．</w:t>
      </w:r>
      <w:r>
        <w:rPr>
          <w:rFonts w:asciiTheme="minorEastAsia" w:hAnsiTheme="minorEastAsia" w:eastAsiaTheme="minorEastAsia"/>
          <w:color w:val="auto"/>
          <w:szCs w:val="21"/>
          <w:highlight w:val="none"/>
        </w:rPr>
        <w:t>联合体中选后，本联合体协议是合同的附件，对联合体各成员单位有合同约束力。</w:t>
      </w:r>
    </w:p>
    <w:p>
      <w:pPr>
        <w:pStyle w:val="6"/>
        <w:tabs>
          <w:tab w:val="left" w:pos="6645"/>
        </w:tabs>
        <w:spacing w:line="440" w:lineRule="exact"/>
        <w:rPr>
          <w:rFonts w:asciiTheme="minorEastAsia" w:hAnsiTheme="minorEastAsia" w:eastAsiaTheme="minorEastAsia"/>
          <w:color w:val="auto"/>
          <w:sz w:val="21"/>
          <w:szCs w:val="21"/>
          <w:highlight w:val="none"/>
        </w:rPr>
      </w:pPr>
      <w:r>
        <w:rPr>
          <w:rFonts w:hint="eastAsia" w:asciiTheme="minorEastAsia" w:hAnsiTheme="minorEastAsia" w:eastAsiaTheme="minorEastAsia"/>
          <w:color w:val="auto"/>
          <w:sz w:val="21"/>
          <w:szCs w:val="21"/>
          <w:highlight w:val="none"/>
        </w:rPr>
        <w:t>7．</w:t>
      </w:r>
      <w:r>
        <w:rPr>
          <w:rFonts w:asciiTheme="minorEastAsia" w:hAnsiTheme="minorEastAsia" w:eastAsiaTheme="minorEastAsia"/>
          <w:color w:val="auto"/>
          <w:sz w:val="21"/>
          <w:szCs w:val="21"/>
          <w:highlight w:val="none"/>
        </w:rPr>
        <w:t>本协议书自签</w:t>
      </w:r>
      <w:r>
        <w:rPr>
          <w:rFonts w:hint="eastAsia" w:asciiTheme="minorEastAsia" w:hAnsiTheme="minorEastAsia" w:eastAsiaTheme="minorEastAsia"/>
          <w:color w:val="auto"/>
          <w:sz w:val="21"/>
          <w:szCs w:val="21"/>
          <w:highlight w:val="none"/>
        </w:rPr>
        <w:t>署</w:t>
      </w:r>
      <w:r>
        <w:rPr>
          <w:rFonts w:asciiTheme="minorEastAsia" w:hAnsiTheme="minorEastAsia" w:eastAsiaTheme="minorEastAsia"/>
          <w:color w:val="auto"/>
          <w:sz w:val="21"/>
          <w:szCs w:val="21"/>
          <w:highlight w:val="none"/>
        </w:rPr>
        <w:t>之日起生效，合同履行完毕后自动失效。</w:t>
      </w:r>
      <w:r>
        <w:rPr>
          <w:rFonts w:asciiTheme="minorEastAsia" w:hAnsiTheme="minorEastAsia" w:eastAsiaTheme="minorEastAsia"/>
          <w:color w:val="auto"/>
          <w:sz w:val="21"/>
          <w:szCs w:val="21"/>
          <w:highlight w:val="none"/>
        </w:rPr>
        <w:tab/>
      </w:r>
    </w:p>
    <w:p>
      <w:pPr>
        <w:pStyle w:val="6"/>
        <w:spacing w:line="440" w:lineRule="exact"/>
        <w:rPr>
          <w:rFonts w:asciiTheme="minorEastAsia" w:hAnsiTheme="minorEastAsia" w:eastAsiaTheme="minorEastAsia"/>
          <w:color w:val="auto"/>
          <w:sz w:val="21"/>
          <w:szCs w:val="21"/>
          <w:highlight w:val="none"/>
        </w:rPr>
      </w:pPr>
      <w:r>
        <w:rPr>
          <w:rFonts w:hint="eastAsia" w:asciiTheme="minorEastAsia" w:hAnsiTheme="minorEastAsia" w:eastAsiaTheme="minorEastAsia"/>
          <w:color w:val="auto"/>
          <w:sz w:val="21"/>
          <w:szCs w:val="21"/>
          <w:highlight w:val="none"/>
        </w:rPr>
        <w:t>8．</w:t>
      </w:r>
      <w:r>
        <w:rPr>
          <w:rFonts w:asciiTheme="minorEastAsia" w:hAnsiTheme="minorEastAsia" w:eastAsiaTheme="minorEastAsia"/>
          <w:color w:val="auto"/>
          <w:sz w:val="21"/>
          <w:szCs w:val="21"/>
          <w:highlight w:val="none"/>
        </w:rPr>
        <w:t>本协议书一式____份，联合体成员</w:t>
      </w:r>
      <w:r>
        <w:rPr>
          <w:rFonts w:hint="eastAsia" w:asciiTheme="minorEastAsia" w:hAnsiTheme="minorEastAsia" w:eastAsiaTheme="minorEastAsia"/>
          <w:color w:val="auto"/>
          <w:sz w:val="21"/>
          <w:szCs w:val="21"/>
          <w:highlight w:val="none"/>
        </w:rPr>
        <w:t>和</w:t>
      </w:r>
      <w:r>
        <w:rPr>
          <w:rFonts w:asciiTheme="minorEastAsia" w:hAnsiTheme="minorEastAsia" w:eastAsiaTheme="minorEastAsia"/>
          <w:color w:val="auto"/>
          <w:sz w:val="21"/>
          <w:szCs w:val="21"/>
          <w:highlight w:val="none"/>
        </w:rPr>
        <w:t>比选人各执一份。</w:t>
      </w:r>
    </w:p>
    <w:p>
      <w:pPr>
        <w:pStyle w:val="6"/>
        <w:spacing w:line="440" w:lineRule="exact"/>
        <w:rPr>
          <w:rFonts w:asciiTheme="minorEastAsia" w:hAnsiTheme="minorEastAsia" w:eastAsiaTheme="minorEastAsia"/>
          <w:color w:val="auto"/>
          <w:sz w:val="21"/>
          <w:szCs w:val="21"/>
          <w:highlight w:val="none"/>
        </w:rPr>
      </w:pPr>
      <w:r>
        <w:rPr>
          <w:rFonts w:asciiTheme="minorEastAsia" w:hAnsiTheme="minorEastAsia" w:eastAsiaTheme="minorEastAsia"/>
          <w:color w:val="auto"/>
          <w:sz w:val="21"/>
          <w:szCs w:val="21"/>
          <w:highlight w:val="none"/>
        </w:rPr>
        <w:t>注：本协议书由委托人签字的，应附法定代表人签字的授权委托书。</w:t>
      </w:r>
    </w:p>
    <w:p>
      <w:pPr>
        <w:pStyle w:val="6"/>
        <w:wordWrap w:val="0"/>
        <w:spacing w:line="360" w:lineRule="auto"/>
        <w:jc w:val="right"/>
        <w:rPr>
          <w:rFonts w:asciiTheme="minorEastAsia" w:hAnsiTheme="minorEastAsia" w:eastAsiaTheme="minorEastAsia"/>
          <w:color w:val="auto"/>
          <w:sz w:val="21"/>
          <w:szCs w:val="21"/>
          <w:highlight w:val="none"/>
        </w:rPr>
      </w:pPr>
      <w:r>
        <w:rPr>
          <w:rFonts w:asciiTheme="minorEastAsia" w:hAnsiTheme="minorEastAsia" w:eastAsiaTheme="minorEastAsia"/>
          <w:color w:val="auto"/>
          <w:sz w:val="21"/>
          <w:szCs w:val="21"/>
          <w:highlight w:val="none"/>
        </w:rPr>
        <w:t>牵头人名称：_______________________（盖单位公章）</w:t>
      </w:r>
    </w:p>
    <w:p>
      <w:pPr>
        <w:pStyle w:val="6"/>
        <w:spacing w:line="360" w:lineRule="auto"/>
        <w:jc w:val="right"/>
        <w:rPr>
          <w:rFonts w:asciiTheme="minorEastAsia" w:hAnsiTheme="minorEastAsia" w:eastAsiaTheme="minorEastAsia"/>
          <w:color w:val="auto"/>
          <w:sz w:val="21"/>
          <w:szCs w:val="21"/>
          <w:highlight w:val="none"/>
        </w:rPr>
      </w:pPr>
      <w:r>
        <w:rPr>
          <w:rFonts w:asciiTheme="minorEastAsia" w:hAnsiTheme="minorEastAsia" w:eastAsiaTheme="minorEastAsia"/>
          <w:color w:val="auto"/>
          <w:sz w:val="21"/>
          <w:szCs w:val="21"/>
          <w:highlight w:val="none"/>
        </w:rPr>
        <w:t>法定代表人或其委托代理人：_____________（签字）</w:t>
      </w:r>
    </w:p>
    <w:p>
      <w:pPr>
        <w:pStyle w:val="6"/>
        <w:spacing w:line="360" w:lineRule="auto"/>
        <w:jc w:val="right"/>
        <w:rPr>
          <w:rFonts w:asciiTheme="minorEastAsia" w:hAnsiTheme="minorEastAsia" w:eastAsiaTheme="minorEastAsia"/>
          <w:color w:val="auto"/>
          <w:sz w:val="21"/>
          <w:szCs w:val="21"/>
          <w:highlight w:val="none"/>
        </w:rPr>
      </w:pPr>
    </w:p>
    <w:p>
      <w:pPr>
        <w:pStyle w:val="6"/>
        <w:wordWrap w:val="0"/>
        <w:spacing w:line="360" w:lineRule="auto"/>
        <w:jc w:val="right"/>
        <w:rPr>
          <w:rFonts w:asciiTheme="minorEastAsia" w:hAnsiTheme="minorEastAsia" w:eastAsiaTheme="minorEastAsia"/>
          <w:color w:val="auto"/>
          <w:sz w:val="21"/>
          <w:szCs w:val="21"/>
          <w:highlight w:val="none"/>
        </w:rPr>
      </w:pPr>
      <w:r>
        <w:rPr>
          <w:rFonts w:asciiTheme="minorEastAsia" w:hAnsiTheme="minorEastAsia" w:eastAsiaTheme="minorEastAsia"/>
          <w:color w:val="auto"/>
          <w:sz w:val="21"/>
          <w:szCs w:val="21"/>
          <w:highlight w:val="none"/>
        </w:rPr>
        <w:t>成员一名称：_______________________（盖单位公章）</w:t>
      </w:r>
    </w:p>
    <w:p>
      <w:pPr>
        <w:pStyle w:val="6"/>
        <w:spacing w:line="360" w:lineRule="auto"/>
        <w:jc w:val="right"/>
        <w:rPr>
          <w:rFonts w:asciiTheme="minorEastAsia" w:hAnsiTheme="minorEastAsia" w:eastAsiaTheme="minorEastAsia"/>
          <w:color w:val="auto"/>
          <w:sz w:val="21"/>
          <w:szCs w:val="21"/>
          <w:highlight w:val="none"/>
        </w:rPr>
      </w:pPr>
      <w:r>
        <w:rPr>
          <w:rFonts w:asciiTheme="minorEastAsia" w:hAnsiTheme="minorEastAsia" w:eastAsiaTheme="minorEastAsia"/>
          <w:color w:val="auto"/>
          <w:sz w:val="21"/>
          <w:szCs w:val="21"/>
          <w:highlight w:val="none"/>
        </w:rPr>
        <w:t>法定代表人或其委托代理人：_____________（签字）</w:t>
      </w:r>
    </w:p>
    <w:p>
      <w:pPr>
        <w:pStyle w:val="6"/>
        <w:spacing w:line="360" w:lineRule="auto"/>
        <w:jc w:val="right"/>
        <w:rPr>
          <w:rFonts w:asciiTheme="minorEastAsia" w:hAnsiTheme="minorEastAsia" w:eastAsiaTheme="minorEastAsia"/>
          <w:color w:val="auto"/>
          <w:sz w:val="21"/>
          <w:szCs w:val="21"/>
          <w:highlight w:val="none"/>
        </w:rPr>
      </w:pPr>
    </w:p>
    <w:p>
      <w:pPr>
        <w:pStyle w:val="6"/>
        <w:spacing w:line="360" w:lineRule="auto"/>
        <w:jc w:val="right"/>
        <w:rPr>
          <w:rFonts w:asciiTheme="minorEastAsia" w:hAnsiTheme="minorEastAsia" w:eastAsiaTheme="minorEastAsia"/>
          <w:color w:val="auto"/>
          <w:sz w:val="21"/>
          <w:szCs w:val="21"/>
          <w:highlight w:val="none"/>
        </w:rPr>
      </w:pPr>
      <w:r>
        <w:rPr>
          <w:rFonts w:asciiTheme="minorEastAsia" w:hAnsiTheme="minorEastAsia" w:eastAsiaTheme="minorEastAsia"/>
          <w:color w:val="auto"/>
          <w:sz w:val="21"/>
          <w:szCs w:val="21"/>
          <w:highlight w:val="none"/>
        </w:rPr>
        <w:t>成员二名称：_______________________（盖单位公章）</w:t>
      </w:r>
    </w:p>
    <w:p>
      <w:pPr>
        <w:pStyle w:val="6"/>
        <w:spacing w:line="360" w:lineRule="auto"/>
        <w:jc w:val="right"/>
        <w:rPr>
          <w:rFonts w:asciiTheme="minorEastAsia" w:hAnsiTheme="minorEastAsia" w:eastAsiaTheme="minorEastAsia"/>
          <w:color w:val="auto"/>
          <w:sz w:val="21"/>
          <w:szCs w:val="21"/>
          <w:highlight w:val="none"/>
        </w:rPr>
      </w:pPr>
      <w:r>
        <w:rPr>
          <w:rFonts w:asciiTheme="minorEastAsia" w:hAnsiTheme="minorEastAsia" w:eastAsiaTheme="minorEastAsia"/>
          <w:color w:val="auto"/>
          <w:sz w:val="21"/>
          <w:szCs w:val="21"/>
          <w:highlight w:val="none"/>
        </w:rPr>
        <w:t>法定代表人或其委托代理人：_____________（签字）</w:t>
      </w:r>
    </w:p>
    <w:p>
      <w:pPr>
        <w:pStyle w:val="6"/>
        <w:spacing w:line="360" w:lineRule="auto"/>
        <w:ind w:right="840"/>
        <w:rPr>
          <w:rFonts w:asciiTheme="minorEastAsia" w:hAnsiTheme="minorEastAsia" w:eastAsiaTheme="minorEastAsia"/>
          <w:color w:val="auto"/>
          <w:sz w:val="21"/>
          <w:szCs w:val="21"/>
          <w:highlight w:val="none"/>
        </w:rPr>
      </w:pPr>
      <w:r>
        <w:rPr>
          <w:rFonts w:hint="eastAsia" w:asciiTheme="minorEastAsia" w:hAnsiTheme="minorEastAsia" w:eastAsiaTheme="minorEastAsia"/>
          <w:color w:val="auto"/>
          <w:sz w:val="21"/>
          <w:szCs w:val="21"/>
          <w:highlight w:val="none"/>
        </w:rPr>
        <w:t xml:space="preserve">                             </w:t>
      </w:r>
      <w:r>
        <w:rPr>
          <w:rFonts w:asciiTheme="minorEastAsia" w:hAnsiTheme="minorEastAsia" w:eastAsiaTheme="minorEastAsia"/>
          <w:color w:val="auto"/>
          <w:sz w:val="21"/>
          <w:szCs w:val="21"/>
          <w:highlight w:val="none"/>
        </w:rPr>
        <w:t>……</w:t>
      </w:r>
    </w:p>
    <w:p>
      <w:pPr>
        <w:widowControl/>
        <w:tabs>
          <w:tab w:val="left" w:pos="3018"/>
          <w:tab w:val="left" w:pos="6260"/>
        </w:tabs>
        <w:ind w:firstLine="2692" w:firstLineChars="1282"/>
        <w:jc w:val="left"/>
        <w:rPr>
          <w:rFonts w:cs="Arial" w:asciiTheme="minorEastAsia" w:hAnsiTheme="minorEastAsia" w:eastAsiaTheme="minorEastAsia"/>
          <w:bCs/>
          <w:color w:val="auto"/>
          <w:szCs w:val="21"/>
          <w:highlight w:val="none"/>
        </w:rPr>
      </w:pPr>
      <w:r>
        <w:rPr>
          <w:rFonts w:asciiTheme="minorEastAsia" w:hAnsiTheme="minorEastAsia" w:eastAsiaTheme="minorEastAsia"/>
          <w:color w:val="auto"/>
          <w:szCs w:val="21"/>
          <w:highlight w:val="none"/>
          <w:u w:val="single"/>
        </w:rPr>
        <w:t xml:space="preserve">        </w:t>
      </w:r>
      <w:r>
        <w:rPr>
          <w:rFonts w:asciiTheme="minorEastAsia" w:hAnsiTheme="minorEastAsia" w:eastAsiaTheme="minorEastAsia"/>
          <w:color w:val="auto"/>
          <w:szCs w:val="21"/>
          <w:highlight w:val="none"/>
        </w:rPr>
        <w:t>年</w:t>
      </w:r>
      <w:r>
        <w:rPr>
          <w:rFonts w:asciiTheme="minorEastAsia" w:hAnsiTheme="minorEastAsia" w:eastAsiaTheme="minorEastAsia"/>
          <w:color w:val="auto"/>
          <w:szCs w:val="21"/>
          <w:highlight w:val="none"/>
          <w:u w:val="single"/>
        </w:rPr>
        <w:t xml:space="preserve">   </w:t>
      </w:r>
      <w:r>
        <w:rPr>
          <w:rFonts w:hint="eastAsia" w:asciiTheme="minorEastAsia" w:hAnsiTheme="minorEastAsia" w:eastAsiaTheme="minorEastAsia"/>
          <w:color w:val="auto"/>
          <w:szCs w:val="21"/>
          <w:highlight w:val="none"/>
          <w:u w:val="single"/>
        </w:rPr>
        <w:t xml:space="preserve">  </w:t>
      </w:r>
      <w:r>
        <w:rPr>
          <w:rFonts w:asciiTheme="minorEastAsia" w:hAnsiTheme="minorEastAsia" w:eastAsiaTheme="minorEastAsia"/>
          <w:color w:val="auto"/>
          <w:szCs w:val="21"/>
          <w:highlight w:val="none"/>
        </w:rPr>
        <w:t>月</w:t>
      </w:r>
      <w:r>
        <w:rPr>
          <w:rFonts w:asciiTheme="minorEastAsia" w:hAnsiTheme="minorEastAsia" w:eastAsiaTheme="minorEastAsia"/>
          <w:color w:val="auto"/>
          <w:szCs w:val="21"/>
          <w:highlight w:val="none"/>
          <w:u w:val="single"/>
        </w:rPr>
        <w:t xml:space="preserve"> </w:t>
      </w:r>
      <w:r>
        <w:rPr>
          <w:rFonts w:hint="eastAsia" w:asciiTheme="minorEastAsia" w:hAnsiTheme="minorEastAsia" w:eastAsiaTheme="minorEastAsia"/>
          <w:color w:val="auto"/>
          <w:szCs w:val="21"/>
          <w:highlight w:val="none"/>
          <w:u w:val="single"/>
        </w:rPr>
        <w:t xml:space="preserve">   </w:t>
      </w:r>
      <w:r>
        <w:rPr>
          <w:rFonts w:asciiTheme="minorEastAsia" w:hAnsiTheme="minorEastAsia" w:eastAsiaTheme="minorEastAsia"/>
          <w:color w:val="auto"/>
          <w:szCs w:val="21"/>
          <w:highlight w:val="none"/>
          <w:u w:val="single"/>
        </w:rPr>
        <w:t xml:space="preserve"> </w:t>
      </w:r>
      <w:r>
        <w:rPr>
          <w:rFonts w:asciiTheme="minorEastAsia" w:hAnsiTheme="minorEastAsia" w:eastAsiaTheme="minorEastAsia"/>
          <w:color w:val="auto"/>
          <w:szCs w:val="21"/>
          <w:highlight w:val="none"/>
        </w:rPr>
        <w:t>日</w:t>
      </w:r>
    </w:p>
    <w:p>
      <w:pPr>
        <w:widowControl/>
        <w:jc w:val="left"/>
        <w:rPr>
          <w:rFonts w:ascii="宋体" w:hAnsi="宋体"/>
          <w:color w:val="auto"/>
          <w:highlight w:val="none"/>
        </w:rPr>
      </w:pPr>
      <w:r>
        <w:rPr>
          <w:rFonts w:ascii="宋体" w:hAnsi="宋体"/>
          <w:color w:val="auto"/>
          <w:highlight w:val="none"/>
        </w:rPr>
        <w:br w:type="page"/>
      </w: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693" w:name="_Toc17203355"/>
      <w:bookmarkEnd w:id="693"/>
      <w:bookmarkStart w:id="694" w:name="_Toc17203806"/>
      <w:bookmarkEnd w:id="694"/>
      <w:bookmarkStart w:id="695" w:name="_Toc17203564"/>
      <w:bookmarkEnd w:id="695"/>
      <w:bookmarkStart w:id="696" w:name="_Toc17203049"/>
      <w:bookmarkEnd w:id="696"/>
      <w:bookmarkStart w:id="697" w:name="_Toc17203245"/>
      <w:bookmarkEnd w:id="697"/>
      <w:bookmarkStart w:id="698" w:name="_Toc17203738"/>
      <w:bookmarkEnd w:id="698"/>
      <w:bookmarkStart w:id="699" w:name="_Toc17202952"/>
      <w:bookmarkEnd w:id="699"/>
      <w:bookmarkStart w:id="700" w:name="_Toc17203146"/>
      <w:bookmarkEnd w:id="700"/>
      <w:bookmarkStart w:id="701" w:name="_Toc17202842"/>
      <w:bookmarkEnd w:id="701"/>
      <w:bookmarkStart w:id="702" w:name="_Toc17202843"/>
      <w:bookmarkStart w:id="703" w:name="_Toc17203565"/>
      <w:bookmarkStart w:id="704" w:name="_Toc9069"/>
      <w:bookmarkStart w:id="705" w:name="_Toc17203050"/>
      <w:r>
        <w:rPr>
          <w:rFonts w:hint="eastAsia" w:ascii="宋体" w:hAnsi="宋体"/>
          <w:color w:val="auto"/>
          <w:sz w:val="28"/>
          <w:szCs w:val="24"/>
          <w:highlight w:val="none"/>
        </w:rPr>
        <w:t>参选人基本情况</w:t>
      </w:r>
      <w:bookmarkEnd w:id="702"/>
      <w:bookmarkEnd w:id="703"/>
      <w:bookmarkEnd w:id="704"/>
      <w:bookmarkEnd w:id="705"/>
    </w:p>
    <w:p>
      <w:pPr>
        <w:spacing w:before="240" w:beforeLines="100" w:after="240" w:afterLines="100" w:line="440" w:lineRule="exact"/>
        <w:jc w:val="center"/>
        <w:rPr>
          <w:rFonts w:ascii="Arial" w:hAnsi="Arial" w:eastAsia="黑体"/>
          <w:b/>
          <w:bCs/>
          <w:color w:val="auto"/>
          <w:sz w:val="28"/>
          <w:szCs w:val="32"/>
          <w:highlight w:val="none"/>
        </w:rPr>
      </w:pPr>
      <w:r>
        <w:rPr>
          <w:rFonts w:hint="eastAsia" w:ascii="Arial" w:hAnsi="Arial" w:eastAsia="黑体"/>
          <w:b/>
          <w:bCs/>
          <w:color w:val="auto"/>
          <w:sz w:val="28"/>
          <w:szCs w:val="32"/>
          <w:highlight w:val="none"/>
        </w:rPr>
        <w:t>参选人基本情况表</w:t>
      </w:r>
    </w:p>
    <w:tbl>
      <w:tblPr>
        <w:tblStyle w:val="37"/>
        <w:tblW w:w="8568"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28"/>
        <w:gridCol w:w="898"/>
        <w:gridCol w:w="951"/>
        <w:gridCol w:w="840"/>
        <w:gridCol w:w="420"/>
        <w:gridCol w:w="311"/>
        <w:gridCol w:w="1078"/>
        <w:gridCol w:w="490"/>
        <w:gridCol w:w="860"/>
        <w:gridCol w:w="992"/>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1" w:hRule="atLeast"/>
        </w:trPr>
        <w:tc>
          <w:tcPr>
            <w:tcW w:w="172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参选人名称</w:t>
            </w:r>
          </w:p>
        </w:tc>
        <w:tc>
          <w:tcPr>
            <w:tcW w:w="6840" w:type="dxa"/>
            <w:gridSpan w:val="9"/>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1" w:hRule="atLeast"/>
        </w:trPr>
        <w:tc>
          <w:tcPr>
            <w:tcW w:w="172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注册地址</w:t>
            </w:r>
          </w:p>
        </w:tc>
        <w:tc>
          <w:tcPr>
            <w:tcW w:w="3420" w:type="dxa"/>
            <w:gridSpan w:val="5"/>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107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邮政编码</w:t>
            </w:r>
          </w:p>
        </w:tc>
        <w:tc>
          <w:tcPr>
            <w:tcW w:w="2342" w:type="dxa"/>
            <w:gridSpan w:val="3"/>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05" w:hRule="atLeast"/>
        </w:trPr>
        <w:tc>
          <w:tcPr>
            <w:tcW w:w="1728" w:type="dxa"/>
            <w:vMerge w:val="restart"/>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联系方式</w:t>
            </w:r>
          </w:p>
        </w:tc>
        <w:tc>
          <w:tcPr>
            <w:tcW w:w="89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联系人</w:t>
            </w:r>
          </w:p>
        </w:tc>
        <w:tc>
          <w:tcPr>
            <w:tcW w:w="2522" w:type="dxa"/>
            <w:gridSpan w:val="4"/>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107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电 话</w:t>
            </w:r>
          </w:p>
        </w:tc>
        <w:tc>
          <w:tcPr>
            <w:tcW w:w="2342" w:type="dxa"/>
            <w:gridSpan w:val="3"/>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13" w:hRule="atLeast"/>
        </w:trPr>
        <w:tc>
          <w:tcPr>
            <w:tcW w:w="1728" w:type="dxa"/>
            <w:vMerge w:val="continue"/>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89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传  真</w:t>
            </w:r>
          </w:p>
        </w:tc>
        <w:tc>
          <w:tcPr>
            <w:tcW w:w="2522" w:type="dxa"/>
            <w:gridSpan w:val="4"/>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107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网 址</w:t>
            </w:r>
          </w:p>
        </w:tc>
        <w:tc>
          <w:tcPr>
            <w:tcW w:w="2342" w:type="dxa"/>
            <w:gridSpan w:val="3"/>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4" w:hRule="atLeast"/>
        </w:trPr>
        <w:tc>
          <w:tcPr>
            <w:tcW w:w="172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组织结构</w:t>
            </w:r>
          </w:p>
        </w:tc>
        <w:tc>
          <w:tcPr>
            <w:tcW w:w="6840" w:type="dxa"/>
            <w:gridSpan w:val="9"/>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8" w:hRule="atLeast"/>
        </w:trPr>
        <w:tc>
          <w:tcPr>
            <w:tcW w:w="172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法定代表人</w:t>
            </w:r>
          </w:p>
        </w:tc>
        <w:tc>
          <w:tcPr>
            <w:tcW w:w="89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姓名</w:t>
            </w:r>
          </w:p>
        </w:tc>
        <w:tc>
          <w:tcPr>
            <w:tcW w:w="951"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1260" w:type="dxa"/>
            <w:gridSpan w:val="2"/>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技术职称</w:t>
            </w:r>
          </w:p>
        </w:tc>
        <w:tc>
          <w:tcPr>
            <w:tcW w:w="1879" w:type="dxa"/>
            <w:gridSpan w:val="3"/>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860"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电话</w:t>
            </w:r>
          </w:p>
        </w:tc>
        <w:tc>
          <w:tcPr>
            <w:tcW w:w="992"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2" w:hRule="atLeast"/>
        </w:trPr>
        <w:tc>
          <w:tcPr>
            <w:tcW w:w="172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技术负责人</w:t>
            </w:r>
          </w:p>
        </w:tc>
        <w:tc>
          <w:tcPr>
            <w:tcW w:w="89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姓名</w:t>
            </w:r>
          </w:p>
        </w:tc>
        <w:tc>
          <w:tcPr>
            <w:tcW w:w="951"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1260" w:type="dxa"/>
            <w:gridSpan w:val="2"/>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技术职称</w:t>
            </w:r>
          </w:p>
        </w:tc>
        <w:tc>
          <w:tcPr>
            <w:tcW w:w="1879" w:type="dxa"/>
            <w:gridSpan w:val="3"/>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860"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电话</w:t>
            </w:r>
          </w:p>
        </w:tc>
        <w:tc>
          <w:tcPr>
            <w:tcW w:w="992"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624" w:hRule="atLeast"/>
        </w:trPr>
        <w:tc>
          <w:tcPr>
            <w:tcW w:w="172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成立时间</w:t>
            </w:r>
          </w:p>
        </w:tc>
        <w:tc>
          <w:tcPr>
            <w:tcW w:w="1849" w:type="dxa"/>
            <w:gridSpan w:val="2"/>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4991" w:type="dxa"/>
            <w:gridSpan w:val="7"/>
            <w:tcBorders>
              <w:top w:val="single" w:color="auto" w:sz="4" w:space="0"/>
              <w:left w:val="single" w:color="auto" w:sz="4" w:space="0"/>
              <w:bottom w:val="single" w:color="auto" w:sz="4" w:space="0"/>
              <w:right w:val="single" w:color="auto" w:sz="4" w:space="0"/>
            </w:tcBorders>
            <w:vAlign w:val="center"/>
          </w:tcPr>
          <w:p>
            <w:pPr>
              <w:topLinePunct/>
              <w:spacing w:line="440" w:lineRule="exact"/>
              <w:ind w:firstLine="105" w:firstLineChars="50"/>
              <w:jc w:val="center"/>
              <w:rPr>
                <w:color w:val="auto"/>
                <w:szCs w:val="21"/>
                <w:highlight w:val="none"/>
              </w:rPr>
            </w:pPr>
            <w:r>
              <w:rPr>
                <w:color w:val="auto"/>
                <w:szCs w:val="21"/>
                <w:highlight w:val="none"/>
              </w:rPr>
              <w:t>员工总人数：</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58" w:hRule="atLeast"/>
        </w:trPr>
        <w:tc>
          <w:tcPr>
            <w:tcW w:w="172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企业资质等级</w:t>
            </w:r>
          </w:p>
        </w:tc>
        <w:tc>
          <w:tcPr>
            <w:tcW w:w="1849" w:type="dxa"/>
            <w:gridSpan w:val="2"/>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840" w:type="dxa"/>
            <w:vMerge w:val="restart"/>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其中</w:t>
            </w:r>
          </w:p>
        </w:tc>
        <w:tc>
          <w:tcPr>
            <w:tcW w:w="2299" w:type="dxa"/>
            <w:gridSpan w:val="4"/>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rFonts w:hint="eastAsia"/>
                <w:color w:val="auto"/>
                <w:szCs w:val="21"/>
                <w:highlight w:val="none"/>
              </w:rPr>
              <w:t>项目</w:t>
            </w:r>
            <w:r>
              <w:rPr>
                <w:color w:val="auto"/>
                <w:szCs w:val="21"/>
                <w:highlight w:val="none"/>
              </w:rPr>
              <w:t>负责人</w:t>
            </w:r>
          </w:p>
        </w:tc>
        <w:tc>
          <w:tcPr>
            <w:tcW w:w="1852" w:type="dxa"/>
            <w:gridSpan w:val="2"/>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10" w:hRule="atLeast"/>
        </w:trPr>
        <w:tc>
          <w:tcPr>
            <w:tcW w:w="172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营业执照号</w:t>
            </w:r>
          </w:p>
        </w:tc>
        <w:tc>
          <w:tcPr>
            <w:tcW w:w="1849" w:type="dxa"/>
            <w:gridSpan w:val="2"/>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840" w:type="dxa"/>
            <w:vMerge w:val="continue"/>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2299" w:type="dxa"/>
            <w:gridSpan w:val="4"/>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高级职称人员</w:t>
            </w:r>
          </w:p>
        </w:tc>
        <w:tc>
          <w:tcPr>
            <w:tcW w:w="1852" w:type="dxa"/>
            <w:gridSpan w:val="2"/>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04" w:hRule="atLeast"/>
        </w:trPr>
        <w:tc>
          <w:tcPr>
            <w:tcW w:w="172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注册资金</w:t>
            </w:r>
          </w:p>
        </w:tc>
        <w:tc>
          <w:tcPr>
            <w:tcW w:w="1849" w:type="dxa"/>
            <w:gridSpan w:val="2"/>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840" w:type="dxa"/>
            <w:vMerge w:val="continue"/>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2299" w:type="dxa"/>
            <w:gridSpan w:val="4"/>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中级职称人员</w:t>
            </w:r>
          </w:p>
        </w:tc>
        <w:tc>
          <w:tcPr>
            <w:tcW w:w="1852" w:type="dxa"/>
            <w:gridSpan w:val="2"/>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26" w:hRule="atLeast"/>
        </w:trPr>
        <w:tc>
          <w:tcPr>
            <w:tcW w:w="172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开户银行</w:t>
            </w:r>
          </w:p>
        </w:tc>
        <w:tc>
          <w:tcPr>
            <w:tcW w:w="1849" w:type="dxa"/>
            <w:gridSpan w:val="2"/>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840" w:type="dxa"/>
            <w:vMerge w:val="continue"/>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2299" w:type="dxa"/>
            <w:gridSpan w:val="4"/>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初级职称人员</w:t>
            </w:r>
          </w:p>
        </w:tc>
        <w:tc>
          <w:tcPr>
            <w:tcW w:w="1852" w:type="dxa"/>
            <w:gridSpan w:val="2"/>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06" w:hRule="atLeast"/>
        </w:trPr>
        <w:tc>
          <w:tcPr>
            <w:tcW w:w="172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账号</w:t>
            </w:r>
          </w:p>
        </w:tc>
        <w:tc>
          <w:tcPr>
            <w:tcW w:w="1849" w:type="dxa"/>
            <w:gridSpan w:val="2"/>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840" w:type="dxa"/>
            <w:vMerge w:val="continue"/>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c>
          <w:tcPr>
            <w:tcW w:w="2299" w:type="dxa"/>
            <w:gridSpan w:val="4"/>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highlight w:val="none"/>
              </w:rPr>
            </w:pPr>
            <w:r>
              <w:rPr>
                <w:color w:val="auto"/>
                <w:szCs w:val="21"/>
                <w:highlight w:val="none"/>
              </w:rPr>
              <w:t>技</w:t>
            </w:r>
            <w:r>
              <w:rPr>
                <w:rFonts w:hint="eastAsia"/>
                <w:color w:val="auto"/>
                <w:szCs w:val="21"/>
                <w:highlight w:val="none"/>
              </w:rPr>
              <w:t xml:space="preserve">  </w:t>
            </w:r>
            <w:r>
              <w:rPr>
                <w:color w:val="auto"/>
                <w:szCs w:val="21"/>
                <w:highlight w:val="none"/>
              </w:rPr>
              <w:t>工</w:t>
            </w:r>
          </w:p>
        </w:tc>
        <w:tc>
          <w:tcPr>
            <w:tcW w:w="1852" w:type="dxa"/>
            <w:gridSpan w:val="2"/>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880" w:hRule="atLeast"/>
        </w:trPr>
        <w:tc>
          <w:tcPr>
            <w:tcW w:w="1728" w:type="dxa"/>
            <w:tcBorders>
              <w:top w:val="single" w:color="auto" w:sz="4" w:space="0"/>
              <w:left w:val="single" w:color="auto" w:sz="4" w:space="0"/>
              <w:right w:val="single" w:color="auto" w:sz="4" w:space="0"/>
            </w:tcBorders>
            <w:vAlign w:val="center"/>
          </w:tcPr>
          <w:p>
            <w:pPr>
              <w:topLinePunct/>
              <w:spacing w:line="440" w:lineRule="exact"/>
              <w:ind w:firstLine="210" w:firstLineChars="100"/>
              <w:jc w:val="center"/>
              <w:rPr>
                <w:color w:val="auto"/>
                <w:szCs w:val="21"/>
                <w:highlight w:val="none"/>
              </w:rPr>
            </w:pPr>
            <w:r>
              <w:rPr>
                <w:color w:val="auto"/>
                <w:szCs w:val="21"/>
                <w:highlight w:val="none"/>
              </w:rPr>
              <w:t>经营范围</w:t>
            </w:r>
          </w:p>
        </w:tc>
        <w:tc>
          <w:tcPr>
            <w:tcW w:w="6840" w:type="dxa"/>
            <w:gridSpan w:val="9"/>
            <w:tcBorders>
              <w:top w:val="single" w:color="auto" w:sz="4" w:space="0"/>
              <w:left w:val="single" w:color="auto" w:sz="4" w:space="0"/>
              <w:right w:val="single" w:color="auto" w:sz="4" w:space="0"/>
            </w:tcBorders>
            <w:vAlign w:val="center"/>
          </w:tcPr>
          <w:p>
            <w:pPr>
              <w:topLinePunct/>
              <w:spacing w:line="440" w:lineRule="exact"/>
              <w:jc w:val="center"/>
              <w:rPr>
                <w:color w:val="auto"/>
                <w:szCs w:val="21"/>
                <w:highlight w:val="none"/>
              </w:rPr>
            </w:pPr>
          </w:p>
          <w:p>
            <w:pPr>
              <w:topLinePunct/>
              <w:spacing w:line="440" w:lineRule="exact"/>
              <w:jc w:val="center"/>
              <w:rPr>
                <w:color w:val="auto"/>
                <w:szCs w:val="21"/>
                <w:highlight w:val="none"/>
              </w:rPr>
            </w:pPr>
          </w:p>
          <w:p>
            <w:pPr>
              <w:topLinePunct/>
              <w:spacing w:line="440" w:lineRule="exact"/>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15" w:hRule="atLeast"/>
        </w:trPr>
        <w:tc>
          <w:tcPr>
            <w:tcW w:w="1728" w:type="dxa"/>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r>
              <w:rPr>
                <w:color w:val="auto"/>
                <w:szCs w:val="21"/>
                <w:highlight w:val="none"/>
              </w:rPr>
              <w:t>备注</w:t>
            </w:r>
          </w:p>
        </w:tc>
        <w:tc>
          <w:tcPr>
            <w:tcW w:w="6840" w:type="dxa"/>
            <w:gridSpan w:val="9"/>
            <w:tcBorders>
              <w:top w:val="single" w:color="auto" w:sz="4" w:space="0"/>
              <w:left w:val="single" w:color="auto" w:sz="4" w:space="0"/>
              <w:bottom w:val="single" w:color="auto" w:sz="4" w:space="0"/>
              <w:right w:val="single" w:color="auto" w:sz="4" w:space="0"/>
            </w:tcBorders>
            <w:vAlign w:val="center"/>
          </w:tcPr>
          <w:p>
            <w:pPr>
              <w:topLinePunct/>
              <w:spacing w:line="440" w:lineRule="exact"/>
              <w:jc w:val="center"/>
              <w:rPr>
                <w:color w:val="auto"/>
                <w:szCs w:val="21"/>
                <w:highlight w:val="none"/>
              </w:rPr>
            </w:pPr>
          </w:p>
        </w:tc>
      </w:tr>
    </w:tbl>
    <w:p>
      <w:pPr>
        <w:ind w:firstLine="420" w:firstLineChars="200"/>
        <w:rPr>
          <w:color w:val="auto"/>
          <w:highlight w:val="none"/>
        </w:rPr>
      </w:pPr>
    </w:p>
    <w:p>
      <w:pPr>
        <w:spacing w:before="120" w:beforeLines="50" w:after="120" w:afterLines="50" w:line="400" w:lineRule="exact"/>
        <w:jc w:val="center"/>
        <w:outlineLvl w:val="2"/>
        <w:rPr>
          <w:b/>
          <w:color w:val="auto"/>
          <w:sz w:val="24"/>
          <w:highlight w:val="none"/>
        </w:rPr>
        <w:sectPr>
          <w:pgSz w:w="11906" w:h="16838"/>
          <w:pgMar w:top="1440" w:right="1797" w:bottom="1440" w:left="1797" w:header="851" w:footer="992" w:gutter="0"/>
          <w:cols w:space="425" w:num="1"/>
          <w:docGrid w:linePitch="312" w:charSpace="0"/>
        </w:sectPr>
      </w:pPr>
      <w:bookmarkStart w:id="706" w:name="_Toc447265610"/>
      <w:bookmarkStart w:id="707" w:name="_Toc486866109"/>
      <w:bookmarkStart w:id="708" w:name="_Toc475472683"/>
      <w:bookmarkStart w:id="709" w:name="_Toc447265324"/>
    </w:p>
    <w:p>
      <w:pPr>
        <w:spacing w:before="120" w:beforeLines="50" w:after="120" w:afterLines="50" w:line="400" w:lineRule="exact"/>
        <w:jc w:val="center"/>
        <w:outlineLvl w:val="2"/>
        <w:rPr>
          <w:b/>
          <w:color w:val="auto"/>
          <w:sz w:val="24"/>
          <w:highlight w:val="none"/>
        </w:rPr>
      </w:pPr>
      <w:bookmarkStart w:id="710" w:name="_Toc17202844"/>
      <w:r>
        <w:rPr>
          <w:rFonts w:hint="eastAsia"/>
          <w:b/>
          <w:color w:val="auto"/>
          <w:sz w:val="24"/>
          <w:highlight w:val="none"/>
        </w:rPr>
        <w:t>（一）营业执照</w:t>
      </w:r>
      <w:bookmarkEnd w:id="710"/>
    </w:p>
    <w:p>
      <w:pPr>
        <w:ind w:firstLine="420" w:firstLineChars="200"/>
        <w:rPr>
          <w:color w:val="auto"/>
          <w:highlight w:val="none"/>
        </w:rPr>
      </w:pPr>
      <w:r>
        <w:rPr>
          <w:rFonts w:hint="eastAsia"/>
          <w:color w:val="auto"/>
          <w:highlight w:val="none"/>
        </w:rPr>
        <w:t>请附营业执照、组织机构代码证书、税务登记证书、或者加载统一社会信用代码的营业执照复印件且加盖单位公章。具体要求</w:t>
      </w:r>
      <w:r>
        <w:rPr>
          <w:color w:val="auto"/>
          <w:highlight w:val="none"/>
        </w:rPr>
        <w:t>详见第一章比选公告</w:t>
      </w:r>
      <w:r>
        <w:rPr>
          <w:rFonts w:hint="eastAsia"/>
          <w:color w:val="auto"/>
          <w:highlight w:val="none"/>
        </w:rPr>
        <w:t>（适用</w:t>
      </w:r>
      <w:r>
        <w:rPr>
          <w:color w:val="auto"/>
          <w:highlight w:val="none"/>
        </w:rPr>
        <w:t>公开比选）</w:t>
      </w:r>
      <w:r>
        <w:rPr>
          <w:rFonts w:hint="eastAsia"/>
          <w:color w:val="auto"/>
          <w:highlight w:val="none"/>
        </w:rPr>
        <w:t>/第</w:t>
      </w:r>
      <w:r>
        <w:rPr>
          <w:color w:val="auto"/>
          <w:highlight w:val="none"/>
        </w:rPr>
        <w:t>二章参选人须知前</w:t>
      </w:r>
      <w:r>
        <w:rPr>
          <w:rFonts w:hint="eastAsia"/>
          <w:color w:val="auto"/>
          <w:highlight w:val="none"/>
        </w:rPr>
        <w:t>附</w:t>
      </w:r>
      <w:r>
        <w:rPr>
          <w:color w:val="auto"/>
          <w:highlight w:val="none"/>
        </w:rPr>
        <w:t>表</w:t>
      </w:r>
      <w:r>
        <w:rPr>
          <w:rFonts w:hint="eastAsia"/>
          <w:color w:val="auto"/>
          <w:highlight w:val="none"/>
        </w:rPr>
        <w:t>（</w:t>
      </w:r>
      <w:r>
        <w:rPr>
          <w:color w:val="auto"/>
          <w:highlight w:val="none"/>
        </w:rPr>
        <w:t>适用邀请比选）</w:t>
      </w:r>
      <w:r>
        <w:rPr>
          <w:rFonts w:hint="eastAsia"/>
          <w:color w:val="auto"/>
          <w:highlight w:val="none"/>
        </w:rPr>
        <w:t>。</w:t>
      </w:r>
    </w:p>
    <w:p>
      <w:pPr>
        <w:rPr>
          <w:color w:val="auto"/>
          <w:highlight w:val="none"/>
        </w:rPr>
      </w:pPr>
    </w:p>
    <w:p>
      <w:pPr>
        <w:rPr>
          <w:color w:val="auto"/>
          <w:highlight w:val="none"/>
        </w:rPr>
      </w:pPr>
    </w:p>
    <w:p>
      <w:pPr>
        <w:rPr>
          <w:color w:val="auto"/>
          <w:highlight w:val="none"/>
        </w:rPr>
      </w:pPr>
    </w:p>
    <w:p>
      <w:pPr>
        <w:ind w:firstLine="422" w:firstLineChars="200"/>
        <w:rPr>
          <w:rFonts w:ascii="Arial" w:hAnsi="Arial" w:cs="Arial"/>
          <w:b/>
          <w:color w:val="auto"/>
          <w:highlight w:val="none"/>
        </w:rPr>
      </w:pPr>
      <w:r>
        <w:rPr>
          <w:rFonts w:hint="eastAsia" w:ascii="Arial" w:hAnsi="Arial" w:cs="Arial"/>
          <w:b/>
          <w:color w:val="auto"/>
          <w:highlight w:val="none"/>
        </w:rPr>
        <w:t>附：营业执照</w:t>
      </w:r>
    </w:p>
    <w:p>
      <w:pPr>
        <w:ind w:firstLine="422" w:firstLineChars="200"/>
        <w:rPr>
          <w:rFonts w:ascii="Arial" w:hAnsi="Arial" w:cs="Arial"/>
          <w:b/>
          <w:color w:val="auto"/>
          <w:highlight w:val="none"/>
        </w:rPr>
      </w:pPr>
    </w:p>
    <w:p>
      <w:pPr>
        <w:ind w:firstLine="422" w:firstLineChars="200"/>
        <w:rPr>
          <w:rFonts w:ascii="Arial" w:hAnsi="Arial" w:cs="Arial"/>
          <w:b/>
          <w:color w:val="auto"/>
          <w:highlight w:val="none"/>
        </w:rPr>
      </w:pPr>
    </w:p>
    <w:p>
      <w:pPr>
        <w:ind w:firstLine="422" w:firstLineChars="200"/>
        <w:rPr>
          <w:rFonts w:ascii="Arial" w:hAnsi="Arial" w:cs="Arial"/>
          <w:b/>
          <w:color w:val="auto"/>
          <w:highlight w:val="none"/>
        </w:rPr>
      </w:pPr>
    </w:p>
    <w:p>
      <w:pPr>
        <w:ind w:firstLine="422" w:firstLineChars="200"/>
        <w:rPr>
          <w:rFonts w:ascii="Arial" w:hAnsi="Arial" w:cs="Arial"/>
          <w:b/>
          <w:color w:val="auto"/>
          <w:highlight w:val="none"/>
        </w:rPr>
      </w:pPr>
    </w:p>
    <w:p>
      <w:pPr>
        <w:ind w:firstLine="422" w:firstLineChars="200"/>
        <w:rPr>
          <w:rFonts w:ascii="Arial" w:hAnsi="Arial" w:cs="Arial"/>
          <w:b/>
          <w:color w:val="auto"/>
          <w:highlight w:val="none"/>
        </w:rPr>
      </w:pPr>
      <w:r>
        <w:rPr>
          <w:rFonts w:hint="eastAsia" w:ascii="Arial" w:hAnsi="Arial" w:cs="Arial"/>
          <w:b/>
          <w:color w:val="auto"/>
          <w:highlight w:val="none"/>
        </w:rPr>
        <w:t>附：“全国企业信用信息公示系统（http://www.gsxt.gov.cn）”查询结果截图（显示注册资本等信息）</w:t>
      </w:r>
    </w:p>
    <w:p>
      <w:pPr>
        <w:ind w:firstLine="422" w:firstLineChars="200"/>
        <w:rPr>
          <w:rFonts w:ascii="Arial" w:hAnsi="Arial" w:cs="Arial"/>
          <w:b/>
          <w:color w:val="auto"/>
          <w:highlight w:val="none"/>
        </w:rPr>
      </w:pPr>
    </w:p>
    <w:p>
      <w:pPr>
        <w:ind w:firstLine="422" w:firstLineChars="200"/>
        <w:rPr>
          <w:rFonts w:ascii="Arial" w:hAnsi="Arial" w:cs="Arial"/>
          <w:b/>
          <w:color w:val="auto"/>
          <w:highlight w:val="none"/>
        </w:rPr>
      </w:pPr>
    </w:p>
    <w:p>
      <w:pPr>
        <w:ind w:firstLine="422" w:firstLineChars="200"/>
        <w:rPr>
          <w:rFonts w:ascii="Arial" w:hAnsi="Arial" w:cs="Arial"/>
          <w:b/>
          <w:color w:val="auto"/>
          <w:highlight w:val="none"/>
        </w:rPr>
      </w:pPr>
    </w:p>
    <w:p>
      <w:pPr>
        <w:ind w:firstLine="422" w:firstLineChars="200"/>
        <w:rPr>
          <w:rFonts w:ascii="Arial" w:hAnsi="Arial" w:cs="Arial"/>
          <w:b/>
          <w:color w:val="auto"/>
          <w:highlight w:val="none"/>
        </w:rPr>
      </w:pPr>
    </w:p>
    <w:p>
      <w:pPr>
        <w:ind w:firstLine="422" w:firstLineChars="200"/>
        <w:rPr>
          <w:b/>
          <w:color w:val="auto"/>
          <w:highlight w:val="none"/>
        </w:rPr>
      </w:pPr>
      <w:r>
        <w:rPr>
          <w:rFonts w:hint="eastAsia" w:ascii="Arial" w:hAnsi="Arial" w:cs="Arial"/>
          <w:b/>
          <w:color w:val="auto"/>
          <w:highlight w:val="none"/>
        </w:rPr>
        <w:t>附：其他需提供的证明材料等</w:t>
      </w:r>
    </w:p>
    <w:p>
      <w:pPr>
        <w:rPr>
          <w:color w:val="auto"/>
          <w:highlight w:val="none"/>
        </w:rPr>
      </w:pPr>
      <w:r>
        <w:rPr>
          <w:rFonts w:ascii="黑体" w:eastAsia="黑体"/>
          <w:color w:val="auto"/>
          <w:sz w:val="24"/>
          <w:highlight w:val="none"/>
        </w:rPr>
        <w:br w:type="page"/>
      </w:r>
    </w:p>
    <w:p>
      <w:pPr>
        <w:spacing w:before="120" w:beforeLines="50" w:after="120" w:afterLines="50" w:line="400" w:lineRule="exact"/>
        <w:jc w:val="center"/>
        <w:outlineLvl w:val="2"/>
        <w:rPr>
          <w:b/>
          <w:color w:val="auto"/>
          <w:sz w:val="24"/>
          <w:highlight w:val="none"/>
        </w:rPr>
      </w:pPr>
      <w:bookmarkStart w:id="711" w:name="_Toc17202845"/>
      <w:r>
        <w:rPr>
          <w:rFonts w:hint="eastAsia"/>
          <w:b/>
          <w:color w:val="auto"/>
          <w:sz w:val="24"/>
          <w:highlight w:val="none"/>
        </w:rPr>
        <w:t>（二）资质证书</w:t>
      </w:r>
      <w:bookmarkEnd w:id="711"/>
    </w:p>
    <w:p>
      <w:pPr>
        <w:rPr>
          <w:color w:val="auto"/>
          <w:highlight w:val="none"/>
        </w:rPr>
      </w:pPr>
      <w:r>
        <w:rPr>
          <w:rFonts w:hint="eastAsia"/>
          <w:color w:val="auto"/>
          <w:highlight w:val="none"/>
        </w:rPr>
        <w:t>请附相关资质证书等复印件且加盖单位公章。</w:t>
      </w:r>
    </w:p>
    <w:p>
      <w:pPr>
        <w:widowControl/>
        <w:jc w:val="left"/>
        <w:rPr>
          <w:color w:val="auto"/>
          <w:highlight w:val="none"/>
        </w:rPr>
      </w:pPr>
      <w:r>
        <w:rPr>
          <w:color w:val="auto"/>
          <w:highlight w:val="none"/>
        </w:rPr>
        <w:br w:type="page"/>
      </w:r>
    </w:p>
    <w:p>
      <w:pPr>
        <w:spacing w:before="120" w:beforeLines="50" w:after="120" w:afterLines="50" w:line="400" w:lineRule="exact"/>
        <w:jc w:val="left"/>
        <w:outlineLvl w:val="2"/>
        <w:rPr>
          <w:b/>
          <w:color w:val="auto"/>
          <w:sz w:val="24"/>
          <w:highlight w:val="none"/>
        </w:rPr>
      </w:pPr>
      <w:bookmarkStart w:id="712" w:name="_Toc17202846"/>
      <w:r>
        <w:rPr>
          <w:rFonts w:hint="eastAsia"/>
          <w:b/>
          <w:color w:val="auto"/>
          <w:sz w:val="24"/>
          <w:highlight w:val="none"/>
        </w:rPr>
        <w:t>（三）参选信誉承诺函</w:t>
      </w:r>
      <w:bookmarkEnd w:id="712"/>
    </w:p>
    <w:p>
      <w:pPr>
        <w:jc w:val="center"/>
        <w:rPr>
          <w:b/>
          <w:color w:val="auto"/>
          <w:sz w:val="24"/>
          <w:szCs w:val="32"/>
          <w:highlight w:val="none"/>
        </w:rPr>
      </w:pPr>
      <w:r>
        <w:rPr>
          <w:rFonts w:hint="eastAsia"/>
          <w:b/>
          <w:color w:val="auto"/>
          <w:sz w:val="24"/>
          <w:szCs w:val="32"/>
          <w:highlight w:val="none"/>
        </w:rPr>
        <w:t>参选信誉承诺函</w:t>
      </w:r>
    </w:p>
    <w:p>
      <w:pPr>
        <w:spacing w:line="400" w:lineRule="exact"/>
        <w:rPr>
          <w:color w:val="auto"/>
          <w:szCs w:val="21"/>
          <w:highlight w:val="none"/>
        </w:rPr>
      </w:pPr>
      <w:r>
        <w:rPr>
          <w:color w:val="auto"/>
          <w:szCs w:val="21"/>
          <w:highlight w:val="none"/>
          <w:u w:val="single"/>
        </w:rPr>
        <w:t xml:space="preserve">          </w:t>
      </w:r>
      <w:r>
        <w:rPr>
          <w:rFonts w:hint="eastAsia"/>
          <w:color w:val="auto"/>
          <w:szCs w:val="21"/>
          <w:highlight w:val="none"/>
          <w:u w:val="single"/>
        </w:rPr>
        <w:t xml:space="preserve">           </w:t>
      </w:r>
      <w:r>
        <w:rPr>
          <w:color w:val="auto"/>
          <w:szCs w:val="21"/>
          <w:highlight w:val="none"/>
        </w:rPr>
        <w:t>（</w:t>
      </w:r>
      <w:r>
        <w:rPr>
          <w:rFonts w:hint="eastAsia"/>
          <w:color w:val="auto"/>
          <w:szCs w:val="21"/>
          <w:highlight w:val="none"/>
        </w:rPr>
        <w:t>比选</w:t>
      </w:r>
      <w:r>
        <w:rPr>
          <w:color w:val="auto"/>
          <w:szCs w:val="21"/>
          <w:highlight w:val="none"/>
        </w:rPr>
        <w:t>人名称）：</w:t>
      </w:r>
    </w:p>
    <w:p>
      <w:pPr>
        <w:spacing w:line="400" w:lineRule="exact"/>
        <w:ind w:left="141" w:leftChars="67" w:firstLine="420" w:firstLineChars="200"/>
        <w:rPr>
          <w:color w:val="auto"/>
          <w:szCs w:val="21"/>
          <w:highlight w:val="none"/>
        </w:rPr>
      </w:pPr>
      <w:r>
        <w:rPr>
          <w:rFonts w:hint="eastAsia"/>
          <w:color w:val="auto"/>
          <w:szCs w:val="21"/>
          <w:highlight w:val="none"/>
        </w:rPr>
        <w:t>我司承诺</w:t>
      </w:r>
      <w:r>
        <w:rPr>
          <w:rFonts w:hint="eastAsia"/>
          <w:color w:val="auto"/>
          <w:szCs w:val="21"/>
          <w:highlight w:val="none"/>
          <w:u w:val="single"/>
        </w:rPr>
        <w:t xml:space="preserve">    项目</w:t>
      </w:r>
      <w:r>
        <w:rPr>
          <w:rFonts w:hint="eastAsia"/>
          <w:color w:val="auto"/>
          <w:szCs w:val="21"/>
          <w:highlight w:val="none"/>
        </w:rPr>
        <w:t>（标段</w:t>
      </w:r>
      <w:r>
        <w:rPr>
          <w:color w:val="auto"/>
          <w:szCs w:val="21"/>
          <w:highlight w:val="none"/>
        </w:rPr>
        <w:t xml:space="preserve">   </w:t>
      </w:r>
      <w:r>
        <w:rPr>
          <w:rFonts w:hint="eastAsia"/>
          <w:color w:val="auto"/>
          <w:szCs w:val="21"/>
          <w:highlight w:val="none"/>
        </w:rPr>
        <w:t>）的参选不存在下列情形：</w:t>
      </w:r>
    </w:p>
    <w:p>
      <w:pPr>
        <w:pStyle w:val="78"/>
        <w:numPr>
          <w:ilvl w:val="0"/>
          <w:numId w:val="24"/>
        </w:numPr>
        <w:tabs>
          <w:tab w:val="left" w:pos="993"/>
        </w:tabs>
        <w:spacing w:line="400" w:lineRule="exact"/>
        <w:ind w:firstLine="6" w:firstLineChars="0"/>
        <w:rPr>
          <w:rFonts w:ascii="宋体" w:hAnsi="宋体"/>
          <w:color w:val="auto"/>
          <w:highlight w:val="none"/>
        </w:rPr>
      </w:pPr>
      <w:r>
        <w:rPr>
          <w:rFonts w:hint="eastAsia" w:ascii="宋体" w:hAnsi="宋体"/>
          <w:color w:val="auto"/>
          <w:highlight w:val="none"/>
        </w:rPr>
        <w:t>为比选人不具有独立法人资格的附属机构（单位）；</w:t>
      </w:r>
    </w:p>
    <w:p>
      <w:pPr>
        <w:pStyle w:val="78"/>
        <w:numPr>
          <w:ilvl w:val="0"/>
          <w:numId w:val="24"/>
        </w:numPr>
        <w:tabs>
          <w:tab w:val="left" w:pos="993"/>
        </w:tabs>
        <w:spacing w:line="400" w:lineRule="exact"/>
        <w:ind w:firstLine="6" w:firstLineChars="0"/>
        <w:rPr>
          <w:rFonts w:ascii="宋体" w:hAnsi="宋体"/>
          <w:color w:val="auto"/>
          <w:highlight w:val="none"/>
        </w:rPr>
      </w:pPr>
      <w:r>
        <w:rPr>
          <w:rFonts w:hint="eastAsia" w:ascii="宋体" w:hAnsi="宋体"/>
          <w:color w:val="auto"/>
          <w:highlight w:val="none"/>
        </w:rPr>
        <w:t>被依法暂停或取消投标/参选资格的；</w:t>
      </w:r>
    </w:p>
    <w:p>
      <w:pPr>
        <w:pStyle w:val="78"/>
        <w:numPr>
          <w:ilvl w:val="0"/>
          <w:numId w:val="24"/>
        </w:numPr>
        <w:tabs>
          <w:tab w:val="left" w:pos="993"/>
        </w:tabs>
        <w:spacing w:line="400" w:lineRule="exact"/>
        <w:ind w:firstLine="6" w:firstLineChars="0"/>
        <w:rPr>
          <w:rFonts w:ascii="宋体" w:hAnsi="宋体"/>
          <w:color w:val="auto"/>
          <w:highlight w:val="none"/>
        </w:rPr>
      </w:pPr>
      <w:r>
        <w:rPr>
          <w:rFonts w:hint="eastAsia" w:ascii="宋体" w:hAnsi="宋体"/>
          <w:color w:val="auto"/>
          <w:highlight w:val="none"/>
        </w:rPr>
        <w:t xml:space="preserve">被责令停产停业、暂扣或者吊销许可证、暂扣或者吊销执照； </w:t>
      </w:r>
    </w:p>
    <w:p>
      <w:pPr>
        <w:pStyle w:val="78"/>
        <w:numPr>
          <w:ilvl w:val="0"/>
          <w:numId w:val="24"/>
        </w:numPr>
        <w:tabs>
          <w:tab w:val="left" w:pos="993"/>
        </w:tabs>
        <w:spacing w:line="400" w:lineRule="exact"/>
        <w:ind w:firstLine="6" w:firstLineChars="0"/>
        <w:rPr>
          <w:rFonts w:ascii="宋体" w:hAnsi="宋体"/>
          <w:color w:val="auto"/>
          <w:highlight w:val="none"/>
        </w:rPr>
      </w:pPr>
      <w:r>
        <w:rPr>
          <w:rFonts w:hint="eastAsia" w:ascii="宋体" w:hAnsi="宋体"/>
          <w:color w:val="auto"/>
          <w:highlight w:val="none"/>
        </w:rPr>
        <w:t xml:space="preserve">进入清算程序，或被宣告破产，或其他丧失履约能力的情形； </w:t>
      </w:r>
    </w:p>
    <w:p>
      <w:pPr>
        <w:pStyle w:val="78"/>
        <w:numPr>
          <w:ilvl w:val="0"/>
          <w:numId w:val="24"/>
        </w:numPr>
        <w:tabs>
          <w:tab w:val="left" w:pos="993"/>
        </w:tabs>
        <w:spacing w:line="400" w:lineRule="exact"/>
        <w:ind w:firstLine="6" w:firstLineChars="0"/>
        <w:rPr>
          <w:rFonts w:ascii="宋体" w:hAnsi="宋体"/>
          <w:color w:val="auto"/>
          <w:highlight w:val="none"/>
        </w:rPr>
      </w:pPr>
      <w:r>
        <w:rPr>
          <w:rFonts w:hint="eastAsia" w:ascii="宋体" w:hAnsi="宋体"/>
          <w:color w:val="auto"/>
          <w:highlight w:val="none"/>
        </w:rPr>
        <w:t>在最近三年内</w:t>
      </w:r>
      <w:r>
        <w:rPr>
          <w:rFonts w:hint="eastAsia"/>
          <w:color w:val="auto"/>
          <w:szCs w:val="21"/>
          <w:highlight w:val="none"/>
        </w:rPr>
        <w:t>（</w:t>
      </w:r>
      <w:r>
        <w:rPr>
          <w:rFonts w:hint="eastAsia"/>
          <w:color w:val="auto"/>
          <w:szCs w:val="21"/>
          <w:highlight w:val="none"/>
          <w:u w:val="single"/>
          <w:lang w:val="en-US" w:eastAsia="zh-CN"/>
        </w:rPr>
        <w:t>2019年1月1日</w:t>
      </w:r>
      <w:r>
        <w:rPr>
          <w:rFonts w:hint="eastAsia"/>
          <w:color w:val="auto"/>
          <w:szCs w:val="21"/>
          <w:highlight w:val="none"/>
        </w:rPr>
        <w:t>起至参选截止时间）</w:t>
      </w:r>
      <w:r>
        <w:rPr>
          <w:rFonts w:hint="eastAsia" w:asciiTheme="minorEastAsia" w:hAnsiTheme="minorEastAsia"/>
          <w:color w:val="auto"/>
          <w:szCs w:val="21"/>
          <w:highlight w:val="none"/>
        </w:rPr>
        <w:t>有骗取中标/中选、严重违约、重大工程质量或者安全问题的</w:t>
      </w:r>
      <w:r>
        <w:rPr>
          <w:rFonts w:hint="eastAsia" w:ascii="宋体" w:hAnsi="宋体"/>
          <w:color w:val="auto"/>
          <w:highlight w:val="none"/>
        </w:rPr>
        <w:t>；</w:t>
      </w:r>
    </w:p>
    <w:p>
      <w:pPr>
        <w:pStyle w:val="78"/>
        <w:numPr>
          <w:ilvl w:val="0"/>
          <w:numId w:val="24"/>
        </w:numPr>
        <w:tabs>
          <w:tab w:val="left" w:pos="993"/>
        </w:tabs>
        <w:spacing w:line="400" w:lineRule="exact"/>
        <w:ind w:firstLine="6" w:firstLineChars="0"/>
        <w:rPr>
          <w:rFonts w:ascii="宋体" w:hAnsi="宋体"/>
          <w:color w:val="auto"/>
          <w:highlight w:val="none"/>
        </w:rPr>
      </w:pPr>
      <w:r>
        <w:rPr>
          <w:rFonts w:hint="eastAsia" w:ascii="宋体" w:hAnsi="宋体"/>
          <w:color w:val="auto"/>
          <w:highlight w:val="none"/>
        </w:rPr>
        <w:t>在最近五年内</w:t>
      </w:r>
      <w:r>
        <w:rPr>
          <w:rFonts w:hint="eastAsia"/>
          <w:color w:val="auto"/>
          <w:szCs w:val="21"/>
          <w:highlight w:val="none"/>
        </w:rPr>
        <w:t>（</w:t>
      </w:r>
      <w:r>
        <w:rPr>
          <w:rFonts w:hint="eastAsia"/>
          <w:color w:val="auto"/>
          <w:szCs w:val="21"/>
          <w:highlight w:val="none"/>
          <w:u w:val="single"/>
          <w:lang w:val="en-US" w:eastAsia="zh-CN"/>
        </w:rPr>
        <w:t>2017年1月1日</w:t>
      </w:r>
      <w:r>
        <w:rPr>
          <w:rFonts w:hint="eastAsia"/>
          <w:color w:val="auto"/>
          <w:szCs w:val="21"/>
          <w:highlight w:val="none"/>
        </w:rPr>
        <w:t>起至参选截止时间）</w:t>
      </w:r>
      <w:r>
        <w:rPr>
          <w:rFonts w:hint="eastAsia" w:asciiTheme="minorEastAsia" w:hAnsiTheme="minorEastAsia"/>
          <w:color w:val="auto"/>
          <w:szCs w:val="21"/>
          <w:highlight w:val="none"/>
        </w:rPr>
        <w:t>被判处单位行贿罪，且行贿行为与采购活动相关的（以“中国裁判文书网”的生效判决为准）</w:t>
      </w:r>
      <w:r>
        <w:rPr>
          <w:rFonts w:hint="eastAsia" w:ascii="宋体" w:hAnsi="宋体"/>
          <w:color w:val="auto"/>
          <w:highlight w:val="none"/>
        </w:rPr>
        <w:t xml:space="preserve">； </w:t>
      </w:r>
    </w:p>
    <w:p>
      <w:pPr>
        <w:pStyle w:val="78"/>
        <w:numPr>
          <w:ilvl w:val="0"/>
          <w:numId w:val="24"/>
        </w:numPr>
        <w:tabs>
          <w:tab w:val="left" w:pos="993"/>
        </w:tabs>
        <w:spacing w:line="400" w:lineRule="exact"/>
        <w:ind w:firstLine="6" w:firstLineChars="0"/>
        <w:rPr>
          <w:rFonts w:ascii="宋体" w:hAnsi="宋体"/>
          <w:color w:val="auto"/>
          <w:highlight w:val="none"/>
        </w:rPr>
      </w:pPr>
      <w:r>
        <w:rPr>
          <w:rFonts w:hint="eastAsia" w:asciiTheme="minorEastAsia" w:hAnsiTheme="minorEastAsia"/>
          <w:color w:val="auto"/>
          <w:szCs w:val="21"/>
          <w:highlight w:val="none"/>
        </w:rPr>
        <w:t>在最近五年内</w:t>
      </w:r>
      <w:r>
        <w:rPr>
          <w:rFonts w:hint="eastAsia"/>
          <w:color w:val="auto"/>
          <w:szCs w:val="21"/>
          <w:highlight w:val="none"/>
        </w:rPr>
        <w:t>（</w:t>
      </w:r>
      <w:r>
        <w:rPr>
          <w:rFonts w:hint="eastAsia"/>
          <w:color w:val="auto"/>
          <w:szCs w:val="21"/>
          <w:highlight w:val="none"/>
          <w:u w:val="single"/>
          <w:lang w:val="en-US" w:eastAsia="zh-CN"/>
        </w:rPr>
        <w:t>2017年1月1日</w:t>
      </w:r>
      <w:r>
        <w:rPr>
          <w:rFonts w:hint="eastAsia"/>
          <w:color w:val="auto"/>
          <w:szCs w:val="21"/>
          <w:highlight w:val="none"/>
        </w:rPr>
        <w:t>起至参选截止时间）</w:t>
      </w:r>
      <w:r>
        <w:rPr>
          <w:rFonts w:hint="eastAsia" w:asciiTheme="minorEastAsia" w:hAnsiTheme="minorEastAsia"/>
          <w:color w:val="auto"/>
          <w:szCs w:val="21"/>
          <w:highlight w:val="none"/>
        </w:rPr>
        <w:t>被判处合同诈骗罪的（以“中国裁判文书网”的生效判决为准）</w:t>
      </w:r>
    </w:p>
    <w:p>
      <w:pPr>
        <w:pStyle w:val="78"/>
        <w:numPr>
          <w:ilvl w:val="0"/>
          <w:numId w:val="24"/>
        </w:numPr>
        <w:tabs>
          <w:tab w:val="left" w:pos="993"/>
        </w:tabs>
        <w:spacing w:line="400" w:lineRule="exact"/>
        <w:ind w:firstLine="6" w:firstLineChars="0"/>
        <w:rPr>
          <w:rFonts w:ascii="宋体" w:hAnsi="宋体"/>
          <w:color w:val="auto"/>
          <w:highlight w:val="none"/>
        </w:rPr>
      </w:pPr>
      <w:r>
        <w:rPr>
          <w:rFonts w:hint="eastAsia" w:ascii="宋体" w:hAnsi="宋体"/>
          <w:color w:val="auto"/>
          <w:highlight w:val="none"/>
        </w:rPr>
        <w:t>被工商行政管理机关在全国企业信用信息公示系统中列入严重违法失信企业名单；</w:t>
      </w:r>
    </w:p>
    <w:p>
      <w:pPr>
        <w:pStyle w:val="78"/>
        <w:numPr>
          <w:ilvl w:val="0"/>
          <w:numId w:val="24"/>
        </w:numPr>
        <w:tabs>
          <w:tab w:val="left" w:pos="993"/>
        </w:tabs>
        <w:spacing w:line="400" w:lineRule="exact"/>
        <w:ind w:firstLine="6" w:firstLineChars="0"/>
        <w:rPr>
          <w:rFonts w:ascii="宋体" w:hAnsi="宋体"/>
          <w:color w:val="auto"/>
          <w:highlight w:val="none"/>
        </w:rPr>
      </w:pPr>
      <w:r>
        <w:rPr>
          <w:rFonts w:hint="eastAsia" w:ascii="宋体" w:hAnsi="宋体"/>
          <w:color w:val="auto"/>
          <w:highlight w:val="none"/>
        </w:rPr>
        <w:t>被最高人民法院认定为失信被执行人的(以“信用中国”网站（www.creditchina.gov.cn）或各级信用信息共享平台公布的失信被执行人名单为准)；</w:t>
      </w:r>
    </w:p>
    <w:p>
      <w:pPr>
        <w:pStyle w:val="78"/>
        <w:numPr>
          <w:ilvl w:val="0"/>
          <w:numId w:val="24"/>
        </w:numPr>
        <w:tabs>
          <w:tab w:val="left" w:pos="993"/>
        </w:tabs>
        <w:spacing w:line="400" w:lineRule="exact"/>
        <w:ind w:firstLine="6" w:firstLineChars="0"/>
        <w:rPr>
          <w:rFonts w:ascii="宋体" w:hAnsi="宋体"/>
          <w:color w:val="auto"/>
          <w:highlight w:val="none"/>
        </w:rPr>
      </w:pPr>
      <w:r>
        <w:rPr>
          <w:rFonts w:hint="eastAsia" w:ascii="宋体" w:hAnsi="宋体"/>
          <w:color w:val="auto"/>
          <w:highlight w:val="none"/>
        </w:rPr>
        <w:t>参选人或其法定代表人、拟委任的项目负责人在最近五年内</w:t>
      </w:r>
      <w:r>
        <w:rPr>
          <w:rFonts w:hint="eastAsia"/>
          <w:color w:val="auto"/>
          <w:szCs w:val="21"/>
          <w:highlight w:val="none"/>
        </w:rPr>
        <w:t>（</w:t>
      </w:r>
      <w:r>
        <w:rPr>
          <w:color w:val="auto"/>
          <w:szCs w:val="21"/>
          <w:highlight w:val="none"/>
          <w:u w:val="single"/>
        </w:rPr>
        <w:t xml:space="preserve">     </w:t>
      </w:r>
      <w:r>
        <w:rPr>
          <w:rFonts w:hint="eastAsia"/>
          <w:color w:val="auto"/>
          <w:szCs w:val="21"/>
          <w:highlight w:val="none"/>
        </w:rPr>
        <w:t>年</w:t>
      </w:r>
      <w:r>
        <w:rPr>
          <w:color w:val="auto"/>
          <w:szCs w:val="21"/>
          <w:highlight w:val="none"/>
          <w:u w:val="single"/>
        </w:rPr>
        <w:t>01</w:t>
      </w:r>
      <w:r>
        <w:rPr>
          <w:rFonts w:hint="eastAsia"/>
          <w:color w:val="auto"/>
          <w:szCs w:val="21"/>
          <w:highlight w:val="none"/>
        </w:rPr>
        <w:t>月</w:t>
      </w:r>
      <w:r>
        <w:rPr>
          <w:color w:val="auto"/>
          <w:szCs w:val="21"/>
          <w:highlight w:val="none"/>
          <w:u w:val="single"/>
        </w:rPr>
        <w:t>01</w:t>
      </w:r>
      <w:r>
        <w:rPr>
          <w:rFonts w:hint="eastAsia"/>
          <w:color w:val="auto"/>
          <w:szCs w:val="21"/>
          <w:highlight w:val="none"/>
        </w:rPr>
        <w:t>日起至参选截止时间）</w:t>
      </w:r>
      <w:r>
        <w:rPr>
          <w:rFonts w:hint="eastAsia" w:ascii="宋体" w:hAnsi="宋体"/>
          <w:color w:val="auto"/>
          <w:highlight w:val="none"/>
        </w:rPr>
        <w:t>参与的采购活动中有行贿犯罪记录</w:t>
      </w:r>
      <w:r>
        <w:rPr>
          <w:rFonts w:hint="eastAsia"/>
          <w:color w:val="auto"/>
          <w:szCs w:val="21"/>
          <w:highlight w:val="none"/>
        </w:rPr>
        <w:t>（以“中国裁判文书网”为准）</w:t>
      </w:r>
      <w:r>
        <w:rPr>
          <w:rFonts w:hint="eastAsia" w:ascii="宋体" w:hAnsi="宋体"/>
          <w:color w:val="auto"/>
          <w:highlight w:val="none"/>
        </w:rPr>
        <w:t>；</w:t>
      </w:r>
    </w:p>
    <w:p>
      <w:pPr>
        <w:pStyle w:val="78"/>
        <w:numPr>
          <w:ilvl w:val="0"/>
          <w:numId w:val="24"/>
        </w:numPr>
        <w:tabs>
          <w:tab w:val="left" w:pos="993"/>
        </w:tabs>
        <w:spacing w:line="400" w:lineRule="exact"/>
        <w:ind w:firstLine="6" w:firstLineChars="0"/>
        <w:rPr>
          <w:rFonts w:ascii="宋体" w:hAnsi="宋体"/>
          <w:color w:val="auto"/>
          <w:highlight w:val="none"/>
        </w:rPr>
      </w:pPr>
      <w:r>
        <w:rPr>
          <w:rFonts w:hint="eastAsia" w:ascii="宋体" w:hAnsi="宋体"/>
          <w:color w:val="auto"/>
          <w:highlight w:val="none"/>
        </w:rPr>
        <w:t>在企业的经营活动中存在重大违法行为、被依法列为失信被执行人、违反比选人公司规定纳入特殊供应商（D类）、与中国电信广东公司合作期间发生重大事件（严重违约、重大项目质量或安全问题等情形）的；</w:t>
      </w:r>
    </w:p>
    <w:p>
      <w:pPr>
        <w:pStyle w:val="78"/>
        <w:numPr>
          <w:ilvl w:val="0"/>
          <w:numId w:val="24"/>
        </w:numPr>
        <w:tabs>
          <w:tab w:val="left" w:pos="993"/>
        </w:tabs>
        <w:spacing w:line="400" w:lineRule="exact"/>
        <w:ind w:firstLine="6" w:firstLineChars="0"/>
        <w:rPr>
          <w:rFonts w:ascii="宋体" w:hAnsi="宋体"/>
          <w:color w:val="auto"/>
          <w:highlight w:val="none"/>
        </w:rPr>
      </w:pPr>
      <w:r>
        <w:rPr>
          <w:rFonts w:hint="eastAsia" w:ascii="宋体" w:hAnsi="宋体"/>
          <w:color w:val="auto"/>
          <w:highlight w:val="none"/>
        </w:rPr>
        <w:t>违反比选人公司规定纳入特殊供应商（D类）的公司与参选人存在控股关系（即上述公司或上述公司的控股股东/投资人在参选人的持股比例达到50%及以上）；</w:t>
      </w:r>
    </w:p>
    <w:p>
      <w:pPr>
        <w:pStyle w:val="78"/>
        <w:numPr>
          <w:ilvl w:val="0"/>
          <w:numId w:val="24"/>
        </w:numPr>
        <w:tabs>
          <w:tab w:val="left" w:pos="709"/>
        </w:tabs>
        <w:spacing w:line="400" w:lineRule="exact"/>
        <w:ind w:firstLine="6" w:firstLineChars="0"/>
        <w:rPr>
          <w:rFonts w:ascii="宋体" w:hAnsi="宋体"/>
          <w:color w:val="auto"/>
          <w:highlight w:val="none"/>
        </w:rPr>
      </w:pPr>
      <w:r>
        <w:rPr>
          <w:rFonts w:hint="eastAsia" w:ascii="宋体" w:hAnsi="宋体"/>
          <w:color w:val="auto"/>
          <w:szCs w:val="21"/>
          <w:highlight w:val="none"/>
        </w:rPr>
        <w:t>其他按照《中国电信供应商不良行为管理规则》及处理结果，应对参选人及其参选产品品类在本项目中执行禁止采购处理措施的。同一标包或未划分标包的同一比选项目涉及多个产品评估品类的，参选人及其任一参选产品品类涉及相关禁止采购处理结果的，该标包或比选项目应适用相关的禁止采购处理措施</w:t>
      </w:r>
      <w:r>
        <w:rPr>
          <w:rFonts w:hint="eastAsia" w:ascii="宋体" w:hAnsi="宋体"/>
          <w:color w:val="auto"/>
          <w:highlight w:val="none"/>
        </w:rPr>
        <w:t>；</w:t>
      </w:r>
    </w:p>
    <w:p>
      <w:pPr>
        <w:pStyle w:val="78"/>
        <w:numPr>
          <w:ilvl w:val="0"/>
          <w:numId w:val="24"/>
        </w:numPr>
        <w:tabs>
          <w:tab w:val="left" w:pos="993"/>
        </w:tabs>
        <w:spacing w:line="400" w:lineRule="exact"/>
        <w:ind w:firstLine="6" w:firstLineChars="0"/>
        <w:rPr>
          <w:rFonts w:ascii="宋体" w:hAnsi="宋体"/>
          <w:color w:val="auto"/>
          <w:highlight w:val="none"/>
        </w:rPr>
      </w:pPr>
      <w:r>
        <w:rPr>
          <w:rFonts w:hint="eastAsia" w:ascii="宋体" w:hAnsi="宋体"/>
          <w:color w:val="auto"/>
          <w:highlight w:val="none"/>
        </w:rPr>
        <w:t>法律法规或参选人须知前附表规定的其他情形。</w:t>
      </w:r>
    </w:p>
    <w:p>
      <w:pPr>
        <w:spacing w:line="400" w:lineRule="exact"/>
        <w:ind w:firstLine="5040" w:firstLineChars="2400"/>
        <w:jc w:val="right"/>
        <w:rPr>
          <w:rFonts w:ascii="宋体" w:hAnsi="宋体"/>
          <w:color w:val="auto"/>
          <w:szCs w:val="21"/>
          <w:highlight w:val="none"/>
        </w:rPr>
      </w:pPr>
      <w:r>
        <w:rPr>
          <w:rFonts w:hint="eastAsia" w:ascii="宋体" w:hAnsi="宋体"/>
          <w:color w:val="auto"/>
          <w:szCs w:val="21"/>
          <w:highlight w:val="none"/>
        </w:rPr>
        <w:t>承诺单位：（盖章）</w:t>
      </w:r>
    </w:p>
    <w:p>
      <w:pPr>
        <w:spacing w:line="400" w:lineRule="exact"/>
        <w:ind w:right="90"/>
        <w:jc w:val="right"/>
        <w:rPr>
          <w:rFonts w:ascii="宋体" w:hAnsi="宋体"/>
          <w:color w:val="auto"/>
          <w:szCs w:val="21"/>
          <w:highlight w:val="none"/>
        </w:rPr>
      </w:pPr>
      <w:r>
        <w:rPr>
          <w:rFonts w:ascii="宋体" w:hAnsi="宋体"/>
          <w:color w:val="auto"/>
          <w:szCs w:val="21"/>
          <w:highlight w:val="none"/>
        </w:rPr>
        <w:t>日期：     年   月 　日</w:t>
      </w:r>
    </w:p>
    <w:p>
      <w:pPr>
        <w:pStyle w:val="45"/>
        <w:ind w:firstLine="0" w:firstLineChars="0"/>
        <w:jc w:val="center"/>
        <w:rPr>
          <w:b/>
          <w:color w:val="auto"/>
          <w:sz w:val="24"/>
          <w:highlight w:val="none"/>
        </w:rPr>
      </w:pPr>
    </w:p>
    <w:p>
      <w:pPr>
        <w:spacing w:before="120" w:beforeLines="50" w:after="120" w:afterLines="50" w:line="400" w:lineRule="exact"/>
        <w:jc w:val="left"/>
        <w:outlineLvl w:val="2"/>
        <w:rPr>
          <w:b/>
          <w:color w:val="auto"/>
          <w:sz w:val="24"/>
          <w:highlight w:val="none"/>
        </w:rPr>
        <w:sectPr>
          <w:pgSz w:w="11906" w:h="16838"/>
          <w:pgMar w:top="1440" w:right="1797" w:bottom="1440" w:left="1797" w:header="851" w:footer="992" w:gutter="0"/>
          <w:cols w:space="425" w:num="1"/>
          <w:docGrid w:linePitch="312" w:charSpace="0"/>
        </w:sectPr>
      </w:pPr>
    </w:p>
    <w:p>
      <w:pPr>
        <w:spacing w:before="120" w:beforeLines="50" w:after="120" w:afterLines="50" w:line="400" w:lineRule="exact"/>
        <w:jc w:val="left"/>
        <w:outlineLvl w:val="2"/>
        <w:rPr>
          <w:b/>
          <w:color w:val="auto"/>
          <w:sz w:val="24"/>
          <w:highlight w:val="none"/>
        </w:rPr>
      </w:pPr>
      <w:bookmarkStart w:id="713" w:name="_Toc17202847"/>
      <w:r>
        <w:rPr>
          <w:rFonts w:hint="eastAsia"/>
          <w:b/>
          <w:color w:val="auto"/>
          <w:sz w:val="24"/>
          <w:highlight w:val="none"/>
        </w:rPr>
        <w:t>（四）信誉情况申报表</w:t>
      </w:r>
      <w:bookmarkEnd w:id="713"/>
    </w:p>
    <w:p>
      <w:pPr>
        <w:spacing w:line="400" w:lineRule="exact"/>
        <w:jc w:val="center"/>
        <w:rPr>
          <w:color w:val="auto"/>
          <w:sz w:val="18"/>
          <w:szCs w:val="21"/>
          <w:highlight w:val="none"/>
        </w:rPr>
      </w:pPr>
      <w:r>
        <w:rPr>
          <w:rFonts w:hint="eastAsia"/>
          <w:b/>
          <w:color w:val="auto"/>
          <w:sz w:val="24"/>
          <w:szCs w:val="30"/>
          <w:highlight w:val="none"/>
        </w:rPr>
        <w:t>信誉情况申报表</w:t>
      </w:r>
    </w:p>
    <w:p>
      <w:pPr>
        <w:spacing w:line="400" w:lineRule="exact"/>
        <w:rPr>
          <w:color w:val="auto"/>
          <w:szCs w:val="21"/>
          <w:highlight w:val="none"/>
        </w:rPr>
      </w:pPr>
      <w:r>
        <w:rPr>
          <w:rFonts w:hint="eastAsia"/>
          <w:color w:val="auto"/>
          <w:szCs w:val="21"/>
          <w:highlight w:val="none"/>
        </w:rPr>
        <w:t>信誉情况申报相关信息查询截屏按以下格式提供：</w:t>
      </w:r>
    </w:p>
    <w:tbl>
      <w:tblPr>
        <w:tblStyle w:val="38"/>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8" w:type="dxa"/>
            <w:vAlign w:val="center"/>
          </w:tcPr>
          <w:p>
            <w:pPr>
              <w:spacing w:line="400" w:lineRule="exact"/>
              <w:jc w:val="left"/>
              <w:rPr>
                <w:color w:val="auto"/>
                <w:kern w:val="0"/>
                <w:sz w:val="20"/>
                <w:szCs w:val="21"/>
                <w:highlight w:val="none"/>
              </w:rPr>
            </w:pPr>
            <w:r>
              <w:rPr>
                <w:rFonts w:hint="eastAsia"/>
                <w:color w:val="auto"/>
                <w:kern w:val="0"/>
                <w:sz w:val="20"/>
                <w:szCs w:val="21"/>
                <w:highlight w:val="none"/>
              </w:rPr>
              <w:t>1、不得被工商行政管理机关在全国企业信用信息公示系统中列入严重违法失信企业名单，须提供全国企业信用信息公示系统“列入严重违法失信企业名单（黑名单）信息” 查询结果的截屏记录。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189" w:hRule="atLeast"/>
        </w:trPr>
        <w:tc>
          <w:tcPr>
            <w:tcW w:w="8528" w:type="dxa"/>
          </w:tcPr>
          <w:p>
            <w:pPr>
              <w:spacing w:line="400" w:lineRule="exact"/>
              <w:jc w:val="left"/>
              <w:rPr>
                <w:color w:val="auto"/>
                <w:kern w:val="0"/>
                <w:sz w:val="20"/>
                <w:szCs w:val="21"/>
                <w:highlight w:val="none"/>
              </w:rPr>
            </w:pPr>
            <w:r>
              <w:rPr>
                <w:rFonts w:hint="eastAsia"/>
                <w:color w:val="auto"/>
                <w:kern w:val="0"/>
                <w:sz w:val="20"/>
                <w:szCs w:val="21"/>
                <w:highlight w:val="none"/>
              </w:rPr>
              <w:t>截图</w:t>
            </w:r>
            <w:r>
              <w:rPr>
                <w:color w:val="auto"/>
                <w:kern w:val="0"/>
                <w:sz w:val="20"/>
                <w:szCs w:val="21"/>
                <w:highlight w:val="none"/>
              </w:rPr>
              <w:drawing>
                <wp:anchor distT="0" distB="0" distL="114300" distR="114300" simplePos="0" relativeHeight="251665408" behindDoc="0" locked="0" layoutInCell="1" allowOverlap="1">
                  <wp:simplePos x="0" y="0"/>
                  <wp:positionH relativeFrom="column">
                    <wp:posOffset>-46355</wp:posOffset>
                  </wp:positionH>
                  <wp:positionV relativeFrom="paragraph">
                    <wp:posOffset>300355</wp:posOffset>
                  </wp:positionV>
                  <wp:extent cx="5324475" cy="3018155"/>
                  <wp:effectExtent l="0" t="0" r="9525" b="0"/>
                  <wp:wrapTopAndBottom/>
                  <wp:docPr id="1" name="图片 1" descr="C:\Users\cgb\AppData\Local\Temp\15635012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cgb\AppData\Local\Temp\1563501265(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324475" cy="3018155"/>
                          </a:xfrm>
                          <a:prstGeom prst="rect">
                            <a:avLst/>
                          </a:prstGeom>
                          <a:noFill/>
                          <a:ln>
                            <a:noFill/>
                          </a:ln>
                        </pic:spPr>
                      </pic:pic>
                    </a:graphicData>
                  </a:graphic>
                </wp:anchor>
              </w:drawing>
            </w:r>
            <w:r>
              <w:rPr>
                <w:rFonts w:hint="eastAsia"/>
                <w:color w:val="auto"/>
                <w:kern w:val="0"/>
                <w:sz w:val="20"/>
                <w:szCs w:val="21"/>
                <w:highlight w:val="none"/>
              </w:rPr>
              <w:t>样式：</w:t>
            </w:r>
          </w:p>
          <w:p>
            <w:pPr>
              <w:spacing w:line="400" w:lineRule="exact"/>
              <w:jc w:val="center"/>
              <w:rPr>
                <w:color w:val="auto"/>
                <w:kern w:val="0"/>
                <w:sz w:val="20"/>
                <w:szCs w:val="21"/>
                <w:highlight w:val="none"/>
              </w:rPr>
            </w:pPr>
          </w:p>
          <w:p>
            <w:pPr>
              <w:spacing w:line="400" w:lineRule="exact"/>
              <w:jc w:val="left"/>
              <w:rPr>
                <w:color w:val="auto"/>
                <w:kern w:val="0"/>
                <w:sz w:val="20"/>
                <w:szCs w:val="21"/>
                <w:highlight w:val="none"/>
              </w:rPr>
            </w:pPr>
            <w:r>
              <w:rPr>
                <w:rFonts w:hint="eastAsia"/>
                <w:color w:val="auto"/>
                <w:kern w:val="0"/>
                <w:sz w:val="20"/>
                <w:szCs w:val="21"/>
                <w:highlight w:val="none"/>
              </w:rPr>
              <w:t>请参选人提供国家企业信用信息公示系统“列入严重违法失信企业名单（黑名单）信息” 查询结果的截屏记录。</w:t>
            </w:r>
          </w:p>
          <w:p>
            <w:pPr>
              <w:spacing w:line="400" w:lineRule="exact"/>
              <w:jc w:val="center"/>
              <w:rPr>
                <w:color w:val="auto"/>
                <w:kern w:val="0"/>
                <w:sz w:val="20"/>
                <w:szCs w:val="21"/>
                <w:highlight w:val="none"/>
              </w:rPr>
            </w:pPr>
          </w:p>
          <w:p>
            <w:pPr>
              <w:spacing w:line="400" w:lineRule="exact"/>
              <w:jc w:val="center"/>
              <w:rPr>
                <w:color w:val="auto"/>
                <w:kern w:val="0"/>
                <w:sz w:val="20"/>
                <w:szCs w:val="21"/>
                <w:highlight w:val="none"/>
              </w:rPr>
            </w:pPr>
          </w:p>
          <w:p>
            <w:pPr>
              <w:spacing w:line="400" w:lineRule="exact"/>
              <w:jc w:val="center"/>
              <w:rPr>
                <w:color w:val="auto"/>
                <w:kern w:val="0"/>
                <w:sz w:val="20"/>
                <w:szCs w:val="21"/>
                <w:highlight w:val="none"/>
              </w:rPr>
            </w:pPr>
          </w:p>
          <w:p>
            <w:pPr>
              <w:spacing w:line="400" w:lineRule="exact"/>
              <w:jc w:val="center"/>
              <w:rPr>
                <w:color w:val="auto"/>
                <w:kern w:val="0"/>
                <w:sz w:val="20"/>
                <w:szCs w:val="21"/>
                <w:highlight w:val="none"/>
              </w:rPr>
            </w:pPr>
          </w:p>
          <w:p>
            <w:pPr>
              <w:spacing w:line="400" w:lineRule="exact"/>
              <w:jc w:val="center"/>
              <w:rPr>
                <w:color w:val="auto"/>
                <w:kern w:val="0"/>
                <w:sz w:val="20"/>
                <w:szCs w:val="21"/>
                <w:highlight w:val="none"/>
              </w:rPr>
            </w:pPr>
          </w:p>
          <w:p>
            <w:pPr>
              <w:spacing w:line="400" w:lineRule="exact"/>
              <w:jc w:val="center"/>
              <w:rPr>
                <w:color w:val="auto"/>
                <w:kern w:val="0"/>
                <w:sz w:val="20"/>
                <w:szCs w:val="21"/>
                <w:highlight w:val="none"/>
              </w:rPr>
            </w:pPr>
          </w:p>
          <w:p>
            <w:pPr>
              <w:spacing w:line="400" w:lineRule="exact"/>
              <w:jc w:val="center"/>
              <w:rPr>
                <w:color w:val="auto"/>
                <w:kern w:val="0"/>
                <w:sz w:val="20"/>
                <w:szCs w:val="21"/>
                <w:highlight w:val="none"/>
              </w:rPr>
            </w:pPr>
          </w:p>
          <w:p>
            <w:pPr>
              <w:spacing w:line="400" w:lineRule="exact"/>
              <w:jc w:val="center"/>
              <w:rPr>
                <w:color w:val="auto"/>
                <w:kern w:val="0"/>
                <w:sz w:val="20"/>
                <w:szCs w:val="21"/>
                <w:highlight w:val="none"/>
              </w:rPr>
            </w:pPr>
          </w:p>
          <w:p>
            <w:pPr>
              <w:spacing w:line="400" w:lineRule="exact"/>
              <w:jc w:val="center"/>
              <w:rPr>
                <w:color w:val="auto"/>
                <w:kern w:val="0"/>
                <w:sz w:val="20"/>
                <w:szCs w:val="21"/>
                <w:highlight w:val="none"/>
              </w:rPr>
            </w:pPr>
          </w:p>
          <w:p>
            <w:pPr>
              <w:spacing w:line="400" w:lineRule="exact"/>
              <w:jc w:val="center"/>
              <w:rPr>
                <w:color w:val="auto"/>
                <w:kern w:val="0"/>
                <w:sz w:val="20"/>
                <w:szCs w:val="21"/>
                <w:highlight w:val="none"/>
              </w:rPr>
            </w:pPr>
          </w:p>
          <w:p>
            <w:pPr>
              <w:spacing w:line="400" w:lineRule="exact"/>
              <w:jc w:val="center"/>
              <w:rPr>
                <w:color w:val="auto"/>
                <w:kern w:val="0"/>
                <w:sz w:val="20"/>
                <w:szCs w:val="21"/>
                <w:highlight w:val="none"/>
              </w:rPr>
            </w:pPr>
          </w:p>
          <w:p>
            <w:pPr>
              <w:spacing w:line="400" w:lineRule="exact"/>
              <w:jc w:val="center"/>
              <w:rPr>
                <w:color w:val="auto"/>
                <w:kern w:val="0"/>
                <w:sz w:val="20"/>
                <w:szCs w:val="21"/>
                <w:highlight w:val="none"/>
              </w:rPr>
            </w:pPr>
          </w:p>
          <w:p>
            <w:pPr>
              <w:spacing w:line="400" w:lineRule="exact"/>
              <w:jc w:val="center"/>
              <w:rPr>
                <w:color w:val="auto"/>
                <w:kern w:val="0"/>
                <w:sz w:val="2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8" w:type="dxa"/>
            <w:vAlign w:val="center"/>
          </w:tcPr>
          <w:p>
            <w:pPr>
              <w:spacing w:line="400" w:lineRule="exact"/>
              <w:jc w:val="left"/>
              <w:rPr>
                <w:color w:val="auto"/>
                <w:kern w:val="0"/>
                <w:sz w:val="20"/>
                <w:szCs w:val="21"/>
                <w:highlight w:val="none"/>
              </w:rPr>
            </w:pPr>
            <w:r>
              <w:rPr>
                <w:color w:val="auto"/>
                <w:kern w:val="0"/>
                <w:sz w:val="20"/>
                <w:szCs w:val="21"/>
                <w:highlight w:val="none"/>
              </w:rPr>
              <w:t>2</w:t>
            </w:r>
            <w:r>
              <w:rPr>
                <w:rFonts w:hint="eastAsia"/>
                <w:color w:val="auto"/>
                <w:kern w:val="0"/>
                <w:sz w:val="20"/>
                <w:szCs w:val="21"/>
                <w:highlight w:val="none"/>
              </w:rPr>
              <w:t>、在企业的经营活动中存在重大违法行为、被依法列为失信被执行人、违反比选人公司规定纳入特殊供应商（D类）、与中国电信广东公司合作期间发生重大事件（严重违约、重大项目质量或安全问题等情形）的公司不得与参选人存在控股关系（即上述公司或上述公司的控股股东/投资人在参选人的持股比例达到50%及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8" w:type="dxa"/>
            <w:vAlign w:val="center"/>
          </w:tcPr>
          <w:p>
            <w:pPr>
              <w:spacing w:line="400" w:lineRule="exact"/>
              <w:jc w:val="left"/>
              <w:rPr>
                <w:rFonts w:ascii="宋体" w:hAnsi="宋体"/>
                <w:color w:val="auto"/>
                <w:kern w:val="0"/>
                <w:sz w:val="20"/>
                <w:highlight w:val="none"/>
              </w:rPr>
            </w:pPr>
            <w:r>
              <w:rPr>
                <w:rFonts w:ascii="宋体" w:hAnsi="宋体" w:cs="宋体"/>
                <w:color w:val="auto"/>
                <w:kern w:val="0"/>
                <w:sz w:val="24"/>
                <w:highlight w:val="none"/>
              </w:rPr>
              <w:drawing>
                <wp:anchor distT="0" distB="0" distL="114300" distR="114300" simplePos="0" relativeHeight="251667456" behindDoc="1" locked="0" layoutInCell="1" allowOverlap="1">
                  <wp:simplePos x="0" y="0"/>
                  <wp:positionH relativeFrom="column">
                    <wp:posOffset>107315</wp:posOffset>
                  </wp:positionH>
                  <wp:positionV relativeFrom="paragraph">
                    <wp:posOffset>337185</wp:posOffset>
                  </wp:positionV>
                  <wp:extent cx="4826635" cy="4700905"/>
                  <wp:effectExtent l="0" t="0" r="0" b="4445"/>
                  <wp:wrapTopAndBottom/>
                  <wp:docPr id="7" name="图片 7" descr="C:\Users\cgb\AppData\Roaming\Tencent\Users\34036635\QQ\WinTemp\RichOle\MZA)9UKL@LR`7U[]@_]UV)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cgb\AppData\Roaming\Tencent\Users\34036635\QQ\WinTemp\RichOle\MZA)9UKL@LR`7U[]@_]UV)L.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826635" cy="4700905"/>
                          </a:xfrm>
                          <a:prstGeom prst="rect">
                            <a:avLst/>
                          </a:prstGeom>
                          <a:noFill/>
                          <a:ln>
                            <a:noFill/>
                          </a:ln>
                        </pic:spPr>
                      </pic:pic>
                    </a:graphicData>
                  </a:graphic>
                </wp:anchor>
              </w:drawing>
            </w:r>
            <w:r>
              <w:rPr>
                <w:rFonts w:hint="eastAsia" w:ascii="宋体" w:hAnsi="宋体"/>
                <w:color w:val="auto"/>
                <w:kern w:val="0"/>
                <w:sz w:val="20"/>
                <w:highlight w:val="none"/>
              </w:rPr>
              <w:t>截图样式：</w:t>
            </w:r>
          </w:p>
          <w:p>
            <w:pPr>
              <w:spacing w:line="400" w:lineRule="exact"/>
              <w:jc w:val="left"/>
              <w:rPr>
                <w:rFonts w:ascii="宋体" w:hAnsi="宋体"/>
                <w:color w:val="auto"/>
                <w:kern w:val="0"/>
                <w:sz w:val="20"/>
                <w:highlight w:val="none"/>
              </w:rPr>
            </w:pPr>
          </w:p>
          <w:p>
            <w:pPr>
              <w:spacing w:line="400" w:lineRule="exact"/>
              <w:jc w:val="left"/>
              <w:rPr>
                <w:rFonts w:ascii="宋体" w:hAnsi="宋体"/>
                <w:color w:val="auto"/>
                <w:kern w:val="0"/>
                <w:sz w:val="20"/>
                <w:highlight w:val="none"/>
              </w:rPr>
            </w:pPr>
          </w:p>
          <w:p>
            <w:pPr>
              <w:spacing w:line="400" w:lineRule="exact"/>
              <w:jc w:val="left"/>
              <w:rPr>
                <w:color w:val="auto"/>
                <w:kern w:val="0"/>
                <w:sz w:val="20"/>
                <w:szCs w:val="21"/>
                <w:highlight w:val="none"/>
              </w:rPr>
            </w:pPr>
            <w:r>
              <w:rPr>
                <w:rFonts w:hint="eastAsia"/>
                <w:color w:val="auto"/>
                <w:kern w:val="0"/>
                <w:sz w:val="20"/>
                <w:szCs w:val="21"/>
                <w:highlight w:val="none"/>
              </w:rPr>
              <w:t>请参选人提供国家企业信用信息公示系统“股东及出资信息” 查询结果的截屏记录。</w:t>
            </w:r>
          </w:p>
          <w:p>
            <w:pPr>
              <w:spacing w:line="400" w:lineRule="exact"/>
              <w:jc w:val="left"/>
              <w:rPr>
                <w:rFonts w:ascii="宋体" w:hAnsi="宋体"/>
                <w:color w:val="auto"/>
                <w:kern w:val="0"/>
                <w:sz w:val="20"/>
                <w:highlight w:val="none"/>
              </w:rPr>
            </w:pPr>
          </w:p>
          <w:p>
            <w:pPr>
              <w:spacing w:line="400" w:lineRule="exact"/>
              <w:jc w:val="left"/>
              <w:rPr>
                <w:rFonts w:ascii="宋体" w:hAnsi="宋体"/>
                <w:color w:val="auto"/>
                <w:kern w:val="0"/>
                <w:sz w:val="20"/>
                <w:highlight w:val="none"/>
              </w:rPr>
            </w:pPr>
          </w:p>
          <w:p>
            <w:pPr>
              <w:spacing w:line="400" w:lineRule="exact"/>
              <w:jc w:val="left"/>
              <w:rPr>
                <w:rFonts w:ascii="宋体" w:hAnsi="宋体"/>
                <w:color w:val="auto"/>
                <w:kern w:val="0"/>
                <w:sz w:val="20"/>
                <w:highlight w:val="none"/>
              </w:rPr>
            </w:pPr>
          </w:p>
          <w:p>
            <w:pPr>
              <w:spacing w:line="400" w:lineRule="exact"/>
              <w:jc w:val="left"/>
              <w:rPr>
                <w:rFonts w:ascii="宋体" w:hAnsi="宋体"/>
                <w:color w:val="auto"/>
                <w:kern w:val="0"/>
                <w:sz w:val="20"/>
                <w:highlight w:val="none"/>
              </w:rPr>
            </w:pPr>
          </w:p>
          <w:p>
            <w:pPr>
              <w:spacing w:line="400" w:lineRule="exact"/>
              <w:jc w:val="left"/>
              <w:rPr>
                <w:rFonts w:ascii="宋体" w:hAnsi="宋体"/>
                <w:color w:val="auto"/>
                <w:kern w:val="0"/>
                <w:sz w:val="20"/>
                <w:highlight w:val="none"/>
              </w:rPr>
            </w:pPr>
          </w:p>
          <w:p>
            <w:pPr>
              <w:spacing w:line="400" w:lineRule="exact"/>
              <w:jc w:val="left"/>
              <w:rPr>
                <w:rFonts w:ascii="宋体" w:hAnsi="宋体"/>
                <w:color w:val="auto"/>
                <w:kern w:val="0"/>
                <w:sz w:val="20"/>
                <w:highlight w:val="none"/>
              </w:rPr>
            </w:pPr>
          </w:p>
          <w:p>
            <w:pPr>
              <w:spacing w:line="400" w:lineRule="exact"/>
              <w:jc w:val="left"/>
              <w:rPr>
                <w:rFonts w:ascii="宋体" w:hAnsi="宋体"/>
                <w:color w:val="auto"/>
                <w:kern w:val="0"/>
                <w:sz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8" w:type="dxa"/>
            <w:vAlign w:val="center"/>
          </w:tcPr>
          <w:p>
            <w:pPr>
              <w:spacing w:line="400" w:lineRule="exact"/>
              <w:jc w:val="left"/>
              <w:rPr>
                <w:rFonts w:ascii="宋体" w:hAnsi="宋体"/>
                <w:color w:val="auto"/>
                <w:kern w:val="0"/>
                <w:sz w:val="20"/>
                <w:highlight w:val="none"/>
              </w:rPr>
            </w:pPr>
            <w:r>
              <w:rPr>
                <w:rFonts w:ascii="宋体" w:hAnsi="宋体"/>
                <w:color w:val="auto"/>
                <w:kern w:val="0"/>
                <w:sz w:val="20"/>
                <w:highlight w:val="none"/>
              </w:rPr>
              <w:t>3</w:t>
            </w:r>
            <w:r>
              <w:rPr>
                <w:rFonts w:hint="eastAsia" w:ascii="宋体" w:hAnsi="宋体"/>
                <w:color w:val="auto"/>
                <w:kern w:val="0"/>
                <w:sz w:val="20"/>
                <w:highlight w:val="none"/>
              </w:rPr>
              <w:t>、不得被最高人民法院在“信用中国”网站（www.creditchina.gov.cn）或各级信用信息共享平台中列入失信被执行人名单，须提供“信用中国”网站企业信用信息查询结果的截屏记录。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32" w:hRule="atLeast"/>
        </w:trPr>
        <w:tc>
          <w:tcPr>
            <w:tcW w:w="8528" w:type="dxa"/>
            <w:vAlign w:val="center"/>
          </w:tcPr>
          <w:p>
            <w:pPr>
              <w:spacing w:line="400" w:lineRule="exact"/>
              <w:jc w:val="left"/>
              <w:rPr>
                <w:color w:val="auto"/>
                <w:kern w:val="0"/>
                <w:sz w:val="20"/>
                <w:szCs w:val="21"/>
                <w:highlight w:val="none"/>
              </w:rPr>
            </w:pPr>
            <w:r>
              <w:rPr>
                <w:rFonts w:hint="eastAsia"/>
                <w:color w:val="auto"/>
                <w:kern w:val="0"/>
                <w:sz w:val="20"/>
                <w:szCs w:val="21"/>
                <w:highlight w:val="none"/>
              </w:rPr>
              <w:t>截图样式：</w:t>
            </w:r>
          </w:p>
          <w:p>
            <w:pPr>
              <w:widowControl/>
              <w:jc w:val="left"/>
              <w:rPr>
                <w:rFonts w:ascii="宋体" w:hAnsi="宋体" w:cs="宋体"/>
                <w:color w:val="auto"/>
                <w:kern w:val="0"/>
                <w:sz w:val="24"/>
                <w:highlight w:val="none"/>
              </w:rPr>
            </w:pPr>
            <w:r>
              <w:rPr>
                <w:color w:val="auto"/>
                <w:kern w:val="0"/>
                <w:sz w:val="20"/>
                <w:highlight w:val="none"/>
              </w:rPr>
              <w:drawing>
                <wp:inline distT="0" distB="0" distL="0" distR="0">
                  <wp:extent cx="4295140" cy="770572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3">
                            <a:extLst>
                              <a:ext uri="{28A0092B-C50C-407E-A947-70E740481C1C}">
                                <a14:useLocalDpi xmlns:a14="http://schemas.microsoft.com/office/drawing/2010/main" val="0"/>
                              </a:ext>
                            </a:extLst>
                          </a:blip>
                          <a:srcRect/>
                          <a:stretch>
                            <a:fillRect/>
                          </a:stretch>
                        </pic:blipFill>
                        <pic:spPr>
                          <a:xfrm>
                            <a:off x="0" y="0"/>
                            <a:ext cx="4295140" cy="7705725"/>
                          </a:xfrm>
                          <a:prstGeom prst="rect">
                            <a:avLst/>
                          </a:prstGeom>
                          <a:noFill/>
                          <a:ln>
                            <a:noFill/>
                          </a:ln>
                        </pic:spPr>
                      </pic:pic>
                    </a:graphicData>
                  </a:graphic>
                </wp:inline>
              </w:drawing>
            </w:r>
          </w:p>
          <w:p>
            <w:pPr>
              <w:spacing w:line="400" w:lineRule="exact"/>
              <w:jc w:val="center"/>
              <w:rPr>
                <w:color w:val="auto"/>
                <w:kern w:val="0"/>
                <w:sz w:val="20"/>
                <w:szCs w:val="21"/>
                <w:highlight w:val="none"/>
              </w:rPr>
            </w:pPr>
          </w:p>
          <w:p>
            <w:pPr>
              <w:spacing w:line="400" w:lineRule="exact"/>
              <w:jc w:val="left"/>
              <w:rPr>
                <w:rFonts w:ascii="宋体" w:hAnsi="宋体"/>
                <w:color w:val="auto"/>
                <w:kern w:val="0"/>
                <w:sz w:val="20"/>
                <w:highlight w:val="none"/>
              </w:rPr>
            </w:pPr>
            <w:r>
              <w:rPr>
                <w:rFonts w:hint="eastAsia"/>
                <w:color w:val="auto"/>
                <w:kern w:val="0"/>
                <w:sz w:val="20"/>
                <w:szCs w:val="21"/>
                <w:highlight w:val="none"/>
              </w:rPr>
              <w:t>请参选人提供 “信用中国”网站企业信用信息查询结果“失信惩戒”的截屏记录。</w:t>
            </w:r>
          </w:p>
          <w:p>
            <w:pPr>
              <w:spacing w:line="400" w:lineRule="exact"/>
              <w:jc w:val="center"/>
              <w:rPr>
                <w:color w:val="auto"/>
                <w:kern w:val="0"/>
                <w:sz w:val="20"/>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8" w:type="dxa"/>
            <w:vAlign w:val="center"/>
          </w:tcPr>
          <w:p>
            <w:pPr>
              <w:spacing w:line="400" w:lineRule="exact"/>
              <w:jc w:val="left"/>
              <w:rPr>
                <w:color w:val="auto"/>
                <w:kern w:val="0"/>
                <w:sz w:val="20"/>
                <w:szCs w:val="21"/>
                <w:highlight w:val="none"/>
              </w:rPr>
            </w:pPr>
            <w:r>
              <w:rPr>
                <w:color w:val="auto"/>
                <w:kern w:val="0"/>
                <w:sz w:val="20"/>
                <w:szCs w:val="21"/>
                <w:highlight w:val="none"/>
              </w:rPr>
              <w:t>4</w:t>
            </w:r>
            <w:r>
              <w:rPr>
                <w:rFonts w:hint="eastAsia"/>
                <w:color w:val="auto"/>
                <w:kern w:val="0"/>
                <w:sz w:val="20"/>
                <w:szCs w:val="21"/>
                <w:highlight w:val="none"/>
              </w:rPr>
              <w:t>、行政处罚等行为申报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0" w:hRule="atLeast"/>
        </w:trPr>
        <w:tc>
          <w:tcPr>
            <w:tcW w:w="8528" w:type="dxa"/>
            <w:vAlign w:val="center"/>
          </w:tcPr>
          <w:p>
            <w:pPr>
              <w:widowControl/>
              <w:rPr>
                <w:color w:val="auto"/>
                <w:kern w:val="0"/>
                <w:sz w:val="20"/>
                <w:szCs w:val="21"/>
                <w:highlight w:val="none"/>
              </w:rPr>
            </w:pPr>
            <w:r>
              <w:rPr>
                <w:rFonts w:hint="eastAsia"/>
                <w:color w:val="auto"/>
                <w:kern w:val="0"/>
                <w:sz w:val="20"/>
                <w:szCs w:val="21"/>
                <w:highlight w:val="none"/>
              </w:rPr>
              <w:t>截图样式：</w:t>
            </w:r>
          </w:p>
          <w:p>
            <w:pPr>
              <w:widowControl/>
              <w:jc w:val="left"/>
              <w:rPr>
                <w:color w:val="auto"/>
                <w:kern w:val="0"/>
                <w:sz w:val="20"/>
                <w:szCs w:val="21"/>
                <w:highlight w:val="none"/>
              </w:rPr>
            </w:pPr>
            <w:r>
              <w:rPr>
                <w:color w:val="auto"/>
                <w:kern w:val="0"/>
                <w:sz w:val="20"/>
                <w:highlight w:val="none"/>
              </w:rPr>
              <w:drawing>
                <wp:inline distT="0" distB="0" distL="0" distR="0">
                  <wp:extent cx="4674870" cy="7686040"/>
                  <wp:effectExtent l="0" t="0" r="0" b="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4">
                            <a:extLst>
                              <a:ext uri="{28A0092B-C50C-407E-A947-70E740481C1C}">
                                <a14:useLocalDpi xmlns:a14="http://schemas.microsoft.com/office/drawing/2010/main" val="0"/>
                              </a:ext>
                            </a:extLst>
                          </a:blip>
                          <a:srcRect/>
                          <a:stretch>
                            <a:fillRect/>
                          </a:stretch>
                        </pic:blipFill>
                        <pic:spPr>
                          <a:xfrm>
                            <a:off x="0" y="0"/>
                            <a:ext cx="4674870" cy="7686040"/>
                          </a:xfrm>
                          <a:prstGeom prst="rect">
                            <a:avLst/>
                          </a:prstGeom>
                          <a:noFill/>
                          <a:ln>
                            <a:noFill/>
                          </a:ln>
                        </pic:spPr>
                      </pic:pic>
                    </a:graphicData>
                  </a:graphic>
                </wp:inline>
              </w:drawing>
            </w:r>
          </w:p>
          <w:p>
            <w:pPr>
              <w:spacing w:line="400" w:lineRule="exact"/>
              <w:rPr>
                <w:color w:val="auto"/>
                <w:kern w:val="0"/>
                <w:sz w:val="20"/>
                <w:szCs w:val="21"/>
                <w:highlight w:val="none"/>
              </w:rPr>
            </w:pPr>
            <w:r>
              <w:rPr>
                <w:rFonts w:hint="eastAsia"/>
                <w:color w:val="auto"/>
                <w:kern w:val="0"/>
                <w:sz w:val="20"/>
                <w:szCs w:val="21"/>
                <w:highlight w:val="none"/>
              </w:rPr>
              <w:t>1）请参选人提供 “信用中国”网站企业信用信息查询结果“行政处罚”的截屏记录。</w:t>
            </w:r>
          </w:p>
          <w:p>
            <w:pPr>
              <w:spacing w:line="400" w:lineRule="exact"/>
              <w:rPr>
                <w:color w:val="auto"/>
                <w:kern w:val="0"/>
                <w:sz w:val="20"/>
                <w:szCs w:val="21"/>
                <w:highlight w:val="none"/>
              </w:rPr>
            </w:pPr>
            <w:r>
              <w:rPr>
                <w:color w:val="auto"/>
                <w:kern w:val="0"/>
                <w:sz w:val="20"/>
                <w:szCs w:val="21"/>
                <w:highlight w:val="none"/>
              </w:rPr>
              <w:t>2</w:t>
            </w:r>
            <w:r>
              <w:rPr>
                <w:rFonts w:hint="eastAsia"/>
                <w:color w:val="auto"/>
                <w:kern w:val="0"/>
                <w:sz w:val="20"/>
                <w:szCs w:val="21"/>
                <w:highlight w:val="none"/>
              </w:rPr>
              <w:t>）其他关于行政处罚行为申报材料（如有）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8" w:type="dxa"/>
            <w:vAlign w:val="center"/>
          </w:tcPr>
          <w:p>
            <w:pPr>
              <w:spacing w:line="400" w:lineRule="exact"/>
              <w:jc w:val="left"/>
              <w:rPr>
                <w:color w:val="auto"/>
                <w:kern w:val="0"/>
                <w:sz w:val="20"/>
                <w:szCs w:val="21"/>
                <w:highlight w:val="none"/>
              </w:rPr>
            </w:pPr>
            <w:r>
              <w:rPr>
                <w:color w:val="auto"/>
                <w:kern w:val="0"/>
                <w:sz w:val="20"/>
                <w:szCs w:val="21"/>
                <w:highlight w:val="none"/>
              </w:rPr>
              <w:t>5</w:t>
            </w:r>
            <w:r>
              <w:rPr>
                <w:rFonts w:hint="eastAsia"/>
                <w:color w:val="auto"/>
                <w:kern w:val="0"/>
                <w:sz w:val="20"/>
                <w:szCs w:val="21"/>
                <w:highlight w:val="none"/>
              </w:rPr>
              <w:t>、参选人“不得存在情形”的其他申报详情及相关材料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0" w:hRule="atLeast"/>
        </w:trPr>
        <w:tc>
          <w:tcPr>
            <w:tcW w:w="8528" w:type="dxa"/>
            <w:vAlign w:val="center"/>
          </w:tcPr>
          <w:p>
            <w:pPr>
              <w:spacing w:line="400" w:lineRule="exact"/>
              <w:jc w:val="left"/>
              <w:rPr>
                <w:color w:val="auto"/>
                <w:kern w:val="0"/>
                <w:sz w:val="20"/>
                <w:szCs w:val="21"/>
                <w:highlight w:val="none"/>
              </w:rPr>
            </w:pPr>
            <w:r>
              <w:rPr>
                <w:color w:val="auto"/>
                <w:kern w:val="0"/>
                <w:sz w:val="20"/>
                <w:szCs w:val="21"/>
                <w:highlight w:val="none"/>
              </w:rPr>
              <w:t>5</w:t>
            </w:r>
            <w:r>
              <w:rPr>
                <w:rFonts w:hint="eastAsia"/>
                <w:color w:val="auto"/>
                <w:kern w:val="0"/>
                <w:sz w:val="20"/>
                <w:szCs w:val="21"/>
                <w:highlight w:val="none"/>
              </w:rPr>
              <w:t>.</w:t>
            </w:r>
            <w:r>
              <w:rPr>
                <w:color w:val="auto"/>
                <w:kern w:val="0"/>
                <w:sz w:val="20"/>
                <w:szCs w:val="21"/>
                <w:highlight w:val="none"/>
              </w:rPr>
              <w:t>1</w:t>
            </w:r>
            <w:r>
              <w:rPr>
                <w:rFonts w:hint="eastAsia"/>
                <w:color w:val="auto"/>
                <w:kern w:val="0"/>
                <w:sz w:val="20"/>
                <w:szCs w:val="21"/>
                <w:highlight w:val="none"/>
              </w:rPr>
              <w:t>、</w:t>
            </w:r>
            <w:r>
              <w:rPr>
                <w:color w:val="auto"/>
                <w:kern w:val="0"/>
                <w:sz w:val="20"/>
                <w:szCs w:val="21"/>
                <w:highlight w:val="none"/>
              </w:rPr>
              <w:t>......</w:t>
            </w:r>
            <w:r>
              <w:rPr>
                <w:rFonts w:hint="eastAsia"/>
                <w:color w:val="auto"/>
                <w:kern w:val="0"/>
                <w:sz w:val="20"/>
                <w:szCs w:val="21"/>
                <w:highlight w:val="none"/>
              </w:rPr>
              <w:t>情形1</w:t>
            </w:r>
          </w:p>
          <w:p>
            <w:pPr>
              <w:spacing w:line="400" w:lineRule="exact"/>
              <w:jc w:val="left"/>
              <w:rPr>
                <w:color w:val="auto"/>
                <w:kern w:val="0"/>
                <w:sz w:val="20"/>
                <w:szCs w:val="21"/>
                <w:highlight w:val="none"/>
              </w:rPr>
            </w:pPr>
            <w:r>
              <w:rPr>
                <w:rFonts w:hint="eastAsia"/>
                <w:color w:val="auto"/>
                <w:kern w:val="0"/>
                <w:sz w:val="20"/>
                <w:szCs w:val="21"/>
                <w:highlight w:val="none"/>
              </w:rPr>
              <w:t>相关情形的申报详情及相关材料</w:t>
            </w:r>
          </w:p>
          <w:p>
            <w:pPr>
              <w:spacing w:line="400" w:lineRule="exact"/>
              <w:jc w:val="left"/>
              <w:rPr>
                <w:color w:val="auto"/>
                <w:kern w:val="0"/>
                <w:sz w:val="20"/>
                <w:szCs w:val="21"/>
                <w:highlight w:val="none"/>
              </w:rPr>
            </w:pPr>
          </w:p>
          <w:p>
            <w:pPr>
              <w:spacing w:line="400" w:lineRule="exact"/>
              <w:jc w:val="left"/>
              <w:rPr>
                <w:color w:val="auto"/>
                <w:kern w:val="0"/>
                <w:sz w:val="20"/>
                <w:szCs w:val="21"/>
                <w:highlight w:val="none"/>
              </w:rPr>
            </w:pPr>
          </w:p>
          <w:p>
            <w:pPr>
              <w:spacing w:line="400" w:lineRule="exact"/>
              <w:jc w:val="left"/>
              <w:rPr>
                <w:color w:val="auto"/>
                <w:kern w:val="0"/>
                <w:sz w:val="20"/>
                <w:szCs w:val="21"/>
                <w:highlight w:val="none"/>
              </w:rPr>
            </w:pPr>
            <w:r>
              <w:rPr>
                <w:color w:val="auto"/>
                <w:kern w:val="0"/>
                <w:sz w:val="20"/>
                <w:szCs w:val="21"/>
                <w:highlight w:val="none"/>
              </w:rPr>
              <w:t>5</w:t>
            </w:r>
            <w:r>
              <w:rPr>
                <w:rFonts w:hint="eastAsia"/>
                <w:color w:val="auto"/>
                <w:kern w:val="0"/>
                <w:sz w:val="20"/>
                <w:szCs w:val="21"/>
                <w:highlight w:val="none"/>
              </w:rPr>
              <w:t>.</w:t>
            </w:r>
            <w:r>
              <w:rPr>
                <w:color w:val="auto"/>
                <w:kern w:val="0"/>
                <w:sz w:val="20"/>
                <w:szCs w:val="21"/>
                <w:highlight w:val="none"/>
              </w:rPr>
              <w:t>2</w:t>
            </w:r>
            <w:r>
              <w:rPr>
                <w:rFonts w:hint="eastAsia"/>
                <w:color w:val="auto"/>
                <w:kern w:val="0"/>
                <w:sz w:val="20"/>
                <w:szCs w:val="21"/>
                <w:highlight w:val="none"/>
              </w:rPr>
              <w:t>、</w:t>
            </w:r>
            <w:r>
              <w:rPr>
                <w:color w:val="auto"/>
                <w:kern w:val="0"/>
                <w:sz w:val="20"/>
                <w:szCs w:val="21"/>
                <w:highlight w:val="none"/>
              </w:rPr>
              <w:t>......</w:t>
            </w:r>
            <w:r>
              <w:rPr>
                <w:rFonts w:hint="eastAsia"/>
                <w:color w:val="auto"/>
                <w:kern w:val="0"/>
                <w:sz w:val="20"/>
                <w:szCs w:val="21"/>
                <w:highlight w:val="none"/>
              </w:rPr>
              <w:t>情形</w:t>
            </w:r>
            <w:r>
              <w:rPr>
                <w:color w:val="auto"/>
                <w:kern w:val="0"/>
                <w:sz w:val="20"/>
                <w:szCs w:val="21"/>
                <w:highlight w:val="none"/>
              </w:rPr>
              <w:t>2</w:t>
            </w:r>
          </w:p>
          <w:p>
            <w:pPr>
              <w:spacing w:line="400" w:lineRule="exact"/>
              <w:jc w:val="left"/>
              <w:rPr>
                <w:color w:val="auto"/>
                <w:kern w:val="0"/>
                <w:sz w:val="20"/>
                <w:szCs w:val="21"/>
                <w:highlight w:val="none"/>
              </w:rPr>
            </w:pPr>
            <w:r>
              <w:rPr>
                <w:rFonts w:hint="eastAsia"/>
                <w:color w:val="auto"/>
                <w:kern w:val="0"/>
                <w:sz w:val="20"/>
                <w:szCs w:val="21"/>
                <w:highlight w:val="none"/>
              </w:rPr>
              <w:t>相关情形的申报详情及相关材料</w:t>
            </w:r>
          </w:p>
          <w:p>
            <w:pPr>
              <w:spacing w:line="400" w:lineRule="exact"/>
              <w:jc w:val="left"/>
              <w:rPr>
                <w:color w:val="auto"/>
                <w:kern w:val="0"/>
                <w:sz w:val="20"/>
                <w:szCs w:val="21"/>
                <w:highlight w:val="none"/>
              </w:rPr>
            </w:pPr>
          </w:p>
          <w:p>
            <w:pPr>
              <w:spacing w:line="400" w:lineRule="exact"/>
              <w:jc w:val="left"/>
              <w:rPr>
                <w:color w:val="auto"/>
                <w:kern w:val="0"/>
                <w:sz w:val="20"/>
                <w:szCs w:val="21"/>
                <w:highlight w:val="none"/>
              </w:rPr>
            </w:pPr>
          </w:p>
          <w:p>
            <w:pPr>
              <w:spacing w:line="400" w:lineRule="exact"/>
              <w:jc w:val="left"/>
              <w:rPr>
                <w:color w:val="auto"/>
                <w:kern w:val="0"/>
                <w:sz w:val="20"/>
                <w:szCs w:val="21"/>
                <w:highlight w:val="none"/>
              </w:rPr>
            </w:pPr>
          </w:p>
          <w:p>
            <w:pPr>
              <w:spacing w:line="400" w:lineRule="exact"/>
              <w:jc w:val="left"/>
              <w:rPr>
                <w:color w:val="auto"/>
                <w:kern w:val="0"/>
                <w:sz w:val="20"/>
                <w:szCs w:val="21"/>
                <w:highlight w:val="none"/>
              </w:rPr>
            </w:pPr>
            <w:r>
              <w:rPr>
                <w:rFonts w:hint="eastAsia"/>
                <w:color w:val="auto"/>
                <w:kern w:val="0"/>
                <w:sz w:val="20"/>
                <w:szCs w:val="21"/>
                <w:highlight w:val="none"/>
              </w:rPr>
              <w:t>备注：如不存在“不得存在情形”的其他申报及相关材料，请填写“无”。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8" w:type="dxa"/>
          </w:tcPr>
          <w:p>
            <w:pPr>
              <w:spacing w:line="400" w:lineRule="exact"/>
              <w:rPr>
                <w:color w:val="auto"/>
                <w:kern w:val="0"/>
                <w:sz w:val="20"/>
                <w:szCs w:val="21"/>
                <w:highlight w:val="none"/>
              </w:rPr>
            </w:pPr>
            <w:r>
              <w:rPr>
                <w:rFonts w:hint="eastAsia"/>
                <w:color w:val="auto"/>
                <w:kern w:val="0"/>
                <w:sz w:val="20"/>
                <w:szCs w:val="21"/>
                <w:highlight w:val="none"/>
              </w:rPr>
              <w:t>5、行贿犯罪和合同诈骗罪情况申报</w:t>
            </w:r>
          </w:p>
          <w:p>
            <w:pPr>
              <w:spacing w:line="400" w:lineRule="exact"/>
              <w:rPr>
                <w:color w:val="auto"/>
                <w:kern w:val="0"/>
                <w:sz w:val="20"/>
                <w:szCs w:val="21"/>
                <w:highlight w:val="none"/>
              </w:rPr>
            </w:pPr>
            <w:r>
              <w:rPr>
                <w:rFonts w:hint="eastAsia"/>
                <w:color w:val="auto"/>
                <w:kern w:val="0"/>
                <w:sz w:val="20"/>
                <w:szCs w:val="21"/>
                <w:highlight w:val="none"/>
              </w:rPr>
              <w:t>5.1参选人或其法定代表人、拟委任的项目负责人在最近五年内参与的采购活动中的行贿犯罪记录申报详情及相关材料。</w:t>
            </w:r>
          </w:p>
          <w:p>
            <w:pPr>
              <w:spacing w:line="400" w:lineRule="exact"/>
              <w:rPr>
                <w:color w:val="auto"/>
                <w:kern w:val="0"/>
                <w:sz w:val="20"/>
                <w:szCs w:val="21"/>
                <w:highlight w:val="none"/>
              </w:rPr>
            </w:pPr>
            <w:r>
              <w:rPr>
                <w:rFonts w:hint="eastAsia"/>
                <w:color w:val="auto"/>
                <w:kern w:val="0"/>
                <w:sz w:val="20"/>
                <w:szCs w:val="21"/>
                <w:highlight w:val="none"/>
              </w:rPr>
              <w:t>5.2最近五年内被判处合同诈骗罪情况申报</w:t>
            </w:r>
          </w:p>
          <w:p>
            <w:pPr>
              <w:spacing w:line="400" w:lineRule="exact"/>
              <w:rPr>
                <w:color w:val="auto"/>
                <w:kern w:val="0"/>
                <w:sz w:val="20"/>
                <w:szCs w:val="21"/>
                <w:highlight w:val="none"/>
              </w:rPr>
            </w:pPr>
            <w:r>
              <w:rPr>
                <w:rFonts w:hint="eastAsia"/>
                <w:color w:val="auto"/>
                <w:kern w:val="0"/>
                <w:sz w:val="20"/>
                <w:szCs w:val="21"/>
                <w:highlight w:val="none"/>
              </w:rPr>
              <w:t>截图样式：</w:t>
            </w:r>
          </w:p>
          <w:p>
            <w:pPr>
              <w:spacing w:line="400" w:lineRule="exact"/>
              <w:rPr>
                <w:color w:val="auto"/>
                <w:kern w:val="0"/>
                <w:sz w:val="20"/>
                <w:szCs w:val="21"/>
                <w:highlight w:val="none"/>
              </w:rPr>
            </w:pPr>
            <w:r>
              <w:rPr>
                <w:color w:val="auto"/>
                <w:kern w:val="0"/>
                <w:sz w:val="20"/>
                <w:highlight w:val="none"/>
              </w:rPr>
              <w:drawing>
                <wp:anchor distT="0" distB="0" distL="114300" distR="114300" simplePos="0" relativeHeight="251669504" behindDoc="0" locked="0" layoutInCell="1" allowOverlap="1">
                  <wp:simplePos x="0" y="0"/>
                  <wp:positionH relativeFrom="margin">
                    <wp:posOffset>-635</wp:posOffset>
                  </wp:positionH>
                  <wp:positionV relativeFrom="margin">
                    <wp:posOffset>1271270</wp:posOffset>
                  </wp:positionV>
                  <wp:extent cx="4918710" cy="2786380"/>
                  <wp:effectExtent l="0" t="0" r="0" b="0"/>
                  <wp:wrapSquare wrapText="bothSides"/>
                  <wp:docPr id="5" name="图片 5" descr="C:\Users\ADMINI~1.PC-\AppData\Local\Temp\WeChat Files\bc9f25a80a456478a96ad69bde889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1.PC-\AppData\Local\Temp\WeChat Files\bc9f25a80a456478a96ad69bde889e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918710" cy="2786380"/>
                          </a:xfrm>
                          <a:prstGeom prst="rect">
                            <a:avLst/>
                          </a:prstGeom>
                          <a:noFill/>
                          <a:ln>
                            <a:noFill/>
                          </a:ln>
                        </pic:spPr>
                      </pic:pic>
                    </a:graphicData>
                  </a:graphic>
                </wp:anchor>
              </w:drawing>
            </w: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p>
          <w:p>
            <w:pPr>
              <w:spacing w:line="400" w:lineRule="exact"/>
              <w:rPr>
                <w:color w:val="auto"/>
                <w:kern w:val="0"/>
                <w:sz w:val="20"/>
                <w:szCs w:val="21"/>
                <w:highlight w:val="none"/>
              </w:rPr>
            </w:pPr>
            <w:r>
              <w:rPr>
                <w:color w:val="auto"/>
                <w:kern w:val="0"/>
                <w:sz w:val="20"/>
                <w:highlight w:val="none"/>
              </w:rPr>
              <w:drawing>
                <wp:anchor distT="0" distB="0" distL="114300" distR="114300" simplePos="0" relativeHeight="251671552" behindDoc="1" locked="0" layoutInCell="1" allowOverlap="1">
                  <wp:simplePos x="0" y="0"/>
                  <wp:positionH relativeFrom="column">
                    <wp:posOffset>635</wp:posOffset>
                  </wp:positionH>
                  <wp:positionV relativeFrom="paragraph">
                    <wp:posOffset>-2434590</wp:posOffset>
                  </wp:positionV>
                  <wp:extent cx="5262245" cy="2639695"/>
                  <wp:effectExtent l="0" t="0" r="0" b="0"/>
                  <wp:wrapNone/>
                  <wp:docPr id="4" name="图片 4" descr="C:\Users\ADMINI~1.PC-\AppData\Local\Temp\WeChat Files\70e34182a26f039d435275c62f581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1.PC-\AppData\Local\Temp\WeChat Files\70e34182a26f039d435275c62f581c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62245" cy="2639695"/>
                          </a:xfrm>
                          <a:prstGeom prst="rect">
                            <a:avLst/>
                          </a:prstGeom>
                          <a:noFill/>
                          <a:ln>
                            <a:noFill/>
                          </a:ln>
                        </pic:spPr>
                      </pic:pic>
                    </a:graphicData>
                  </a:graphic>
                </wp:anchor>
              </w:drawing>
            </w:r>
          </w:p>
          <w:p>
            <w:pPr>
              <w:spacing w:line="400" w:lineRule="exact"/>
              <w:rPr>
                <w:color w:val="auto"/>
                <w:kern w:val="0"/>
                <w:sz w:val="20"/>
                <w:szCs w:val="21"/>
                <w:highlight w:val="none"/>
              </w:rPr>
            </w:pPr>
            <w:r>
              <w:rPr>
                <w:rFonts w:hint="eastAsia"/>
                <w:color w:val="auto"/>
                <w:kern w:val="0"/>
                <w:sz w:val="20"/>
                <w:szCs w:val="21"/>
                <w:highlight w:val="none"/>
              </w:rPr>
              <w:t>1）请提供中国裁判文书网”网站的的截屏记录。</w:t>
            </w:r>
          </w:p>
          <w:p>
            <w:pPr>
              <w:spacing w:line="400" w:lineRule="exact"/>
              <w:rPr>
                <w:color w:val="auto"/>
                <w:kern w:val="0"/>
                <w:sz w:val="20"/>
                <w:szCs w:val="21"/>
                <w:highlight w:val="none"/>
              </w:rPr>
            </w:pPr>
            <w:r>
              <w:rPr>
                <w:rFonts w:hint="eastAsia"/>
                <w:color w:val="auto"/>
                <w:kern w:val="0"/>
                <w:sz w:val="20"/>
                <w:szCs w:val="21"/>
                <w:highlight w:val="none"/>
              </w:rPr>
              <w:t>2）“贪污贿赂罪”详情申报操作指引：点击网址进入→在搜索栏的 “高级检索”处的“全文检索”输入供应商单位名称、点击“案由”中的“刑事案由”并选择“贪污贿赂罪”→点击“检索"→结果输出</w:t>
            </w:r>
          </w:p>
          <w:p>
            <w:pPr>
              <w:spacing w:line="400" w:lineRule="exact"/>
              <w:rPr>
                <w:color w:val="auto"/>
                <w:kern w:val="0"/>
                <w:sz w:val="20"/>
                <w:szCs w:val="21"/>
                <w:highlight w:val="none"/>
              </w:rPr>
            </w:pPr>
            <w:r>
              <w:rPr>
                <w:rFonts w:hint="eastAsia"/>
                <w:color w:val="auto"/>
                <w:kern w:val="0"/>
                <w:sz w:val="20"/>
                <w:szCs w:val="21"/>
                <w:highlight w:val="none"/>
              </w:rPr>
              <w:t>3）“合同诈骗罪”详情申报操作指引：点击网址进入→在搜索栏的 “高级检索”处的“全文检索”输入供应商单位名称、点击“案由”中的“刑事案由”并选择“侵犯财产罪”的“诈骗罪”→点击“检索”→结果输出</w:t>
            </w:r>
          </w:p>
          <w:p>
            <w:pPr>
              <w:spacing w:line="400" w:lineRule="exact"/>
              <w:rPr>
                <w:color w:val="auto"/>
                <w:kern w:val="0"/>
                <w:sz w:val="20"/>
                <w:szCs w:val="21"/>
                <w:highlight w:val="none"/>
              </w:rPr>
            </w:pPr>
          </w:p>
          <w:p>
            <w:pPr>
              <w:spacing w:line="400" w:lineRule="exact"/>
              <w:rPr>
                <w:color w:val="auto"/>
                <w:kern w:val="0"/>
                <w:sz w:val="20"/>
                <w:szCs w:val="21"/>
                <w:highlight w:val="none"/>
              </w:rPr>
            </w:pPr>
            <w:r>
              <w:rPr>
                <w:rFonts w:hint="eastAsia"/>
                <w:color w:val="auto"/>
                <w:kern w:val="0"/>
                <w:sz w:val="20"/>
                <w:szCs w:val="21"/>
                <w:highlight w:val="none"/>
              </w:rPr>
              <w:t>6、参选人“不得存在情形”的其他申报详情及相关材料</w:t>
            </w:r>
          </w:p>
          <w:p>
            <w:pPr>
              <w:spacing w:line="400" w:lineRule="exact"/>
              <w:jc w:val="left"/>
              <w:rPr>
                <w:color w:val="auto"/>
                <w:kern w:val="2"/>
                <w:sz w:val="21"/>
                <w:szCs w:val="21"/>
                <w:highlight w:val="none"/>
              </w:rPr>
            </w:pPr>
            <w:r>
              <w:rPr>
                <w:rFonts w:hint="eastAsia"/>
                <w:color w:val="auto"/>
                <w:kern w:val="2"/>
                <w:sz w:val="21"/>
                <w:szCs w:val="21"/>
                <w:highlight w:val="none"/>
              </w:rPr>
              <w:t>6.</w:t>
            </w:r>
            <w:r>
              <w:rPr>
                <w:color w:val="auto"/>
                <w:kern w:val="2"/>
                <w:sz w:val="21"/>
                <w:szCs w:val="21"/>
                <w:highlight w:val="none"/>
              </w:rPr>
              <w:t>1</w:t>
            </w:r>
            <w:r>
              <w:rPr>
                <w:rFonts w:hint="eastAsia"/>
                <w:color w:val="auto"/>
                <w:kern w:val="2"/>
                <w:sz w:val="21"/>
                <w:szCs w:val="21"/>
                <w:highlight w:val="none"/>
              </w:rPr>
              <w:t>、</w:t>
            </w:r>
            <w:r>
              <w:rPr>
                <w:color w:val="auto"/>
                <w:kern w:val="2"/>
                <w:sz w:val="21"/>
                <w:szCs w:val="21"/>
                <w:highlight w:val="none"/>
              </w:rPr>
              <w:t>......</w:t>
            </w:r>
            <w:r>
              <w:rPr>
                <w:rFonts w:hint="eastAsia"/>
                <w:color w:val="auto"/>
                <w:kern w:val="2"/>
                <w:sz w:val="21"/>
                <w:szCs w:val="21"/>
                <w:highlight w:val="none"/>
              </w:rPr>
              <w:t>情形1</w:t>
            </w:r>
          </w:p>
          <w:p>
            <w:pPr>
              <w:spacing w:line="400" w:lineRule="exact"/>
              <w:jc w:val="left"/>
              <w:rPr>
                <w:color w:val="auto"/>
                <w:kern w:val="2"/>
                <w:sz w:val="21"/>
                <w:szCs w:val="21"/>
                <w:highlight w:val="none"/>
              </w:rPr>
            </w:pPr>
            <w:r>
              <w:rPr>
                <w:rFonts w:hint="eastAsia"/>
                <w:color w:val="auto"/>
                <w:kern w:val="2"/>
                <w:sz w:val="21"/>
                <w:szCs w:val="21"/>
                <w:highlight w:val="none"/>
              </w:rPr>
              <w:t>相关情形的申报详情及相关材料</w:t>
            </w:r>
          </w:p>
          <w:p>
            <w:pPr>
              <w:spacing w:line="400" w:lineRule="exact"/>
              <w:jc w:val="left"/>
              <w:rPr>
                <w:color w:val="auto"/>
                <w:kern w:val="2"/>
                <w:sz w:val="21"/>
                <w:szCs w:val="21"/>
                <w:highlight w:val="none"/>
              </w:rPr>
            </w:pPr>
          </w:p>
          <w:p>
            <w:pPr>
              <w:spacing w:line="400" w:lineRule="exact"/>
              <w:jc w:val="left"/>
              <w:rPr>
                <w:color w:val="auto"/>
                <w:kern w:val="2"/>
                <w:sz w:val="21"/>
                <w:szCs w:val="21"/>
                <w:highlight w:val="none"/>
              </w:rPr>
            </w:pPr>
          </w:p>
          <w:p>
            <w:pPr>
              <w:spacing w:line="400" w:lineRule="exact"/>
              <w:jc w:val="left"/>
              <w:rPr>
                <w:color w:val="auto"/>
                <w:kern w:val="2"/>
                <w:sz w:val="21"/>
                <w:szCs w:val="21"/>
                <w:highlight w:val="none"/>
              </w:rPr>
            </w:pPr>
            <w:r>
              <w:rPr>
                <w:rFonts w:hint="eastAsia"/>
                <w:color w:val="auto"/>
                <w:kern w:val="2"/>
                <w:sz w:val="21"/>
                <w:szCs w:val="21"/>
                <w:highlight w:val="none"/>
              </w:rPr>
              <w:t>6.</w:t>
            </w:r>
            <w:r>
              <w:rPr>
                <w:color w:val="auto"/>
                <w:kern w:val="2"/>
                <w:sz w:val="21"/>
                <w:szCs w:val="21"/>
                <w:highlight w:val="none"/>
              </w:rPr>
              <w:t>2</w:t>
            </w:r>
            <w:r>
              <w:rPr>
                <w:rFonts w:hint="eastAsia"/>
                <w:color w:val="auto"/>
                <w:kern w:val="2"/>
                <w:sz w:val="21"/>
                <w:szCs w:val="21"/>
                <w:highlight w:val="none"/>
              </w:rPr>
              <w:t>、</w:t>
            </w:r>
            <w:r>
              <w:rPr>
                <w:color w:val="auto"/>
                <w:kern w:val="2"/>
                <w:sz w:val="21"/>
                <w:szCs w:val="21"/>
                <w:highlight w:val="none"/>
              </w:rPr>
              <w:t>......</w:t>
            </w:r>
            <w:r>
              <w:rPr>
                <w:rFonts w:hint="eastAsia"/>
                <w:color w:val="auto"/>
                <w:kern w:val="2"/>
                <w:sz w:val="21"/>
                <w:szCs w:val="21"/>
                <w:highlight w:val="none"/>
              </w:rPr>
              <w:t>情形</w:t>
            </w:r>
            <w:r>
              <w:rPr>
                <w:color w:val="auto"/>
                <w:kern w:val="2"/>
                <w:sz w:val="21"/>
                <w:szCs w:val="21"/>
                <w:highlight w:val="none"/>
              </w:rPr>
              <w:t>2</w:t>
            </w:r>
          </w:p>
          <w:p>
            <w:pPr>
              <w:spacing w:line="400" w:lineRule="exact"/>
              <w:jc w:val="left"/>
              <w:rPr>
                <w:color w:val="auto"/>
                <w:kern w:val="2"/>
                <w:sz w:val="21"/>
                <w:szCs w:val="21"/>
                <w:highlight w:val="none"/>
              </w:rPr>
            </w:pPr>
            <w:r>
              <w:rPr>
                <w:rFonts w:hint="eastAsia"/>
                <w:color w:val="auto"/>
                <w:kern w:val="2"/>
                <w:sz w:val="21"/>
                <w:szCs w:val="21"/>
                <w:highlight w:val="none"/>
              </w:rPr>
              <w:t>相关情形的申报详情及相关材料</w:t>
            </w:r>
          </w:p>
          <w:p>
            <w:pPr>
              <w:spacing w:line="400" w:lineRule="exact"/>
              <w:jc w:val="left"/>
              <w:rPr>
                <w:color w:val="auto"/>
                <w:kern w:val="2"/>
                <w:sz w:val="21"/>
                <w:szCs w:val="21"/>
                <w:highlight w:val="none"/>
              </w:rPr>
            </w:pPr>
          </w:p>
          <w:p>
            <w:pPr>
              <w:spacing w:line="400" w:lineRule="exact"/>
              <w:jc w:val="left"/>
              <w:rPr>
                <w:color w:val="auto"/>
                <w:kern w:val="2"/>
                <w:sz w:val="21"/>
                <w:szCs w:val="21"/>
                <w:highlight w:val="none"/>
              </w:rPr>
            </w:pPr>
          </w:p>
          <w:p>
            <w:pPr>
              <w:spacing w:line="400" w:lineRule="exact"/>
              <w:jc w:val="left"/>
              <w:rPr>
                <w:color w:val="auto"/>
                <w:kern w:val="2"/>
                <w:sz w:val="21"/>
                <w:szCs w:val="21"/>
                <w:highlight w:val="none"/>
              </w:rPr>
            </w:pPr>
            <w:r>
              <w:rPr>
                <w:color w:val="auto"/>
                <w:kern w:val="2"/>
                <w:sz w:val="21"/>
                <w:szCs w:val="21"/>
                <w:highlight w:val="none"/>
              </w:rPr>
              <w:t>…</w:t>
            </w:r>
          </w:p>
          <w:p>
            <w:pPr>
              <w:spacing w:line="400" w:lineRule="exact"/>
              <w:rPr>
                <w:color w:val="auto"/>
                <w:kern w:val="0"/>
                <w:sz w:val="20"/>
                <w:szCs w:val="21"/>
                <w:highlight w:val="none"/>
              </w:rPr>
            </w:pPr>
            <w:r>
              <w:rPr>
                <w:rFonts w:hint="eastAsia"/>
                <w:color w:val="auto"/>
                <w:kern w:val="2"/>
                <w:sz w:val="21"/>
                <w:szCs w:val="21"/>
                <w:highlight w:val="none"/>
              </w:rPr>
              <w:t>备注：如不存在“不得存在情形”的其他申报及相关材料，请填写“无”。</w:t>
            </w:r>
          </w:p>
        </w:tc>
      </w:tr>
    </w:tbl>
    <w:p>
      <w:pPr>
        <w:pStyle w:val="78"/>
        <w:tabs>
          <w:tab w:val="left" w:pos="630"/>
        </w:tabs>
        <w:spacing w:line="400" w:lineRule="exact"/>
        <w:ind w:left="420" w:firstLine="0" w:firstLineChars="0"/>
        <w:rPr>
          <w:rFonts w:ascii="宋体" w:hAnsi="宋体"/>
          <w:color w:val="auto"/>
          <w:highlight w:val="none"/>
        </w:rPr>
      </w:pPr>
    </w:p>
    <w:p>
      <w:pPr>
        <w:pStyle w:val="78"/>
        <w:tabs>
          <w:tab w:val="left" w:pos="630"/>
        </w:tabs>
        <w:spacing w:line="400" w:lineRule="exact"/>
        <w:ind w:firstLine="567" w:firstLineChars="270"/>
        <w:rPr>
          <w:rFonts w:ascii="宋体" w:hAnsi="宋体"/>
          <w:color w:val="auto"/>
          <w:highlight w:val="none"/>
        </w:rPr>
      </w:pPr>
      <w:r>
        <w:rPr>
          <w:rFonts w:hint="eastAsia"/>
          <w:color w:val="auto"/>
          <w:szCs w:val="21"/>
          <w:highlight w:val="none"/>
        </w:rPr>
        <w:t>现我司对存在以上情形的情况进行申报，并承诺申报内容属实，不存在虚报、瞒报的情况，否则将自行承担相应责任。</w:t>
      </w:r>
    </w:p>
    <w:p>
      <w:pPr>
        <w:spacing w:line="400" w:lineRule="exact"/>
        <w:jc w:val="right"/>
        <w:rPr>
          <w:rFonts w:ascii="宋体" w:hAnsi="宋体"/>
          <w:color w:val="auto"/>
          <w:szCs w:val="21"/>
          <w:highlight w:val="none"/>
        </w:rPr>
      </w:pPr>
      <w:r>
        <w:rPr>
          <w:rFonts w:hint="eastAsia" w:ascii="宋体" w:hAnsi="宋体"/>
          <w:color w:val="auto"/>
          <w:szCs w:val="21"/>
          <w:highlight w:val="none"/>
        </w:rPr>
        <w:t>申报单位：（盖章）</w:t>
      </w:r>
    </w:p>
    <w:p>
      <w:pPr>
        <w:spacing w:line="400" w:lineRule="exact"/>
        <w:jc w:val="right"/>
        <w:rPr>
          <w:rFonts w:ascii="宋体" w:hAnsi="宋体"/>
          <w:color w:val="auto"/>
          <w:szCs w:val="21"/>
          <w:highlight w:val="none"/>
        </w:rPr>
      </w:pPr>
      <w:r>
        <w:rPr>
          <w:rFonts w:ascii="宋体" w:hAnsi="宋体"/>
          <w:color w:val="auto"/>
          <w:szCs w:val="21"/>
          <w:highlight w:val="none"/>
        </w:rPr>
        <w:t>日期：     年   月 　日</w:t>
      </w:r>
    </w:p>
    <w:p>
      <w:pPr>
        <w:pStyle w:val="45"/>
        <w:ind w:firstLine="0" w:firstLineChars="0"/>
        <w:jc w:val="center"/>
        <w:rPr>
          <w:b/>
          <w:color w:val="auto"/>
          <w:sz w:val="24"/>
          <w:highlight w:val="none"/>
        </w:rPr>
      </w:pPr>
    </w:p>
    <w:p>
      <w:pPr>
        <w:spacing w:before="120" w:beforeLines="50" w:after="120" w:afterLines="50" w:line="400" w:lineRule="exact"/>
        <w:jc w:val="center"/>
        <w:outlineLvl w:val="2"/>
        <w:rPr>
          <w:b/>
          <w:color w:val="auto"/>
          <w:sz w:val="24"/>
          <w:highlight w:val="none"/>
        </w:rPr>
        <w:sectPr>
          <w:pgSz w:w="11906" w:h="16838"/>
          <w:pgMar w:top="1440" w:right="1797" w:bottom="1440" w:left="1797" w:header="851" w:footer="992" w:gutter="0"/>
          <w:cols w:space="425" w:num="1"/>
          <w:docGrid w:linePitch="312" w:charSpace="0"/>
        </w:sectPr>
      </w:pPr>
    </w:p>
    <w:p>
      <w:pPr>
        <w:spacing w:before="120" w:beforeLines="50" w:after="120" w:afterLines="50" w:line="400" w:lineRule="exact"/>
        <w:jc w:val="center"/>
        <w:outlineLvl w:val="2"/>
        <w:rPr>
          <w:b/>
          <w:color w:val="auto"/>
          <w:sz w:val="24"/>
          <w:highlight w:val="none"/>
        </w:rPr>
      </w:pPr>
      <w:bookmarkStart w:id="714" w:name="_Toc17202848"/>
      <w:r>
        <w:rPr>
          <w:rFonts w:hint="eastAsia"/>
          <w:b/>
          <w:color w:val="auto"/>
          <w:sz w:val="24"/>
          <w:highlight w:val="none"/>
        </w:rPr>
        <w:t>（五）参选人控股及管理关系情况申报表</w:t>
      </w:r>
      <w:bookmarkEnd w:id="714"/>
    </w:p>
    <w:p>
      <w:pPr>
        <w:pStyle w:val="45"/>
        <w:spacing w:line="400" w:lineRule="exact"/>
        <w:ind w:firstLine="0" w:firstLineChars="0"/>
        <w:rPr>
          <w:rFonts w:ascii="宋体" w:hAnsi="宋体"/>
          <w:b/>
          <w:color w:val="auto"/>
          <w:highlight w:val="none"/>
        </w:rPr>
      </w:pPr>
      <w:r>
        <w:rPr>
          <w:rFonts w:hint="eastAsia" w:ascii="宋体" w:hAnsi="宋体"/>
          <w:b/>
          <w:color w:val="auto"/>
          <w:highlight w:val="none"/>
        </w:rPr>
        <w:t>请按“（四）信誉情况申报表”的要求提供国家企业信用信息公示系统“股东及出资信息”</w:t>
      </w:r>
      <w:r>
        <w:rPr>
          <w:rFonts w:ascii="宋体" w:hAnsi="宋体"/>
          <w:b/>
          <w:color w:val="auto"/>
          <w:highlight w:val="none"/>
        </w:rPr>
        <w:t xml:space="preserve"> </w:t>
      </w:r>
      <w:r>
        <w:rPr>
          <w:rFonts w:hint="eastAsia" w:ascii="宋体" w:hAnsi="宋体"/>
          <w:b/>
          <w:color w:val="auto"/>
          <w:highlight w:val="none"/>
        </w:rPr>
        <w:t>查询结果的截屏记录。</w:t>
      </w:r>
    </w:p>
    <w:p>
      <w:pPr>
        <w:pStyle w:val="45"/>
        <w:spacing w:line="400" w:lineRule="exact"/>
        <w:ind w:firstLine="0" w:firstLineChars="0"/>
        <w:rPr>
          <w:rFonts w:ascii="宋体" w:hAnsi="宋体"/>
          <w:b/>
          <w:color w:val="auto"/>
          <w:highlight w:val="none"/>
        </w:rPr>
      </w:pPr>
      <w:r>
        <w:rPr>
          <w:rFonts w:hint="eastAsia" w:ascii="宋体" w:hAnsi="宋体"/>
          <w:b/>
          <w:color w:val="auto"/>
          <w:highlight w:val="none"/>
        </w:rPr>
        <w:t>评审时将通过全国企业信用信息公示系统查证股东</w:t>
      </w:r>
      <w:r>
        <w:rPr>
          <w:rFonts w:ascii="宋体" w:hAnsi="宋体"/>
          <w:b/>
          <w:color w:val="auto"/>
          <w:highlight w:val="none"/>
        </w:rPr>
        <w:t>/投资人信息，如以上申报的信息在全国企业信用信息公示系统中未及时更新，以本申报表为准，并请将具体原因填写至表内“备注”栏内，如有其他证明材料的，可另附。</w:t>
      </w:r>
    </w:p>
    <w:p>
      <w:pPr>
        <w:pStyle w:val="45"/>
        <w:ind w:firstLine="0" w:firstLineChars="0"/>
        <w:rPr>
          <w:rFonts w:ascii="宋体" w:hAnsi="宋体"/>
          <w:b/>
          <w:color w:val="auto"/>
          <w:sz w:val="24"/>
          <w:highlight w:val="none"/>
        </w:rPr>
      </w:pPr>
    </w:p>
    <w:p>
      <w:pPr>
        <w:pStyle w:val="45"/>
        <w:ind w:firstLine="0" w:firstLineChars="0"/>
        <w:jc w:val="center"/>
        <w:rPr>
          <w:rFonts w:ascii="宋体" w:hAnsi="宋体" w:cs="宋体"/>
          <w:b/>
          <w:color w:val="auto"/>
          <w:sz w:val="24"/>
          <w:highlight w:val="none"/>
        </w:rPr>
      </w:pPr>
      <w:r>
        <w:rPr>
          <w:rFonts w:hint="eastAsia" w:ascii="宋体" w:hAnsi="宋体"/>
          <w:b/>
          <w:color w:val="auto"/>
          <w:sz w:val="24"/>
          <w:highlight w:val="none"/>
        </w:rPr>
        <w:t>参选人控股及管理关系情况申报表</w:t>
      </w:r>
    </w:p>
    <w:p>
      <w:pPr>
        <w:adjustRightInd w:val="0"/>
        <w:snapToGrid w:val="0"/>
        <w:spacing w:line="400" w:lineRule="exact"/>
        <w:rPr>
          <w:rFonts w:ascii="宋体" w:hAnsi="宋体"/>
          <w:color w:val="auto"/>
          <w:highlight w:val="none"/>
        </w:rPr>
      </w:pPr>
      <w:r>
        <w:rPr>
          <w:rFonts w:hint="eastAsia" w:ascii="宋体" w:hAnsi="宋体"/>
          <w:color w:val="auto"/>
          <w:highlight w:val="none"/>
        </w:rPr>
        <w:t>致：</w:t>
      </w:r>
      <w:r>
        <w:rPr>
          <w:rFonts w:hint="eastAsia" w:ascii="宋体" w:hAnsi="宋体"/>
          <w:bCs/>
          <w:color w:val="auto"/>
          <w:szCs w:val="21"/>
          <w:highlight w:val="none"/>
          <w:u w:val="single"/>
        </w:rPr>
        <w:t>XX公司[比选人名称]</w:t>
      </w:r>
      <w:r>
        <w:rPr>
          <w:rFonts w:hint="eastAsia" w:ascii="宋体" w:hAnsi="宋体"/>
          <w:color w:val="auto"/>
          <w:highlight w:val="none"/>
        </w:rPr>
        <w:t>：</w:t>
      </w:r>
    </w:p>
    <w:p>
      <w:pPr>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我方参加</w:t>
      </w:r>
      <w:r>
        <w:rPr>
          <w:rFonts w:hint="eastAsia" w:ascii="宋体" w:hAnsi="宋体"/>
          <w:color w:val="auto"/>
          <w:highlight w:val="none"/>
          <w:u w:val="single"/>
        </w:rPr>
        <w:t>XX</w:t>
      </w:r>
      <w:r>
        <w:rPr>
          <w:rFonts w:hint="eastAsia" w:ascii="宋体" w:hAnsi="宋体"/>
          <w:color w:val="auto"/>
          <w:szCs w:val="21"/>
          <w:highlight w:val="none"/>
          <w:u w:val="single"/>
        </w:rPr>
        <w:t>项目[</w:t>
      </w:r>
      <w:r>
        <w:rPr>
          <w:rFonts w:hint="eastAsia" w:ascii="宋体" w:hAnsi="宋体"/>
          <w:bCs/>
          <w:color w:val="auto"/>
          <w:szCs w:val="21"/>
          <w:highlight w:val="none"/>
          <w:u w:val="single"/>
        </w:rPr>
        <w:t>比选</w:t>
      </w:r>
      <w:r>
        <w:rPr>
          <w:rFonts w:ascii="宋体" w:hAnsi="宋体"/>
          <w:bCs/>
          <w:color w:val="auto"/>
          <w:szCs w:val="21"/>
          <w:highlight w:val="none"/>
          <w:u w:val="single"/>
        </w:rPr>
        <w:t>项目名称</w:t>
      </w:r>
      <w:r>
        <w:rPr>
          <w:rFonts w:hint="eastAsia" w:ascii="宋体" w:hAnsi="宋体"/>
          <w:color w:val="auto"/>
          <w:szCs w:val="21"/>
          <w:highlight w:val="none"/>
          <w:u w:val="single"/>
        </w:rPr>
        <w:t>]</w:t>
      </w:r>
      <w:r>
        <w:rPr>
          <w:rFonts w:hint="eastAsia" w:ascii="宋体" w:hAnsi="宋体"/>
          <w:color w:val="auto"/>
          <w:highlight w:val="none"/>
          <w:u w:val="single"/>
        </w:rPr>
        <w:t>XX</w:t>
      </w:r>
      <w:r>
        <w:rPr>
          <w:rFonts w:ascii="宋体" w:hAnsi="宋体"/>
          <w:color w:val="auto"/>
          <w:szCs w:val="21"/>
          <w:highlight w:val="none"/>
          <w:u w:val="single"/>
        </w:rPr>
        <w:t>标段</w:t>
      </w:r>
      <w:r>
        <w:rPr>
          <w:rFonts w:hint="eastAsia" w:ascii="宋体" w:hAnsi="宋体"/>
          <w:color w:val="auto"/>
          <w:szCs w:val="21"/>
          <w:highlight w:val="none"/>
          <w:u w:val="single"/>
        </w:rPr>
        <w:t>[标段名称]</w:t>
      </w:r>
      <w:r>
        <w:rPr>
          <w:rFonts w:hint="eastAsia" w:ascii="宋体" w:hAnsi="宋体"/>
          <w:color w:val="auto"/>
          <w:highlight w:val="none"/>
        </w:rPr>
        <w:t>的参选，根据法律法规维护参选公正性的相关规定，特就本单位控股及管理关系情况申报如下，并承担申报不实的责任。</w:t>
      </w:r>
    </w:p>
    <w:tbl>
      <w:tblPr>
        <w:tblStyle w:val="37"/>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57"/>
        <w:gridCol w:w="1027"/>
        <w:gridCol w:w="1417"/>
        <w:gridCol w:w="1273"/>
        <w:gridCol w:w="64"/>
        <w:gridCol w:w="20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tcBorders>
              <w:top w:val="single" w:color="auto" w:sz="4" w:space="0"/>
              <w:left w:val="single" w:color="auto" w:sz="4" w:space="0"/>
              <w:bottom w:val="single" w:color="auto" w:sz="4" w:space="0"/>
              <w:right w:val="single" w:color="auto" w:sz="4" w:space="0"/>
            </w:tcBorders>
            <w:vAlign w:val="center"/>
          </w:tcPr>
          <w:p>
            <w:pPr>
              <w:jc w:val="center"/>
              <w:rPr>
                <w:b/>
                <w:color w:val="auto"/>
                <w:kern w:val="0"/>
                <w:sz w:val="22"/>
                <w:szCs w:val="22"/>
                <w:highlight w:val="none"/>
                <w:lang w:eastAsia="en-US"/>
              </w:rPr>
            </w:pPr>
            <w:r>
              <w:rPr>
                <w:rFonts w:hint="eastAsia" w:ascii="宋体" w:hAnsi="宋体" w:cs="宋体"/>
                <w:b/>
                <w:color w:val="auto"/>
                <w:kern w:val="0"/>
                <w:sz w:val="22"/>
                <w:szCs w:val="22"/>
                <w:highlight w:val="none"/>
                <w:lang w:eastAsia="en-US"/>
              </w:rPr>
              <w:t>申报人名称</w:t>
            </w:r>
          </w:p>
        </w:tc>
        <w:tc>
          <w:tcPr>
            <w:tcW w:w="5865" w:type="dxa"/>
            <w:gridSpan w:val="5"/>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restart"/>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rPr>
            </w:pPr>
            <w:r>
              <w:rPr>
                <w:rFonts w:hint="eastAsia" w:ascii="宋体" w:hAnsi="宋体" w:cs="宋体"/>
                <w:b/>
                <w:color w:val="auto"/>
                <w:kern w:val="0"/>
                <w:sz w:val="22"/>
                <w:szCs w:val="22"/>
                <w:highlight w:val="none"/>
              </w:rPr>
              <w:t>法定代表人</w:t>
            </w:r>
            <w:r>
              <w:rPr>
                <w:rFonts w:ascii="宋体" w:hAnsi="宋体" w:cs="宋体"/>
                <w:b/>
                <w:color w:val="auto"/>
                <w:kern w:val="0"/>
                <w:sz w:val="22"/>
                <w:szCs w:val="22"/>
                <w:highlight w:val="none"/>
              </w:rPr>
              <w:t>/</w:t>
            </w:r>
            <w:r>
              <w:rPr>
                <w:rFonts w:hint="eastAsia" w:ascii="宋体" w:hAnsi="宋体" w:cs="宋体"/>
                <w:b/>
                <w:color w:val="auto"/>
                <w:kern w:val="0"/>
                <w:sz w:val="22"/>
                <w:szCs w:val="22"/>
                <w:highlight w:val="none"/>
              </w:rPr>
              <w:t>单位负责人（必填）</w:t>
            </w: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姓</w:t>
            </w:r>
            <w:r>
              <w:rPr>
                <w:rFonts w:ascii="宋体" w:hAnsi="宋体" w:cs="宋体"/>
                <w:b/>
                <w:color w:val="auto"/>
                <w:kern w:val="0"/>
                <w:sz w:val="22"/>
                <w:szCs w:val="22"/>
                <w:highlight w:val="none"/>
                <w:lang w:eastAsia="en-US"/>
              </w:rPr>
              <w:t xml:space="preserve">    </w:t>
            </w:r>
            <w:r>
              <w:rPr>
                <w:rFonts w:hint="eastAsia" w:ascii="宋体" w:hAnsi="宋体" w:cs="宋体"/>
                <w:b/>
                <w:color w:val="auto"/>
                <w:kern w:val="0"/>
                <w:sz w:val="22"/>
                <w:szCs w:val="22"/>
                <w:highlight w:val="none"/>
                <w:lang w:eastAsia="en-US"/>
              </w:rPr>
              <w:t>名</w:t>
            </w: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highlight w:val="none"/>
                <w:lang w:eastAsia="en-US"/>
              </w:rPr>
            </w:pP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身份证号</w:t>
            </w: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restart"/>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rPr>
            </w:pPr>
            <w:r>
              <w:rPr>
                <w:rFonts w:hint="eastAsia" w:ascii="宋体" w:hAnsi="宋体" w:cs="宋体"/>
                <w:b/>
                <w:color w:val="auto"/>
                <w:kern w:val="0"/>
                <w:sz w:val="22"/>
                <w:szCs w:val="22"/>
                <w:highlight w:val="none"/>
              </w:rPr>
              <w:t>控股股东</w:t>
            </w:r>
            <w:r>
              <w:rPr>
                <w:rFonts w:ascii="宋体" w:hAnsi="宋体" w:cs="宋体"/>
                <w:b/>
                <w:color w:val="auto"/>
                <w:kern w:val="0"/>
                <w:sz w:val="22"/>
                <w:szCs w:val="22"/>
                <w:highlight w:val="none"/>
              </w:rPr>
              <w:t>/</w:t>
            </w:r>
            <w:r>
              <w:rPr>
                <w:rFonts w:hint="eastAsia" w:ascii="宋体" w:hAnsi="宋体" w:cs="宋体"/>
                <w:b/>
                <w:color w:val="auto"/>
                <w:kern w:val="0"/>
                <w:sz w:val="22"/>
                <w:szCs w:val="22"/>
                <w:highlight w:val="none"/>
              </w:rPr>
              <w:t>投资人名称</w:t>
            </w:r>
          </w:p>
          <w:p>
            <w:pPr>
              <w:jc w:val="center"/>
              <w:rPr>
                <w:rFonts w:ascii="宋体" w:hAnsi="宋体" w:cs="宋体"/>
                <w:b/>
                <w:color w:val="auto"/>
                <w:kern w:val="0"/>
                <w:sz w:val="22"/>
                <w:szCs w:val="22"/>
                <w:highlight w:val="none"/>
              </w:rPr>
            </w:pPr>
            <w:r>
              <w:rPr>
                <w:rFonts w:hint="eastAsia" w:ascii="宋体" w:hAnsi="宋体" w:cs="宋体"/>
                <w:b/>
                <w:color w:val="auto"/>
                <w:kern w:val="0"/>
                <w:sz w:val="22"/>
                <w:szCs w:val="22"/>
                <w:highlight w:val="none"/>
              </w:rPr>
              <w:t>及出资比例（必填）</w:t>
            </w: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姓名（自然人）</w:t>
            </w:r>
          </w:p>
        </w:tc>
        <w:tc>
          <w:tcPr>
            <w:tcW w:w="1273"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身份证号</w:t>
            </w:r>
          </w:p>
        </w:tc>
        <w:tc>
          <w:tcPr>
            <w:tcW w:w="2148"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出资比例（</w:t>
            </w:r>
            <w:r>
              <w:rPr>
                <w:rFonts w:ascii="宋体" w:hAnsi="宋体" w:cs="宋体"/>
                <w:b/>
                <w:color w:val="auto"/>
                <w:kern w:val="0"/>
                <w:sz w:val="22"/>
                <w:szCs w:val="22"/>
                <w:highlight w:val="none"/>
                <w:lang w:eastAsia="en-US"/>
              </w:rPr>
              <w:t>%</w:t>
            </w:r>
            <w:r>
              <w:rPr>
                <w:rFonts w:hint="eastAsia" w:ascii="宋体" w:hAnsi="宋体" w:cs="宋体"/>
                <w:b/>
                <w:color w:val="auto"/>
                <w:kern w:val="0"/>
                <w:sz w:val="22"/>
                <w:szCs w:val="22"/>
                <w:highlight w:val="none"/>
                <w:lang w:eastAsia="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kern w:val="0"/>
                <w:sz w:val="22"/>
                <w:szCs w:val="22"/>
                <w:highlight w:val="none"/>
                <w:lang w:eastAsia="en-US"/>
              </w:rPr>
            </w:pP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c>
          <w:tcPr>
            <w:tcW w:w="1273"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c>
          <w:tcPr>
            <w:tcW w:w="2148"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highlight w:val="none"/>
                <w:lang w:eastAsia="en-US"/>
              </w:rPr>
            </w:pP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ascii="宋体" w:hAnsi="宋体" w:cs="宋体"/>
                <w:b/>
                <w:color w:val="auto"/>
                <w:kern w:val="0"/>
                <w:sz w:val="22"/>
                <w:szCs w:val="22"/>
                <w:highlight w:val="none"/>
                <w:lang w:eastAsia="en-US"/>
              </w:rPr>
              <w:t>…</w:t>
            </w:r>
          </w:p>
        </w:tc>
        <w:tc>
          <w:tcPr>
            <w:tcW w:w="1273"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ascii="宋体" w:hAnsi="宋体" w:cs="宋体"/>
                <w:b/>
                <w:color w:val="auto"/>
                <w:kern w:val="0"/>
                <w:sz w:val="22"/>
                <w:szCs w:val="22"/>
                <w:highlight w:val="none"/>
                <w:lang w:eastAsia="en-US"/>
              </w:rPr>
              <w:t>…</w:t>
            </w:r>
          </w:p>
        </w:tc>
        <w:tc>
          <w:tcPr>
            <w:tcW w:w="2148"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ascii="宋体" w:hAnsi="宋体" w:cs="宋体"/>
                <w:b/>
                <w:color w:val="auto"/>
                <w:kern w:val="0"/>
                <w:sz w:val="22"/>
                <w:szCs w:val="22"/>
                <w:highlight w:val="none"/>
                <w:lang w:eastAsia="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highlight w:val="none"/>
                <w:lang w:eastAsia="en-US"/>
              </w:rPr>
            </w:pP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名称（非自然人）</w:t>
            </w: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出资比例（</w:t>
            </w:r>
            <w:r>
              <w:rPr>
                <w:rFonts w:ascii="宋体" w:hAnsi="宋体" w:cs="宋体"/>
                <w:b/>
                <w:color w:val="auto"/>
                <w:kern w:val="0"/>
                <w:sz w:val="22"/>
                <w:szCs w:val="22"/>
                <w:highlight w:val="none"/>
                <w:lang w:eastAsia="en-US"/>
              </w:rPr>
              <w:t>%</w:t>
            </w:r>
            <w:r>
              <w:rPr>
                <w:rFonts w:hint="eastAsia" w:ascii="宋体" w:hAnsi="宋体" w:cs="宋体"/>
                <w:b/>
                <w:color w:val="auto"/>
                <w:kern w:val="0"/>
                <w:sz w:val="22"/>
                <w:szCs w:val="22"/>
                <w:highlight w:val="none"/>
                <w:lang w:eastAsia="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kern w:val="0"/>
                <w:sz w:val="22"/>
                <w:szCs w:val="22"/>
                <w:highlight w:val="none"/>
                <w:lang w:eastAsia="en-US"/>
              </w:rPr>
            </w:pP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highlight w:val="none"/>
                <w:lang w:eastAsia="en-US"/>
              </w:rPr>
            </w:pP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ascii="宋体" w:hAnsi="宋体" w:cs="宋体"/>
                <w:b/>
                <w:color w:val="auto"/>
                <w:kern w:val="0"/>
                <w:sz w:val="22"/>
                <w:szCs w:val="22"/>
                <w:highlight w:val="none"/>
                <w:lang w:eastAsia="en-US"/>
              </w:rPr>
              <w:t>…</w:t>
            </w: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ascii="宋体" w:hAnsi="宋体" w:cs="宋体"/>
                <w:b/>
                <w:color w:val="auto"/>
                <w:kern w:val="0"/>
                <w:sz w:val="22"/>
                <w:szCs w:val="22"/>
                <w:highlight w:val="none"/>
                <w:lang w:eastAsia="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restart"/>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rPr>
            </w:pPr>
            <w:r>
              <w:rPr>
                <w:rFonts w:hint="eastAsia" w:ascii="宋体" w:hAnsi="宋体" w:cs="宋体"/>
                <w:b/>
                <w:color w:val="auto"/>
                <w:kern w:val="0"/>
                <w:sz w:val="22"/>
                <w:szCs w:val="22"/>
                <w:highlight w:val="none"/>
              </w:rPr>
              <w:t>非控股股东</w:t>
            </w:r>
            <w:r>
              <w:rPr>
                <w:rFonts w:ascii="宋体" w:hAnsi="宋体" w:cs="宋体"/>
                <w:b/>
                <w:color w:val="auto"/>
                <w:kern w:val="0"/>
                <w:sz w:val="22"/>
                <w:szCs w:val="22"/>
                <w:highlight w:val="none"/>
              </w:rPr>
              <w:t>/</w:t>
            </w:r>
            <w:r>
              <w:rPr>
                <w:rFonts w:hint="eastAsia" w:ascii="宋体" w:hAnsi="宋体" w:cs="宋体"/>
                <w:b/>
                <w:color w:val="auto"/>
                <w:kern w:val="0"/>
                <w:sz w:val="22"/>
                <w:szCs w:val="22"/>
                <w:highlight w:val="none"/>
              </w:rPr>
              <w:t>投资人名称</w:t>
            </w:r>
          </w:p>
          <w:p>
            <w:pPr>
              <w:jc w:val="center"/>
              <w:rPr>
                <w:rFonts w:ascii="宋体" w:hAnsi="宋体" w:cs="宋体"/>
                <w:b/>
                <w:color w:val="auto"/>
                <w:kern w:val="0"/>
                <w:sz w:val="22"/>
                <w:szCs w:val="22"/>
                <w:highlight w:val="none"/>
              </w:rPr>
            </w:pPr>
            <w:r>
              <w:rPr>
                <w:rFonts w:hint="eastAsia" w:ascii="宋体" w:hAnsi="宋体" w:cs="宋体"/>
                <w:b/>
                <w:color w:val="auto"/>
                <w:kern w:val="0"/>
                <w:sz w:val="22"/>
                <w:szCs w:val="22"/>
                <w:highlight w:val="none"/>
              </w:rPr>
              <w:t>及出资比例（必填）</w:t>
            </w: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姓名（自然人）</w:t>
            </w:r>
          </w:p>
        </w:tc>
        <w:tc>
          <w:tcPr>
            <w:tcW w:w="1337"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身份证号</w:t>
            </w:r>
          </w:p>
        </w:tc>
        <w:tc>
          <w:tcPr>
            <w:tcW w:w="208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出资比例（</w:t>
            </w:r>
            <w:r>
              <w:rPr>
                <w:rFonts w:ascii="宋体" w:hAnsi="宋体" w:cs="宋体"/>
                <w:b/>
                <w:color w:val="auto"/>
                <w:kern w:val="0"/>
                <w:sz w:val="22"/>
                <w:szCs w:val="22"/>
                <w:highlight w:val="none"/>
                <w:lang w:eastAsia="en-US"/>
              </w:rPr>
              <w:t>%</w:t>
            </w:r>
            <w:r>
              <w:rPr>
                <w:rFonts w:hint="eastAsia" w:ascii="宋体" w:hAnsi="宋体" w:cs="宋体"/>
                <w:b/>
                <w:color w:val="auto"/>
                <w:kern w:val="0"/>
                <w:sz w:val="22"/>
                <w:szCs w:val="22"/>
                <w:highlight w:val="none"/>
                <w:lang w:eastAsia="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kern w:val="0"/>
                <w:sz w:val="22"/>
                <w:szCs w:val="22"/>
                <w:highlight w:val="none"/>
                <w:lang w:eastAsia="en-US"/>
              </w:rPr>
            </w:pP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c>
          <w:tcPr>
            <w:tcW w:w="1337"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c>
          <w:tcPr>
            <w:tcW w:w="208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highlight w:val="none"/>
                <w:lang w:eastAsia="en-US"/>
              </w:rPr>
            </w:pP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ascii="宋体" w:hAnsi="宋体" w:cs="宋体"/>
                <w:b/>
                <w:color w:val="auto"/>
                <w:kern w:val="0"/>
                <w:sz w:val="22"/>
                <w:szCs w:val="22"/>
                <w:highlight w:val="none"/>
                <w:lang w:eastAsia="en-US"/>
              </w:rPr>
              <w:t>…</w:t>
            </w:r>
          </w:p>
        </w:tc>
        <w:tc>
          <w:tcPr>
            <w:tcW w:w="1337"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ascii="宋体" w:hAnsi="宋体" w:cs="宋体"/>
                <w:b/>
                <w:color w:val="auto"/>
                <w:kern w:val="0"/>
                <w:sz w:val="22"/>
                <w:szCs w:val="22"/>
                <w:highlight w:val="none"/>
                <w:lang w:eastAsia="en-US"/>
              </w:rPr>
              <w:t>…</w:t>
            </w:r>
          </w:p>
        </w:tc>
        <w:tc>
          <w:tcPr>
            <w:tcW w:w="208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ascii="宋体" w:hAnsi="宋体" w:cs="宋体"/>
                <w:b/>
                <w:color w:val="auto"/>
                <w:kern w:val="0"/>
                <w:sz w:val="22"/>
                <w:szCs w:val="22"/>
                <w:highlight w:val="none"/>
                <w:lang w:eastAsia="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highlight w:val="none"/>
                <w:lang w:eastAsia="en-US"/>
              </w:rPr>
            </w:pP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名称（非自然人）</w:t>
            </w: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出资比例（</w:t>
            </w:r>
            <w:r>
              <w:rPr>
                <w:rFonts w:ascii="宋体" w:hAnsi="宋体" w:cs="宋体"/>
                <w:b/>
                <w:color w:val="auto"/>
                <w:kern w:val="0"/>
                <w:sz w:val="22"/>
                <w:szCs w:val="22"/>
                <w:highlight w:val="none"/>
                <w:lang w:eastAsia="en-US"/>
              </w:rPr>
              <w:t>%</w:t>
            </w:r>
            <w:r>
              <w:rPr>
                <w:rFonts w:hint="eastAsia" w:ascii="宋体" w:hAnsi="宋体" w:cs="宋体"/>
                <w:b/>
                <w:color w:val="auto"/>
                <w:kern w:val="0"/>
                <w:sz w:val="22"/>
                <w:szCs w:val="22"/>
                <w:highlight w:val="none"/>
                <w:lang w:eastAsia="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kern w:val="0"/>
                <w:sz w:val="22"/>
                <w:szCs w:val="22"/>
                <w:highlight w:val="none"/>
                <w:lang w:eastAsia="en-US"/>
              </w:rPr>
            </w:pP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highlight w:val="none"/>
                <w:lang w:eastAsia="en-US"/>
              </w:rPr>
            </w:pP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ascii="宋体" w:hAnsi="宋体" w:cs="宋体"/>
                <w:b/>
                <w:color w:val="auto"/>
                <w:kern w:val="0"/>
                <w:sz w:val="22"/>
                <w:szCs w:val="22"/>
                <w:highlight w:val="none"/>
                <w:lang w:eastAsia="en-US"/>
              </w:rPr>
              <w:t>…</w:t>
            </w: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ascii="宋体" w:hAnsi="宋体" w:cs="宋体"/>
                <w:b/>
                <w:color w:val="auto"/>
                <w:kern w:val="0"/>
                <w:sz w:val="22"/>
                <w:szCs w:val="22"/>
                <w:highlight w:val="none"/>
                <w:lang w:eastAsia="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restart"/>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rPr>
            </w:pPr>
            <w:r>
              <w:rPr>
                <w:rFonts w:hint="eastAsia" w:ascii="宋体" w:hAnsi="宋体" w:cs="宋体"/>
                <w:b/>
                <w:color w:val="auto"/>
                <w:kern w:val="0"/>
                <w:sz w:val="22"/>
                <w:szCs w:val="22"/>
                <w:highlight w:val="none"/>
              </w:rPr>
              <w:t>工商系统注册的高级管理人员（必填）</w:t>
            </w:r>
          </w:p>
        </w:tc>
        <w:tc>
          <w:tcPr>
            <w:tcW w:w="1027"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rPr>
              <w:t>职务</w:t>
            </w:r>
          </w:p>
        </w:tc>
        <w:tc>
          <w:tcPr>
            <w:tcW w:w="1417"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姓名（自然人）</w:t>
            </w: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身份证号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kern w:val="0"/>
                <w:sz w:val="22"/>
                <w:szCs w:val="22"/>
                <w:highlight w:val="none"/>
                <w:lang w:eastAsia="en-US"/>
              </w:rPr>
            </w:pPr>
          </w:p>
        </w:tc>
        <w:tc>
          <w:tcPr>
            <w:tcW w:w="1027"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color w:val="auto"/>
                <w:kern w:val="0"/>
                <w:sz w:val="22"/>
                <w:szCs w:val="22"/>
                <w:highlight w:val="none"/>
                <w:lang w:eastAsia="en-US"/>
              </w:rPr>
            </w:pPr>
            <w:r>
              <w:rPr>
                <w:rFonts w:hint="eastAsia" w:ascii="宋体" w:hAnsi="宋体" w:cs="宋体"/>
                <w:color w:val="auto"/>
                <w:kern w:val="0"/>
                <w:sz w:val="22"/>
                <w:szCs w:val="22"/>
                <w:highlight w:val="none"/>
                <w:lang w:eastAsia="en-US"/>
              </w:rPr>
              <w:t>董事</w:t>
            </w:r>
          </w:p>
        </w:tc>
        <w:tc>
          <w:tcPr>
            <w:tcW w:w="1417"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kern w:val="0"/>
                <w:sz w:val="22"/>
                <w:szCs w:val="22"/>
                <w:highlight w:val="none"/>
                <w:lang w:eastAsia="en-US"/>
              </w:rPr>
            </w:pPr>
          </w:p>
        </w:tc>
        <w:tc>
          <w:tcPr>
            <w:tcW w:w="1027"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color w:val="auto"/>
                <w:kern w:val="0"/>
                <w:sz w:val="22"/>
                <w:szCs w:val="22"/>
                <w:highlight w:val="none"/>
                <w:lang w:eastAsia="en-US"/>
              </w:rPr>
            </w:pPr>
            <w:r>
              <w:rPr>
                <w:rFonts w:hint="eastAsia" w:ascii="宋体" w:hAnsi="宋体" w:cs="宋体"/>
                <w:color w:val="auto"/>
                <w:kern w:val="0"/>
                <w:sz w:val="22"/>
                <w:szCs w:val="22"/>
                <w:highlight w:val="none"/>
                <w:lang w:eastAsia="en-US"/>
              </w:rPr>
              <w:t>监事</w:t>
            </w:r>
          </w:p>
        </w:tc>
        <w:tc>
          <w:tcPr>
            <w:tcW w:w="1417"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highlight w:val="none"/>
                <w:lang w:eastAsia="en-US"/>
              </w:rPr>
            </w:pPr>
          </w:p>
        </w:tc>
        <w:tc>
          <w:tcPr>
            <w:tcW w:w="1027"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color w:val="auto"/>
                <w:kern w:val="0"/>
                <w:sz w:val="22"/>
                <w:szCs w:val="22"/>
                <w:highlight w:val="none"/>
                <w:lang w:eastAsia="en-US"/>
              </w:rPr>
            </w:pPr>
            <w:r>
              <w:rPr>
                <w:rFonts w:ascii="宋体" w:hAnsi="宋体" w:cs="宋体"/>
                <w:b/>
                <w:color w:val="auto"/>
                <w:kern w:val="0"/>
                <w:sz w:val="22"/>
                <w:szCs w:val="22"/>
                <w:highlight w:val="none"/>
                <w:lang w:eastAsia="en-US"/>
              </w:rPr>
              <w:t>…</w:t>
            </w:r>
          </w:p>
        </w:tc>
        <w:tc>
          <w:tcPr>
            <w:tcW w:w="1417"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ascii="宋体" w:hAnsi="宋体" w:cs="宋体"/>
                <w:b/>
                <w:color w:val="auto"/>
                <w:kern w:val="0"/>
                <w:sz w:val="22"/>
                <w:szCs w:val="22"/>
                <w:highlight w:val="none"/>
                <w:lang w:eastAsia="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restart"/>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rPr>
            </w:pPr>
            <w:r>
              <w:rPr>
                <w:rFonts w:hint="eastAsia" w:ascii="宋体" w:hAnsi="宋体" w:cs="宋体"/>
                <w:b/>
                <w:color w:val="auto"/>
                <w:kern w:val="0"/>
                <w:sz w:val="22"/>
                <w:szCs w:val="22"/>
                <w:highlight w:val="none"/>
              </w:rPr>
              <w:t>管理关系单位名称（必填）</w:t>
            </w: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管理关系单位名称</w:t>
            </w: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cs="宋体"/>
                <w:b/>
                <w:color w:val="auto"/>
                <w:highlight w:val="none"/>
                <w:lang w:eastAsia="en-US"/>
              </w:rPr>
            </w:pPr>
          </w:p>
        </w:tc>
        <w:tc>
          <w:tcPr>
            <w:tcW w:w="2444" w:type="dxa"/>
            <w:gridSpan w:val="2"/>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被管理关系单位名称</w:t>
            </w:r>
          </w:p>
        </w:tc>
        <w:tc>
          <w:tcPr>
            <w:tcW w:w="3421" w:type="dxa"/>
            <w:gridSpan w:val="3"/>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7"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r>
              <w:rPr>
                <w:rFonts w:hint="eastAsia" w:ascii="宋体" w:hAnsi="宋体" w:cs="宋体"/>
                <w:b/>
                <w:color w:val="auto"/>
                <w:kern w:val="0"/>
                <w:sz w:val="22"/>
                <w:szCs w:val="22"/>
                <w:highlight w:val="none"/>
                <w:lang w:eastAsia="en-US"/>
              </w:rPr>
              <w:t>备注</w:t>
            </w:r>
          </w:p>
        </w:tc>
        <w:tc>
          <w:tcPr>
            <w:tcW w:w="5865" w:type="dxa"/>
            <w:gridSpan w:val="5"/>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color w:val="auto"/>
                <w:kern w:val="0"/>
                <w:sz w:val="22"/>
                <w:szCs w:val="22"/>
                <w:highlight w:val="none"/>
                <w:lang w:eastAsia="en-US"/>
              </w:rPr>
            </w:pPr>
          </w:p>
        </w:tc>
      </w:tr>
    </w:tbl>
    <w:p>
      <w:pPr>
        <w:adjustRightInd w:val="0"/>
        <w:snapToGrid w:val="0"/>
        <w:spacing w:line="440" w:lineRule="exact"/>
        <w:rPr>
          <w:rFonts w:ascii="宋体" w:hAnsi="宋体"/>
          <w:color w:val="auto"/>
          <w:highlight w:val="none"/>
        </w:rPr>
      </w:pPr>
    </w:p>
    <w:p>
      <w:pPr>
        <w:adjustRightInd w:val="0"/>
        <w:snapToGrid w:val="0"/>
        <w:spacing w:line="400" w:lineRule="exact"/>
        <w:rPr>
          <w:rFonts w:ascii="宋体" w:hAnsi="宋体"/>
          <w:color w:val="auto"/>
          <w:highlight w:val="none"/>
        </w:rPr>
      </w:pPr>
      <w:r>
        <w:rPr>
          <w:rFonts w:hint="eastAsia" w:ascii="宋体" w:hAnsi="宋体"/>
          <w:color w:val="auto"/>
          <w:highlight w:val="none"/>
        </w:rPr>
        <w:t>注：</w:t>
      </w:r>
    </w:p>
    <w:p>
      <w:pPr>
        <w:pStyle w:val="78"/>
        <w:numPr>
          <w:ilvl w:val="3"/>
          <w:numId w:val="25"/>
        </w:numPr>
        <w:adjustRightInd w:val="0"/>
        <w:snapToGrid w:val="0"/>
        <w:spacing w:line="400" w:lineRule="exact"/>
        <w:ind w:left="0" w:firstLine="0" w:firstLineChars="0"/>
        <w:rPr>
          <w:rFonts w:ascii="宋体" w:hAnsi="宋体"/>
          <w:color w:val="auto"/>
          <w:highlight w:val="none"/>
        </w:rPr>
      </w:pPr>
      <w:r>
        <w:rPr>
          <w:rFonts w:hint="eastAsia" w:ascii="宋体" w:hAnsi="宋体"/>
          <w:color w:val="auto"/>
          <w:highlight w:val="none"/>
        </w:rPr>
        <w:t>控股股东/投资人是指出资比例在50%以上，或者出资比例不足50%，但享有公司股东会/董事会控制权的投资方（含单位或者个人）；</w:t>
      </w:r>
    </w:p>
    <w:p>
      <w:pPr>
        <w:pStyle w:val="78"/>
        <w:numPr>
          <w:ilvl w:val="3"/>
          <w:numId w:val="25"/>
        </w:numPr>
        <w:adjustRightInd w:val="0"/>
        <w:snapToGrid w:val="0"/>
        <w:spacing w:line="400" w:lineRule="exact"/>
        <w:ind w:left="0" w:firstLine="0" w:firstLineChars="0"/>
        <w:rPr>
          <w:rFonts w:ascii="宋体" w:hAnsi="宋体"/>
          <w:color w:val="auto"/>
          <w:highlight w:val="none"/>
        </w:rPr>
      </w:pPr>
      <w:r>
        <w:rPr>
          <w:rFonts w:hint="eastAsia" w:ascii="宋体" w:hAnsi="宋体"/>
          <w:color w:val="auto"/>
          <w:highlight w:val="none"/>
        </w:rPr>
        <w:t>管理关系单位是指与不具有出资持股关系的其他单位之间存在管理与被管理关系的单位；</w:t>
      </w:r>
    </w:p>
    <w:p>
      <w:pPr>
        <w:pStyle w:val="78"/>
        <w:numPr>
          <w:ilvl w:val="3"/>
          <w:numId w:val="25"/>
        </w:numPr>
        <w:adjustRightInd w:val="0"/>
        <w:snapToGrid w:val="0"/>
        <w:spacing w:line="400" w:lineRule="exact"/>
        <w:ind w:left="0" w:firstLine="0" w:firstLineChars="0"/>
        <w:rPr>
          <w:rFonts w:ascii="宋体" w:hAnsi="宋体"/>
          <w:color w:val="auto"/>
          <w:highlight w:val="none"/>
        </w:rPr>
      </w:pPr>
      <w:r>
        <w:rPr>
          <w:rFonts w:hint="eastAsia" w:ascii="宋体" w:hAnsi="宋体" w:cs="宋体"/>
          <w:color w:val="auto"/>
          <w:highlight w:val="none"/>
        </w:rPr>
        <w:t>工商系统注册的高级管理人员是指在工商系统上注册的在公司管理层中担任重要职务、负责公司经营管理、掌握公司重要信息的人员。</w:t>
      </w:r>
    </w:p>
    <w:p>
      <w:pPr>
        <w:pStyle w:val="78"/>
        <w:numPr>
          <w:ilvl w:val="3"/>
          <w:numId w:val="25"/>
        </w:numPr>
        <w:adjustRightInd w:val="0"/>
        <w:snapToGrid w:val="0"/>
        <w:spacing w:line="400" w:lineRule="exact"/>
        <w:ind w:left="0" w:firstLine="0" w:firstLineChars="0"/>
        <w:rPr>
          <w:rFonts w:ascii="宋体" w:hAnsi="宋体" w:cs="宋体"/>
          <w:color w:val="auto"/>
          <w:highlight w:val="none"/>
        </w:rPr>
      </w:pPr>
      <w:r>
        <w:rPr>
          <w:rFonts w:hint="eastAsia" w:ascii="宋体" w:hAnsi="宋体" w:cs="宋体"/>
          <w:color w:val="auto"/>
          <w:highlight w:val="none"/>
        </w:rPr>
        <w:t>如未有相关情况，请在相应栏填写“无”。</w:t>
      </w:r>
    </w:p>
    <w:p>
      <w:pPr>
        <w:pStyle w:val="6"/>
        <w:snapToGrid w:val="0"/>
        <w:spacing w:line="440" w:lineRule="exact"/>
        <w:ind w:firstLine="3211" w:firstLineChars="1147"/>
        <w:rPr>
          <w:rFonts w:ascii="宋体" w:hAnsi="宋体" w:cs="宋体"/>
          <w:color w:val="auto"/>
          <w:highlight w:val="none"/>
        </w:rPr>
      </w:pPr>
    </w:p>
    <w:p>
      <w:pPr>
        <w:pStyle w:val="6"/>
        <w:snapToGrid w:val="0"/>
        <w:spacing w:line="440" w:lineRule="exact"/>
        <w:ind w:firstLine="0"/>
        <w:jc w:val="right"/>
        <w:rPr>
          <w:rFonts w:ascii="宋体" w:hAnsi="宋体" w:eastAsia="宋体"/>
          <w:bCs/>
          <w:color w:val="auto"/>
          <w:kern w:val="2"/>
          <w:sz w:val="21"/>
          <w:szCs w:val="21"/>
          <w:highlight w:val="none"/>
          <w:u w:val="single"/>
        </w:rPr>
      </w:pPr>
      <w:r>
        <w:rPr>
          <w:rFonts w:hint="eastAsia" w:ascii="宋体" w:hAnsi="宋体" w:eastAsia="宋体"/>
          <w:bCs/>
          <w:color w:val="auto"/>
          <w:kern w:val="2"/>
          <w:sz w:val="21"/>
          <w:szCs w:val="21"/>
          <w:highlight w:val="none"/>
        </w:rPr>
        <w:t>参选人：</w:t>
      </w:r>
      <w:r>
        <w:rPr>
          <w:rFonts w:hint="eastAsia" w:ascii="宋体" w:hAnsi="宋体" w:eastAsia="宋体"/>
          <w:bCs/>
          <w:color w:val="auto"/>
          <w:kern w:val="2"/>
          <w:sz w:val="21"/>
          <w:szCs w:val="21"/>
          <w:highlight w:val="none"/>
          <w:u w:val="single"/>
        </w:rPr>
        <w:t xml:space="preserve">                        </w:t>
      </w:r>
      <w:r>
        <w:rPr>
          <w:rFonts w:hint="eastAsia" w:ascii="宋体" w:hAnsi="宋体" w:eastAsia="宋体"/>
          <w:bCs/>
          <w:color w:val="auto"/>
          <w:kern w:val="2"/>
          <w:sz w:val="21"/>
          <w:szCs w:val="21"/>
          <w:highlight w:val="none"/>
        </w:rPr>
        <w:t>（盖单位公章）</w:t>
      </w:r>
    </w:p>
    <w:p>
      <w:pPr>
        <w:pStyle w:val="6"/>
        <w:snapToGrid w:val="0"/>
        <w:spacing w:line="440" w:lineRule="exact"/>
        <w:ind w:firstLine="0"/>
        <w:jc w:val="right"/>
        <w:rPr>
          <w:rFonts w:ascii="宋体" w:hAnsi="宋体" w:eastAsia="宋体"/>
          <w:bCs/>
          <w:color w:val="auto"/>
          <w:kern w:val="2"/>
          <w:sz w:val="21"/>
          <w:szCs w:val="21"/>
          <w:highlight w:val="none"/>
          <w:u w:val="single"/>
        </w:rPr>
      </w:pPr>
      <w:r>
        <w:rPr>
          <w:rFonts w:hint="eastAsia" w:ascii="宋体" w:hAnsi="宋体" w:eastAsia="宋体"/>
          <w:bCs/>
          <w:color w:val="auto"/>
          <w:kern w:val="2"/>
          <w:sz w:val="21"/>
          <w:szCs w:val="21"/>
          <w:highlight w:val="none"/>
        </w:rPr>
        <w:t>法定代表人（负责人）或者其委托代理人：</w:t>
      </w:r>
      <w:r>
        <w:rPr>
          <w:rFonts w:hint="eastAsia" w:ascii="宋体" w:hAnsi="宋体" w:eastAsia="宋体"/>
          <w:bCs/>
          <w:color w:val="auto"/>
          <w:kern w:val="2"/>
          <w:sz w:val="21"/>
          <w:szCs w:val="21"/>
          <w:highlight w:val="none"/>
          <w:u w:val="single"/>
        </w:rPr>
        <w:t xml:space="preserve">          </w:t>
      </w:r>
      <w:r>
        <w:rPr>
          <w:rFonts w:hint="eastAsia" w:ascii="宋体" w:hAnsi="宋体" w:eastAsia="宋体"/>
          <w:bCs/>
          <w:color w:val="auto"/>
          <w:kern w:val="2"/>
          <w:sz w:val="21"/>
          <w:szCs w:val="21"/>
          <w:highlight w:val="none"/>
        </w:rPr>
        <w:t>（签字）</w:t>
      </w:r>
    </w:p>
    <w:p>
      <w:pPr>
        <w:pStyle w:val="6"/>
        <w:snapToGrid w:val="0"/>
        <w:spacing w:line="440" w:lineRule="exact"/>
        <w:ind w:firstLine="0"/>
        <w:jc w:val="right"/>
        <w:rPr>
          <w:rFonts w:ascii="宋体" w:hAnsi="宋体" w:eastAsia="宋体"/>
          <w:bCs/>
          <w:color w:val="auto"/>
          <w:kern w:val="2"/>
          <w:sz w:val="21"/>
          <w:szCs w:val="21"/>
          <w:highlight w:val="none"/>
        </w:rPr>
      </w:pPr>
      <w:r>
        <w:rPr>
          <w:rFonts w:hint="eastAsia" w:ascii="宋体" w:hAnsi="宋体" w:eastAsia="宋体"/>
          <w:bCs/>
          <w:color w:val="auto"/>
          <w:kern w:val="2"/>
          <w:sz w:val="21"/>
          <w:szCs w:val="21"/>
          <w:highlight w:val="none"/>
        </w:rPr>
        <w:t>日期：XX年XX月XX日</w:t>
      </w:r>
    </w:p>
    <w:p>
      <w:pPr>
        <w:widowControl/>
        <w:jc w:val="left"/>
        <w:rPr>
          <w:rFonts w:ascii="宋体" w:hAnsi="宋体"/>
          <w:bCs/>
          <w:color w:val="auto"/>
          <w:szCs w:val="21"/>
          <w:highlight w:val="none"/>
        </w:rPr>
      </w:pPr>
      <w:r>
        <w:rPr>
          <w:rFonts w:ascii="宋体" w:hAnsi="宋体"/>
          <w:bCs/>
          <w:color w:val="auto"/>
          <w:szCs w:val="21"/>
          <w:highlight w:val="none"/>
        </w:rPr>
        <w:br w:type="page"/>
      </w: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715" w:name="_Toc17203566"/>
      <w:bookmarkStart w:id="716" w:name="_Toc17203051"/>
      <w:bookmarkStart w:id="717" w:name="_Toc17202849"/>
      <w:bookmarkStart w:id="718" w:name="_Toc27106"/>
      <w:r>
        <w:rPr>
          <w:rFonts w:hint="eastAsia" w:ascii="宋体" w:hAnsi="宋体"/>
          <w:color w:val="auto"/>
          <w:sz w:val="28"/>
          <w:szCs w:val="24"/>
          <w:highlight w:val="none"/>
        </w:rPr>
        <w:t>近年财务状况表</w:t>
      </w:r>
      <w:bookmarkEnd w:id="715"/>
      <w:bookmarkEnd w:id="716"/>
      <w:bookmarkEnd w:id="717"/>
      <w:bookmarkEnd w:id="718"/>
    </w:p>
    <w:p>
      <w:pPr>
        <w:pStyle w:val="45"/>
        <w:spacing w:line="400" w:lineRule="exact"/>
        <w:ind w:left="425" w:firstLine="0" w:firstLineChars="0"/>
        <w:rPr>
          <w:rFonts w:ascii="宋体" w:hAnsi="宋体"/>
          <w:color w:val="auto"/>
          <w:highlight w:val="none"/>
        </w:rPr>
      </w:pPr>
      <w:r>
        <w:rPr>
          <w:rFonts w:hint="eastAsia" w:ascii="宋体" w:hAnsi="宋体"/>
          <w:color w:val="auto"/>
          <w:highlight w:val="none"/>
        </w:rPr>
        <w:t>（</w:t>
      </w:r>
      <w:r>
        <w:rPr>
          <w:rFonts w:ascii="宋体" w:hAnsi="宋体"/>
          <w:color w:val="auto"/>
          <w:highlight w:val="none"/>
        </w:rPr>
        <w:t>1</w:t>
      </w:r>
      <w:r>
        <w:rPr>
          <w:rFonts w:hint="eastAsia" w:ascii="宋体" w:hAnsi="宋体"/>
          <w:color w:val="auto"/>
          <w:highlight w:val="none"/>
        </w:rPr>
        <w:t>）基本开户银行情况</w:t>
      </w:r>
    </w:p>
    <w:tbl>
      <w:tblPr>
        <w:tblStyle w:val="37"/>
        <w:tblW w:w="8385" w:type="dxa"/>
        <w:jc w:val="center"/>
        <w:tblLayout w:type="fixed"/>
        <w:tblCellMar>
          <w:top w:w="0" w:type="dxa"/>
          <w:left w:w="28" w:type="dxa"/>
          <w:bottom w:w="0" w:type="dxa"/>
          <w:right w:w="28" w:type="dxa"/>
        </w:tblCellMar>
      </w:tblPr>
      <w:tblGrid>
        <w:gridCol w:w="1108"/>
        <w:gridCol w:w="3482"/>
        <w:gridCol w:w="3795"/>
      </w:tblGrid>
      <w:tr>
        <w:tblPrEx>
          <w:tblCellMar>
            <w:top w:w="0" w:type="dxa"/>
            <w:left w:w="28" w:type="dxa"/>
            <w:bottom w:w="0" w:type="dxa"/>
            <w:right w:w="28" w:type="dxa"/>
          </w:tblCellMar>
        </w:tblPrEx>
        <w:trPr>
          <w:cantSplit/>
          <w:trHeight w:val="380" w:hRule="atLeast"/>
          <w:jc w:val="center"/>
        </w:trPr>
        <w:tc>
          <w:tcPr>
            <w:tcW w:w="1108" w:type="dxa"/>
            <w:vMerge w:val="restart"/>
            <w:tcBorders>
              <w:top w:val="single" w:color="auto" w:sz="4" w:space="0"/>
              <w:left w:val="single" w:color="auto" w:sz="4" w:space="0"/>
              <w:right w:val="single" w:color="auto" w:sz="4" w:space="0"/>
            </w:tcBorders>
            <w:vAlign w:val="center"/>
          </w:tcPr>
          <w:p>
            <w:pPr>
              <w:spacing w:line="400" w:lineRule="exact"/>
              <w:rPr>
                <w:rFonts w:ascii="宋体" w:hAnsi="宋体"/>
                <w:color w:val="auto"/>
                <w:highlight w:val="none"/>
              </w:rPr>
            </w:pPr>
            <w:r>
              <w:rPr>
                <w:rFonts w:hint="eastAsia" w:ascii="宋体" w:hAnsi="宋体"/>
                <w:b/>
                <w:color w:val="auto"/>
                <w:highlight w:val="none"/>
              </w:rPr>
              <w:t>开户银行</w:t>
            </w:r>
          </w:p>
        </w:tc>
        <w:tc>
          <w:tcPr>
            <w:tcW w:w="7277" w:type="dxa"/>
            <w:gridSpan w:val="2"/>
            <w:tcBorders>
              <w:top w:val="single" w:color="auto" w:sz="4" w:space="0"/>
              <w:left w:val="single" w:color="auto" w:sz="4" w:space="0"/>
              <w:bottom w:val="single" w:color="auto" w:sz="4" w:space="0"/>
              <w:right w:val="single" w:color="auto" w:sz="4" w:space="0"/>
            </w:tcBorders>
            <w:vAlign w:val="center"/>
          </w:tcPr>
          <w:p>
            <w:pPr>
              <w:spacing w:line="400" w:lineRule="exact"/>
              <w:rPr>
                <w:rFonts w:ascii="宋体" w:hAnsi="宋体"/>
                <w:color w:val="auto"/>
                <w:highlight w:val="none"/>
              </w:rPr>
            </w:pPr>
            <w:r>
              <w:rPr>
                <w:rFonts w:hint="eastAsia" w:ascii="宋体" w:hAnsi="宋体"/>
                <w:color w:val="auto"/>
                <w:highlight w:val="none"/>
              </w:rPr>
              <w:t>名称：</w:t>
            </w:r>
          </w:p>
        </w:tc>
      </w:tr>
      <w:tr>
        <w:tblPrEx>
          <w:tblCellMar>
            <w:top w:w="0" w:type="dxa"/>
            <w:left w:w="28" w:type="dxa"/>
            <w:bottom w:w="0" w:type="dxa"/>
            <w:right w:w="28" w:type="dxa"/>
          </w:tblCellMar>
        </w:tblPrEx>
        <w:trPr>
          <w:cantSplit/>
          <w:trHeight w:val="380" w:hRule="atLeast"/>
          <w:jc w:val="center"/>
        </w:trPr>
        <w:tc>
          <w:tcPr>
            <w:tcW w:w="1108" w:type="dxa"/>
            <w:vMerge w:val="continue"/>
            <w:tcBorders>
              <w:left w:val="single" w:color="auto" w:sz="4" w:space="0"/>
              <w:right w:val="single" w:color="auto" w:sz="4" w:space="0"/>
            </w:tcBorders>
            <w:vAlign w:val="center"/>
          </w:tcPr>
          <w:p>
            <w:pPr>
              <w:spacing w:line="400" w:lineRule="exact"/>
              <w:rPr>
                <w:rFonts w:ascii="宋体" w:hAnsi="宋体"/>
                <w:color w:val="auto"/>
                <w:highlight w:val="none"/>
              </w:rPr>
            </w:pPr>
          </w:p>
        </w:tc>
        <w:tc>
          <w:tcPr>
            <w:tcW w:w="7277" w:type="dxa"/>
            <w:gridSpan w:val="2"/>
            <w:tcBorders>
              <w:top w:val="single" w:color="auto" w:sz="4" w:space="0"/>
              <w:left w:val="single" w:color="auto" w:sz="4" w:space="0"/>
              <w:bottom w:val="single" w:color="auto" w:sz="4" w:space="0"/>
              <w:right w:val="single" w:color="auto" w:sz="4" w:space="0"/>
            </w:tcBorders>
            <w:vAlign w:val="center"/>
          </w:tcPr>
          <w:p>
            <w:pPr>
              <w:spacing w:line="400" w:lineRule="exact"/>
              <w:rPr>
                <w:rFonts w:ascii="宋体" w:hAnsi="宋体"/>
                <w:color w:val="auto"/>
                <w:highlight w:val="none"/>
              </w:rPr>
            </w:pPr>
            <w:r>
              <w:rPr>
                <w:rFonts w:hint="eastAsia" w:ascii="宋体" w:hAnsi="宋体"/>
                <w:color w:val="auto"/>
                <w:highlight w:val="none"/>
              </w:rPr>
              <w:t>地址：</w:t>
            </w:r>
          </w:p>
        </w:tc>
      </w:tr>
      <w:tr>
        <w:tblPrEx>
          <w:tblCellMar>
            <w:top w:w="0" w:type="dxa"/>
            <w:left w:w="28" w:type="dxa"/>
            <w:bottom w:w="0" w:type="dxa"/>
            <w:right w:w="28" w:type="dxa"/>
          </w:tblCellMar>
        </w:tblPrEx>
        <w:trPr>
          <w:cantSplit/>
          <w:trHeight w:val="380" w:hRule="atLeast"/>
          <w:jc w:val="center"/>
        </w:trPr>
        <w:tc>
          <w:tcPr>
            <w:tcW w:w="1108" w:type="dxa"/>
            <w:vMerge w:val="continue"/>
            <w:tcBorders>
              <w:left w:val="single" w:color="auto" w:sz="4" w:space="0"/>
              <w:right w:val="single" w:color="auto" w:sz="4" w:space="0"/>
            </w:tcBorders>
            <w:vAlign w:val="center"/>
          </w:tcPr>
          <w:p>
            <w:pPr>
              <w:spacing w:line="400" w:lineRule="exact"/>
              <w:rPr>
                <w:rFonts w:ascii="宋体" w:hAnsi="宋体"/>
                <w:color w:val="auto"/>
                <w:highlight w:val="none"/>
              </w:rPr>
            </w:pPr>
          </w:p>
        </w:tc>
        <w:tc>
          <w:tcPr>
            <w:tcW w:w="7277" w:type="dxa"/>
            <w:gridSpan w:val="2"/>
            <w:tcBorders>
              <w:top w:val="single" w:color="auto" w:sz="4" w:space="0"/>
              <w:left w:val="single" w:color="auto" w:sz="4" w:space="0"/>
              <w:bottom w:val="single" w:color="auto" w:sz="4" w:space="0"/>
              <w:right w:val="single" w:color="auto" w:sz="4" w:space="0"/>
            </w:tcBorders>
            <w:vAlign w:val="center"/>
          </w:tcPr>
          <w:p>
            <w:pPr>
              <w:spacing w:line="400" w:lineRule="exact"/>
              <w:rPr>
                <w:rFonts w:ascii="宋体" w:hAnsi="宋体"/>
                <w:color w:val="auto"/>
                <w:highlight w:val="none"/>
              </w:rPr>
            </w:pPr>
            <w:r>
              <w:rPr>
                <w:rFonts w:hint="eastAsia" w:ascii="宋体" w:hAnsi="宋体"/>
                <w:color w:val="auto"/>
                <w:highlight w:val="none"/>
              </w:rPr>
              <w:t>银行账户：</w:t>
            </w:r>
          </w:p>
        </w:tc>
      </w:tr>
      <w:tr>
        <w:tblPrEx>
          <w:tblCellMar>
            <w:top w:w="0" w:type="dxa"/>
            <w:left w:w="28" w:type="dxa"/>
            <w:bottom w:w="0" w:type="dxa"/>
            <w:right w:w="28" w:type="dxa"/>
          </w:tblCellMar>
        </w:tblPrEx>
        <w:trPr>
          <w:cantSplit/>
          <w:trHeight w:val="380" w:hRule="atLeast"/>
          <w:jc w:val="center"/>
        </w:trPr>
        <w:tc>
          <w:tcPr>
            <w:tcW w:w="1108" w:type="dxa"/>
            <w:vMerge w:val="continue"/>
            <w:tcBorders>
              <w:left w:val="single" w:color="auto" w:sz="4" w:space="0"/>
              <w:right w:val="single" w:color="auto" w:sz="4" w:space="0"/>
            </w:tcBorders>
            <w:vAlign w:val="center"/>
          </w:tcPr>
          <w:p>
            <w:pPr>
              <w:spacing w:line="400" w:lineRule="exact"/>
              <w:rPr>
                <w:rFonts w:ascii="宋体" w:hAnsi="宋体"/>
                <w:color w:val="auto"/>
                <w:highlight w:val="none"/>
              </w:rPr>
            </w:pPr>
          </w:p>
        </w:tc>
        <w:tc>
          <w:tcPr>
            <w:tcW w:w="3482" w:type="dxa"/>
            <w:tcBorders>
              <w:top w:val="single" w:color="auto" w:sz="4" w:space="0"/>
              <w:left w:val="single" w:color="auto" w:sz="4" w:space="0"/>
              <w:bottom w:val="single" w:color="auto" w:sz="4" w:space="0"/>
              <w:right w:val="single" w:color="auto" w:sz="4" w:space="0"/>
            </w:tcBorders>
            <w:vAlign w:val="center"/>
          </w:tcPr>
          <w:p>
            <w:pPr>
              <w:spacing w:line="400" w:lineRule="exact"/>
              <w:rPr>
                <w:rFonts w:ascii="宋体" w:hAnsi="宋体"/>
                <w:color w:val="auto"/>
                <w:highlight w:val="none"/>
              </w:rPr>
            </w:pPr>
            <w:r>
              <w:rPr>
                <w:rFonts w:hint="eastAsia" w:ascii="宋体" w:hAnsi="宋体"/>
                <w:color w:val="auto"/>
                <w:highlight w:val="none"/>
              </w:rPr>
              <w:t>电话：</w:t>
            </w:r>
          </w:p>
        </w:tc>
        <w:tc>
          <w:tcPr>
            <w:tcW w:w="3795" w:type="dxa"/>
            <w:tcBorders>
              <w:top w:val="single" w:color="auto" w:sz="4" w:space="0"/>
              <w:left w:val="single" w:color="auto" w:sz="4" w:space="0"/>
              <w:bottom w:val="single" w:color="auto" w:sz="4" w:space="0"/>
              <w:right w:val="single" w:color="auto" w:sz="4" w:space="0"/>
            </w:tcBorders>
            <w:vAlign w:val="center"/>
          </w:tcPr>
          <w:p>
            <w:pPr>
              <w:spacing w:line="400" w:lineRule="exact"/>
              <w:rPr>
                <w:rFonts w:ascii="宋体" w:hAnsi="宋体"/>
                <w:color w:val="auto"/>
                <w:highlight w:val="none"/>
              </w:rPr>
            </w:pPr>
            <w:r>
              <w:rPr>
                <w:rFonts w:hint="eastAsia" w:ascii="宋体" w:hAnsi="宋体"/>
                <w:color w:val="auto"/>
                <w:highlight w:val="none"/>
              </w:rPr>
              <w:t>联系人及职务：</w:t>
            </w:r>
          </w:p>
        </w:tc>
      </w:tr>
      <w:tr>
        <w:tblPrEx>
          <w:tblCellMar>
            <w:top w:w="0" w:type="dxa"/>
            <w:left w:w="28" w:type="dxa"/>
            <w:bottom w:w="0" w:type="dxa"/>
            <w:right w:w="28" w:type="dxa"/>
          </w:tblCellMar>
        </w:tblPrEx>
        <w:trPr>
          <w:cantSplit/>
          <w:trHeight w:val="380" w:hRule="atLeast"/>
          <w:jc w:val="center"/>
        </w:trPr>
        <w:tc>
          <w:tcPr>
            <w:tcW w:w="1108" w:type="dxa"/>
            <w:vMerge w:val="continue"/>
            <w:tcBorders>
              <w:left w:val="single" w:color="auto" w:sz="4" w:space="0"/>
              <w:right w:val="single" w:color="auto" w:sz="4" w:space="0"/>
            </w:tcBorders>
            <w:vAlign w:val="center"/>
          </w:tcPr>
          <w:p>
            <w:pPr>
              <w:spacing w:line="400" w:lineRule="exact"/>
              <w:rPr>
                <w:rFonts w:ascii="宋体" w:hAnsi="宋体"/>
                <w:color w:val="auto"/>
                <w:highlight w:val="none"/>
              </w:rPr>
            </w:pPr>
          </w:p>
        </w:tc>
        <w:tc>
          <w:tcPr>
            <w:tcW w:w="7277" w:type="dxa"/>
            <w:gridSpan w:val="2"/>
            <w:tcBorders>
              <w:top w:val="single" w:color="auto" w:sz="4" w:space="0"/>
              <w:left w:val="single" w:color="auto" w:sz="4" w:space="0"/>
              <w:bottom w:val="single" w:color="auto" w:sz="4" w:space="0"/>
              <w:right w:val="single" w:color="auto" w:sz="4" w:space="0"/>
            </w:tcBorders>
            <w:vAlign w:val="center"/>
          </w:tcPr>
          <w:p>
            <w:pPr>
              <w:spacing w:line="400" w:lineRule="exact"/>
              <w:rPr>
                <w:rFonts w:ascii="宋体" w:hAnsi="宋体"/>
                <w:color w:val="auto"/>
                <w:highlight w:val="none"/>
              </w:rPr>
            </w:pPr>
            <w:r>
              <w:rPr>
                <w:rFonts w:hint="eastAsia" w:ascii="宋体" w:hAnsi="宋体"/>
                <w:color w:val="auto"/>
                <w:highlight w:val="none"/>
              </w:rPr>
              <w:t>传真：</w:t>
            </w:r>
          </w:p>
        </w:tc>
      </w:tr>
      <w:tr>
        <w:tblPrEx>
          <w:tblCellMar>
            <w:top w:w="0" w:type="dxa"/>
            <w:left w:w="28" w:type="dxa"/>
            <w:bottom w:w="0" w:type="dxa"/>
            <w:right w:w="28" w:type="dxa"/>
          </w:tblCellMar>
        </w:tblPrEx>
        <w:trPr>
          <w:cantSplit/>
          <w:trHeight w:val="380" w:hRule="atLeast"/>
          <w:jc w:val="center"/>
        </w:trPr>
        <w:tc>
          <w:tcPr>
            <w:tcW w:w="1108" w:type="dxa"/>
            <w:vMerge w:val="continue"/>
            <w:tcBorders>
              <w:left w:val="single" w:color="auto" w:sz="4" w:space="0"/>
              <w:bottom w:val="single" w:color="auto" w:sz="4" w:space="0"/>
              <w:right w:val="single" w:color="auto" w:sz="4" w:space="0"/>
            </w:tcBorders>
            <w:vAlign w:val="center"/>
          </w:tcPr>
          <w:p>
            <w:pPr>
              <w:spacing w:line="400" w:lineRule="exact"/>
              <w:rPr>
                <w:rFonts w:ascii="宋体" w:hAnsi="宋体"/>
                <w:color w:val="auto"/>
                <w:highlight w:val="none"/>
              </w:rPr>
            </w:pPr>
          </w:p>
        </w:tc>
        <w:tc>
          <w:tcPr>
            <w:tcW w:w="7277" w:type="dxa"/>
            <w:gridSpan w:val="2"/>
            <w:tcBorders>
              <w:top w:val="single" w:color="auto" w:sz="4" w:space="0"/>
              <w:left w:val="single" w:color="auto" w:sz="4" w:space="0"/>
              <w:bottom w:val="single" w:color="auto" w:sz="4" w:space="0"/>
              <w:right w:val="single" w:color="auto" w:sz="4" w:space="0"/>
            </w:tcBorders>
            <w:vAlign w:val="center"/>
          </w:tcPr>
          <w:p>
            <w:pPr>
              <w:spacing w:line="400" w:lineRule="exact"/>
              <w:rPr>
                <w:rFonts w:ascii="宋体" w:hAnsi="宋体"/>
                <w:color w:val="auto"/>
                <w:highlight w:val="none"/>
              </w:rPr>
            </w:pPr>
            <w:r>
              <w:rPr>
                <w:rFonts w:hint="eastAsia" w:ascii="宋体" w:hAnsi="宋体"/>
                <w:color w:val="auto"/>
                <w:highlight w:val="none"/>
              </w:rPr>
              <w:t>基本账户开户行签发的银行开户证明</w:t>
            </w:r>
          </w:p>
        </w:tc>
      </w:tr>
    </w:tbl>
    <w:p>
      <w:pPr>
        <w:pStyle w:val="45"/>
        <w:spacing w:line="400" w:lineRule="exact"/>
        <w:ind w:left="425" w:firstLine="0" w:firstLineChars="0"/>
        <w:rPr>
          <w:rFonts w:ascii="宋体" w:hAnsi="宋体"/>
          <w:color w:val="auto"/>
          <w:highlight w:val="none"/>
        </w:rPr>
      </w:pPr>
      <w:r>
        <w:rPr>
          <w:rFonts w:hint="eastAsia" w:ascii="宋体" w:hAnsi="宋体"/>
          <w:color w:val="auto"/>
          <w:highlight w:val="none"/>
        </w:rPr>
        <w:t>（</w:t>
      </w:r>
      <w:r>
        <w:rPr>
          <w:rFonts w:ascii="宋体" w:hAnsi="宋体"/>
          <w:color w:val="auto"/>
          <w:highlight w:val="none"/>
        </w:rPr>
        <w:t>2</w:t>
      </w:r>
      <w:r>
        <w:rPr>
          <w:rFonts w:hint="eastAsia" w:ascii="宋体" w:hAnsi="宋体"/>
          <w:color w:val="auto"/>
          <w:highlight w:val="none"/>
        </w:rPr>
        <w:t>）财务情况</w:t>
      </w:r>
    </w:p>
    <w:tbl>
      <w:tblPr>
        <w:tblStyle w:val="37"/>
        <w:tblW w:w="933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2465"/>
        <w:gridCol w:w="1685"/>
        <w:gridCol w:w="1843"/>
        <w:gridCol w:w="1670"/>
        <w:gridCol w:w="167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trHeight w:val="454" w:hRule="atLeast"/>
          <w:jc w:val="center"/>
        </w:trPr>
        <w:tc>
          <w:tcPr>
            <w:tcW w:w="2465" w:type="dxa"/>
            <w:vMerge w:val="restart"/>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r>
              <w:rPr>
                <w:rFonts w:hint="eastAsia" w:ascii="宋体" w:hAnsi="宋体"/>
                <w:b/>
                <w:color w:val="auto"/>
                <w:highlight w:val="none"/>
              </w:rPr>
              <w:t>财务状况（单位：元）</w:t>
            </w:r>
          </w:p>
        </w:tc>
        <w:tc>
          <w:tcPr>
            <w:tcW w:w="6868" w:type="dxa"/>
            <w:gridSpan w:val="4"/>
            <w:tcBorders>
              <w:top w:val="single" w:color="auto" w:sz="6" w:space="0"/>
              <w:left w:val="single" w:color="auto" w:sz="6" w:space="0"/>
              <w:bottom w:val="single" w:color="auto" w:sz="6" w:space="0"/>
              <w:right w:val="single" w:color="auto" w:sz="6" w:space="0"/>
            </w:tcBorders>
          </w:tcPr>
          <w:p>
            <w:pPr>
              <w:spacing w:line="400" w:lineRule="exact"/>
              <w:jc w:val="center"/>
              <w:rPr>
                <w:rFonts w:ascii="宋体" w:hAnsi="宋体"/>
                <w:b/>
                <w:color w:val="auto"/>
                <w:highlight w:val="none"/>
              </w:rPr>
            </w:pPr>
            <w:r>
              <w:rPr>
                <w:rFonts w:hint="eastAsia" w:ascii="宋体" w:hAnsi="宋体"/>
                <w:b/>
                <w:color w:val="auto"/>
                <w:highlight w:val="none"/>
              </w:rPr>
              <w:t>财务状况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trHeight w:val="440" w:hRule="atLeast"/>
          <w:jc w:val="center"/>
        </w:trPr>
        <w:tc>
          <w:tcPr>
            <w:tcW w:w="2465" w:type="dxa"/>
            <w:vMerge w:val="continue"/>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p>
        </w:tc>
        <w:tc>
          <w:tcPr>
            <w:tcW w:w="1685" w:type="dxa"/>
            <w:tcBorders>
              <w:top w:val="single" w:color="auto" w:sz="6" w:space="0"/>
              <w:left w:val="single" w:color="auto" w:sz="6" w:space="0"/>
              <w:bottom w:val="single" w:color="auto" w:sz="6" w:space="0"/>
              <w:right w:val="single" w:color="auto" w:sz="6" w:space="0"/>
            </w:tcBorders>
            <w:vAlign w:val="center"/>
          </w:tcPr>
          <w:p>
            <w:pPr>
              <w:spacing w:line="400" w:lineRule="exact"/>
              <w:jc w:val="center"/>
              <w:rPr>
                <w:rFonts w:ascii="宋体" w:hAnsi="宋体"/>
                <w:b/>
                <w:color w:val="auto"/>
                <w:highlight w:val="none"/>
              </w:rPr>
            </w:pPr>
            <w:r>
              <w:rPr>
                <w:rFonts w:hint="eastAsia" w:ascii="宋体" w:hAnsi="宋体"/>
                <w:b/>
                <w:color w:val="auto"/>
                <w:highlight w:val="none"/>
              </w:rPr>
              <w:t xml:space="preserve"> </w:t>
            </w:r>
            <w:r>
              <w:rPr>
                <w:rFonts w:hint="eastAsia" w:ascii="宋体" w:hAnsi="宋体"/>
                <w:b/>
                <w:color w:val="auto"/>
                <w:highlight w:val="none"/>
                <w:u w:val="single"/>
              </w:rPr>
              <w:t xml:space="preserve">        </w:t>
            </w:r>
            <w:r>
              <w:rPr>
                <w:rFonts w:hint="eastAsia" w:ascii="宋体" w:hAnsi="宋体"/>
                <w:b/>
                <w:color w:val="auto"/>
                <w:highlight w:val="none"/>
              </w:rPr>
              <w:t>年</w:t>
            </w:r>
          </w:p>
        </w:tc>
        <w:tc>
          <w:tcPr>
            <w:tcW w:w="1843" w:type="dxa"/>
            <w:tcBorders>
              <w:top w:val="single" w:color="auto" w:sz="6" w:space="0"/>
              <w:left w:val="single" w:color="auto" w:sz="6" w:space="0"/>
              <w:bottom w:val="single" w:color="auto" w:sz="6" w:space="0"/>
              <w:right w:val="single" w:color="auto" w:sz="6" w:space="0"/>
            </w:tcBorders>
            <w:vAlign w:val="center"/>
          </w:tcPr>
          <w:p>
            <w:pPr>
              <w:spacing w:line="400" w:lineRule="exact"/>
              <w:jc w:val="center"/>
              <w:rPr>
                <w:rFonts w:ascii="宋体" w:hAnsi="宋体"/>
                <w:b/>
                <w:color w:val="auto"/>
                <w:highlight w:val="none"/>
              </w:rPr>
            </w:pPr>
            <w:r>
              <w:rPr>
                <w:rFonts w:hint="eastAsia" w:ascii="宋体" w:hAnsi="宋体"/>
                <w:b/>
                <w:color w:val="auto"/>
                <w:highlight w:val="none"/>
              </w:rPr>
              <w:t xml:space="preserve"> </w:t>
            </w:r>
            <w:r>
              <w:rPr>
                <w:rFonts w:hint="eastAsia" w:ascii="宋体" w:hAnsi="宋体"/>
                <w:b/>
                <w:color w:val="auto"/>
                <w:highlight w:val="none"/>
                <w:u w:val="single"/>
              </w:rPr>
              <w:t xml:space="preserve">        </w:t>
            </w:r>
            <w:r>
              <w:rPr>
                <w:rFonts w:hint="eastAsia" w:ascii="宋体" w:hAnsi="宋体"/>
                <w:b/>
                <w:color w:val="auto"/>
                <w:highlight w:val="none"/>
              </w:rPr>
              <w:t>年</w:t>
            </w:r>
          </w:p>
        </w:tc>
        <w:tc>
          <w:tcPr>
            <w:tcW w:w="1670" w:type="dxa"/>
            <w:tcBorders>
              <w:top w:val="single" w:color="auto" w:sz="6" w:space="0"/>
              <w:left w:val="single" w:color="auto" w:sz="6" w:space="0"/>
              <w:bottom w:val="single" w:color="auto" w:sz="6" w:space="0"/>
              <w:right w:val="single" w:color="auto" w:sz="6" w:space="0"/>
            </w:tcBorders>
          </w:tcPr>
          <w:p>
            <w:pPr>
              <w:spacing w:line="400" w:lineRule="exact"/>
              <w:jc w:val="center"/>
              <w:rPr>
                <w:rFonts w:ascii="宋体" w:hAnsi="宋体"/>
                <w:b/>
                <w:color w:val="auto"/>
                <w:highlight w:val="none"/>
              </w:rPr>
            </w:pPr>
            <w:r>
              <w:rPr>
                <w:rFonts w:hint="eastAsia" w:ascii="宋体" w:hAnsi="宋体"/>
                <w:b/>
                <w:color w:val="auto"/>
                <w:highlight w:val="none"/>
              </w:rPr>
              <w:t xml:space="preserve"> </w:t>
            </w:r>
            <w:r>
              <w:rPr>
                <w:rFonts w:hint="eastAsia" w:ascii="宋体" w:hAnsi="宋体"/>
                <w:b/>
                <w:color w:val="auto"/>
                <w:highlight w:val="none"/>
                <w:u w:val="single"/>
              </w:rPr>
              <w:t xml:space="preserve">        </w:t>
            </w:r>
            <w:r>
              <w:rPr>
                <w:rFonts w:hint="eastAsia" w:ascii="宋体" w:hAnsi="宋体"/>
                <w:b/>
                <w:color w:val="auto"/>
                <w:highlight w:val="none"/>
              </w:rPr>
              <w:t>年</w:t>
            </w:r>
          </w:p>
        </w:tc>
        <w:tc>
          <w:tcPr>
            <w:tcW w:w="1670" w:type="dxa"/>
            <w:tcBorders>
              <w:top w:val="single" w:color="auto" w:sz="6" w:space="0"/>
              <w:left w:val="single" w:color="auto" w:sz="6" w:space="0"/>
              <w:bottom w:val="single" w:color="auto" w:sz="6" w:space="0"/>
              <w:right w:val="single" w:color="auto" w:sz="6" w:space="0"/>
            </w:tcBorders>
            <w:vAlign w:val="center"/>
          </w:tcPr>
          <w:p>
            <w:pPr>
              <w:spacing w:line="400" w:lineRule="exact"/>
              <w:jc w:val="center"/>
              <w:rPr>
                <w:rFonts w:ascii="宋体" w:hAnsi="宋体"/>
                <w:b/>
                <w:color w:val="auto"/>
                <w:highlight w:val="none"/>
              </w:rPr>
            </w:pPr>
            <w:r>
              <w:rPr>
                <w:rFonts w:hint="eastAsia" w:ascii="宋体" w:hAnsi="宋体"/>
                <w:b/>
                <w:color w:val="auto"/>
                <w:highlight w:val="none"/>
              </w:rPr>
              <w:t>平均值</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40" w:hRule="atLeast"/>
          <w:jc w:val="center"/>
        </w:trPr>
        <w:tc>
          <w:tcPr>
            <w:tcW w:w="2465"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r>
              <w:rPr>
                <w:rFonts w:hint="eastAsia" w:ascii="宋体" w:hAnsi="宋体"/>
                <w:color w:val="auto"/>
                <w:highlight w:val="none"/>
              </w:rPr>
              <w:t>资产总额</w:t>
            </w:r>
          </w:p>
        </w:tc>
        <w:tc>
          <w:tcPr>
            <w:tcW w:w="1685"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b/>
                <w:color w:val="auto"/>
                <w:highlight w:val="none"/>
              </w:rPr>
            </w:pPr>
          </w:p>
        </w:tc>
        <w:tc>
          <w:tcPr>
            <w:tcW w:w="1843"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p>
        </w:tc>
        <w:tc>
          <w:tcPr>
            <w:tcW w:w="1670" w:type="dxa"/>
            <w:tcBorders>
              <w:top w:val="single" w:color="auto" w:sz="6" w:space="0"/>
              <w:left w:val="single" w:color="auto" w:sz="6" w:space="0"/>
              <w:bottom w:val="single" w:color="auto" w:sz="6" w:space="0"/>
              <w:right w:val="single" w:color="auto" w:sz="6" w:space="0"/>
            </w:tcBorders>
          </w:tcPr>
          <w:p>
            <w:pPr>
              <w:spacing w:line="400" w:lineRule="exact"/>
              <w:rPr>
                <w:rFonts w:ascii="宋体" w:hAnsi="宋体"/>
                <w:color w:val="auto"/>
                <w:highlight w:val="none"/>
              </w:rPr>
            </w:pPr>
          </w:p>
        </w:tc>
        <w:tc>
          <w:tcPr>
            <w:tcW w:w="1670" w:type="dxa"/>
            <w:tcBorders>
              <w:top w:val="single" w:color="auto" w:sz="6" w:space="0"/>
              <w:left w:val="single" w:color="auto" w:sz="6" w:space="0"/>
              <w:bottom w:val="single" w:color="auto" w:sz="6" w:space="0"/>
              <w:right w:val="single" w:color="auto" w:sz="6" w:space="0"/>
            </w:tcBorders>
          </w:tcPr>
          <w:p>
            <w:pPr>
              <w:spacing w:line="400" w:lineRule="exact"/>
              <w:rPr>
                <w:rFonts w:ascii="宋体" w:hAnsi="宋体"/>
                <w:color w:val="auto"/>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40" w:hRule="atLeast"/>
          <w:jc w:val="center"/>
        </w:trPr>
        <w:tc>
          <w:tcPr>
            <w:tcW w:w="2465"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r>
              <w:rPr>
                <w:rFonts w:hint="eastAsia" w:ascii="宋体" w:hAnsi="宋体"/>
                <w:color w:val="auto"/>
                <w:highlight w:val="none"/>
              </w:rPr>
              <w:t>负债总额</w:t>
            </w:r>
          </w:p>
        </w:tc>
        <w:tc>
          <w:tcPr>
            <w:tcW w:w="1685"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b/>
                <w:color w:val="auto"/>
                <w:highlight w:val="none"/>
              </w:rPr>
            </w:pPr>
          </w:p>
        </w:tc>
        <w:tc>
          <w:tcPr>
            <w:tcW w:w="1843"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p>
        </w:tc>
        <w:tc>
          <w:tcPr>
            <w:tcW w:w="1670" w:type="dxa"/>
            <w:tcBorders>
              <w:top w:val="single" w:color="auto" w:sz="6" w:space="0"/>
              <w:left w:val="single" w:color="auto" w:sz="6" w:space="0"/>
              <w:bottom w:val="single" w:color="auto" w:sz="6" w:space="0"/>
              <w:right w:val="single" w:color="auto" w:sz="6" w:space="0"/>
            </w:tcBorders>
          </w:tcPr>
          <w:p>
            <w:pPr>
              <w:spacing w:line="400" w:lineRule="exact"/>
              <w:rPr>
                <w:rFonts w:ascii="宋体" w:hAnsi="宋体"/>
                <w:color w:val="auto"/>
                <w:highlight w:val="none"/>
              </w:rPr>
            </w:pPr>
          </w:p>
        </w:tc>
        <w:tc>
          <w:tcPr>
            <w:tcW w:w="1670" w:type="dxa"/>
            <w:tcBorders>
              <w:top w:val="single" w:color="auto" w:sz="6" w:space="0"/>
              <w:left w:val="single" w:color="auto" w:sz="6" w:space="0"/>
              <w:bottom w:val="single" w:color="auto" w:sz="6" w:space="0"/>
              <w:right w:val="single" w:color="auto" w:sz="6" w:space="0"/>
            </w:tcBorders>
          </w:tcPr>
          <w:p>
            <w:pPr>
              <w:spacing w:line="400" w:lineRule="exact"/>
              <w:rPr>
                <w:rFonts w:ascii="宋体" w:hAnsi="宋体"/>
                <w:color w:val="auto"/>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40" w:hRule="atLeast"/>
          <w:jc w:val="center"/>
        </w:trPr>
        <w:tc>
          <w:tcPr>
            <w:tcW w:w="2465"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r>
              <w:rPr>
                <w:rFonts w:hint="eastAsia" w:ascii="宋体" w:hAnsi="宋体"/>
                <w:color w:val="auto"/>
                <w:highlight w:val="none"/>
              </w:rPr>
              <w:t>净资产</w:t>
            </w:r>
            <w:r>
              <w:rPr>
                <w:rFonts w:ascii="宋体" w:hAnsi="宋体"/>
                <w:color w:val="auto"/>
                <w:highlight w:val="none"/>
              </w:rPr>
              <w:t>(</w:t>
            </w:r>
            <w:r>
              <w:rPr>
                <w:rFonts w:hint="eastAsia" w:ascii="宋体" w:hAnsi="宋体"/>
                <w:color w:val="auto"/>
                <w:highlight w:val="none"/>
              </w:rPr>
              <w:t>资产总额</w:t>
            </w:r>
            <w:r>
              <w:rPr>
                <w:rFonts w:ascii="宋体" w:hAnsi="宋体"/>
                <w:color w:val="auto"/>
                <w:highlight w:val="none"/>
              </w:rPr>
              <w:t>-</w:t>
            </w:r>
            <w:r>
              <w:rPr>
                <w:rFonts w:hint="eastAsia" w:ascii="宋体" w:hAnsi="宋体"/>
                <w:color w:val="auto"/>
                <w:highlight w:val="none"/>
              </w:rPr>
              <w:t>负债总额</w:t>
            </w:r>
            <w:r>
              <w:rPr>
                <w:rFonts w:ascii="宋体" w:hAnsi="宋体"/>
                <w:color w:val="auto"/>
                <w:highlight w:val="none"/>
              </w:rPr>
              <w:t>)</w:t>
            </w:r>
          </w:p>
        </w:tc>
        <w:tc>
          <w:tcPr>
            <w:tcW w:w="1685"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b/>
                <w:color w:val="auto"/>
                <w:highlight w:val="none"/>
              </w:rPr>
            </w:pPr>
          </w:p>
        </w:tc>
        <w:tc>
          <w:tcPr>
            <w:tcW w:w="1843"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p>
        </w:tc>
        <w:tc>
          <w:tcPr>
            <w:tcW w:w="1670" w:type="dxa"/>
            <w:tcBorders>
              <w:top w:val="single" w:color="auto" w:sz="6" w:space="0"/>
              <w:left w:val="single" w:color="auto" w:sz="6" w:space="0"/>
              <w:bottom w:val="single" w:color="auto" w:sz="6" w:space="0"/>
              <w:right w:val="single" w:color="auto" w:sz="6" w:space="0"/>
            </w:tcBorders>
          </w:tcPr>
          <w:p>
            <w:pPr>
              <w:spacing w:line="400" w:lineRule="exact"/>
              <w:rPr>
                <w:rFonts w:ascii="宋体" w:hAnsi="宋体"/>
                <w:color w:val="auto"/>
                <w:highlight w:val="none"/>
              </w:rPr>
            </w:pPr>
          </w:p>
        </w:tc>
        <w:tc>
          <w:tcPr>
            <w:tcW w:w="1670" w:type="dxa"/>
            <w:tcBorders>
              <w:top w:val="single" w:color="auto" w:sz="6" w:space="0"/>
              <w:left w:val="single" w:color="auto" w:sz="6" w:space="0"/>
              <w:bottom w:val="single" w:color="auto" w:sz="6" w:space="0"/>
              <w:right w:val="single" w:color="auto" w:sz="6" w:space="0"/>
            </w:tcBorders>
          </w:tcPr>
          <w:p>
            <w:pPr>
              <w:spacing w:line="400" w:lineRule="exact"/>
              <w:rPr>
                <w:rFonts w:ascii="宋体" w:hAnsi="宋体"/>
                <w:color w:val="auto"/>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40" w:hRule="atLeast"/>
          <w:jc w:val="center"/>
        </w:trPr>
        <w:tc>
          <w:tcPr>
            <w:tcW w:w="2465"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r>
              <w:rPr>
                <w:rFonts w:hint="eastAsia" w:ascii="宋体" w:hAnsi="宋体"/>
                <w:color w:val="auto"/>
                <w:highlight w:val="none"/>
              </w:rPr>
              <w:t>资产负债率</w:t>
            </w:r>
            <w:r>
              <w:rPr>
                <w:rFonts w:ascii="宋体" w:hAnsi="宋体"/>
                <w:color w:val="auto"/>
                <w:highlight w:val="none"/>
              </w:rPr>
              <w:t>(</w:t>
            </w:r>
            <w:r>
              <w:rPr>
                <w:rFonts w:hint="eastAsia" w:ascii="宋体" w:hAnsi="宋体"/>
                <w:color w:val="auto"/>
                <w:highlight w:val="none"/>
              </w:rPr>
              <w:t>负债总额</w:t>
            </w:r>
            <w:r>
              <w:rPr>
                <w:rFonts w:ascii="宋体" w:hAnsi="宋体"/>
                <w:color w:val="auto"/>
                <w:highlight w:val="none"/>
              </w:rPr>
              <w:t>/</w:t>
            </w:r>
            <w:r>
              <w:rPr>
                <w:rFonts w:hint="eastAsia" w:ascii="宋体" w:hAnsi="宋体"/>
                <w:color w:val="auto"/>
                <w:highlight w:val="none"/>
              </w:rPr>
              <w:t>资产总额</w:t>
            </w:r>
            <w:r>
              <w:rPr>
                <w:rFonts w:ascii="宋体" w:hAnsi="宋体"/>
                <w:color w:val="auto"/>
                <w:highlight w:val="none"/>
              </w:rPr>
              <w:t>)</w:t>
            </w:r>
          </w:p>
        </w:tc>
        <w:tc>
          <w:tcPr>
            <w:tcW w:w="1685"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b/>
                <w:color w:val="auto"/>
                <w:highlight w:val="none"/>
              </w:rPr>
            </w:pPr>
          </w:p>
        </w:tc>
        <w:tc>
          <w:tcPr>
            <w:tcW w:w="1843"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p>
        </w:tc>
        <w:tc>
          <w:tcPr>
            <w:tcW w:w="1670" w:type="dxa"/>
            <w:tcBorders>
              <w:top w:val="single" w:color="auto" w:sz="6" w:space="0"/>
              <w:left w:val="single" w:color="auto" w:sz="6" w:space="0"/>
              <w:bottom w:val="single" w:color="auto" w:sz="6" w:space="0"/>
              <w:right w:val="single" w:color="auto" w:sz="6" w:space="0"/>
            </w:tcBorders>
          </w:tcPr>
          <w:p>
            <w:pPr>
              <w:spacing w:line="400" w:lineRule="exact"/>
              <w:rPr>
                <w:rFonts w:ascii="宋体" w:hAnsi="宋体"/>
                <w:color w:val="auto"/>
                <w:highlight w:val="none"/>
              </w:rPr>
            </w:pPr>
          </w:p>
        </w:tc>
        <w:tc>
          <w:tcPr>
            <w:tcW w:w="1670" w:type="dxa"/>
            <w:tcBorders>
              <w:top w:val="single" w:color="auto" w:sz="6" w:space="0"/>
              <w:left w:val="single" w:color="auto" w:sz="6" w:space="0"/>
              <w:bottom w:val="single" w:color="auto" w:sz="6" w:space="0"/>
              <w:right w:val="single" w:color="auto" w:sz="6" w:space="0"/>
            </w:tcBorders>
          </w:tcPr>
          <w:p>
            <w:pPr>
              <w:spacing w:line="400" w:lineRule="exact"/>
              <w:rPr>
                <w:rFonts w:ascii="宋体" w:hAnsi="宋体"/>
                <w:color w:val="auto"/>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1701" w:hRule="atLeast"/>
          <w:jc w:val="center"/>
        </w:trPr>
        <w:tc>
          <w:tcPr>
            <w:tcW w:w="2465"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r>
              <w:rPr>
                <w:rFonts w:hint="eastAsia" w:ascii="宋体" w:hAnsi="宋体"/>
                <w:color w:val="auto"/>
                <w:highlight w:val="none"/>
              </w:rPr>
              <w:t>审计报告及财务报表</w:t>
            </w:r>
          </w:p>
        </w:tc>
        <w:tc>
          <w:tcPr>
            <w:tcW w:w="6868" w:type="dxa"/>
            <w:gridSpan w:val="4"/>
            <w:tcBorders>
              <w:top w:val="single" w:color="auto" w:sz="6" w:space="0"/>
              <w:left w:val="single" w:color="auto" w:sz="6" w:space="0"/>
              <w:bottom w:val="single" w:color="auto" w:sz="6" w:space="0"/>
              <w:right w:val="single" w:color="auto" w:sz="6" w:space="0"/>
            </w:tcBorders>
          </w:tcPr>
          <w:p>
            <w:pPr>
              <w:spacing w:line="400" w:lineRule="exact"/>
              <w:rPr>
                <w:rFonts w:ascii="宋体" w:hAnsi="宋体"/>
                <w:color w:val="auto"/>
                <w:highlight w:val="none"/>
              </w:rPr>
            </w:pPr>
            <w:r>
              <w:rPr>
                <w:rFonts w:hint="eastAsia" w:ascii="宋体" w:hAnsi="宋体"/>
                <w:color w:val="auto"/>
                <w:highlight w:val="none"/>
              </w:rPr>
              <w:t>应当附会计师事务所或审计机构审计的审计报告及财务会计报表，包括资产负债表、现金流量表、利润表和财务情况说明书的复印件，具体年份要求见申请人须知前附表。</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52" w:hRule="atLeast"/>
          <w:jc w:val="center"/>
        </w:trPr>
        <w:tc>
          <w:tcPr>
            <w:tcW w:w="2465"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r>
              <w:rPr>
                <w:rFonts w:hint="eastAsia" w:ascii="宋体" w:hAnsi="宋体"/>
                <w:color w:val="auto"/>
                <w:highlight w:val="none"/>
              </w:rPr>
              <w:t>纳税情况（可选）</w:t>
            </w:r>
          </w:p>
        </w:tc>
        <w:tc>
          <w:tcPr>
            <w:tcW w:w="6868" w:type="dxa"/>
            <w:gridSpan w:val="4"/>
            <w:tcBorders>
              <w:top w:val="single" w:color="auto" w:sz="6" w:space="0"/>
              <w:left w:val="single" w:color="auto" w:sz="6" w:space="0"/>
              <w:bottom w:val="single" w:color="auto" w:sz="6" w:space="0"/>
              <w:right w:val="single" w:color="auto" w:sz="6" w:space="0"/>
            </w:tcBorders>
          </w:tcPr>
          <w:p>
            <w:pPr>
              <w:spacing w:line="400" w:lineRule="exact"/>
              <w:rPr>
                <w:rFonts w:ascii="宋体" w:hAnsi="宋体"/>
                <w:color w:val="auto"/>
                <w:highlight w:val="none"/>
              </w:rPr>
            </w:pPr>
            <w:r>
              <w:rPr>
                <w:rFonts w:hint="eastAsia" w:ascii="宋体" w:hAnsi="宋体"/>
                <w:color w:val="auto"/>
                <w:highlight w:val="none"/>
              </w:rPr>
              <w:t>附增值税纳税人证明文件</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552" w:hRule="atLeast"/>
          <w:jc w:val="center"/>
        </w:trPr>
        <w:tc>
          <w:tcPr>
            <w:tcW w:w="2465" w:type="dxa"/>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r>
              <w:rPr>
                <w:rFonts w:hint="eastAsia" w:ascii="Arial" w:hAnsi="Arial" w:cs="Arial"/>
                <w:color w:val="auto"/>
                <w:highlight w:val="none"/>
              </w:rPr>
              <w:t>申请人</w:t>
            </w:r>
            <w:r>
              <w:rPr>
                <w:rFonts w:ascii="Arial" w:hAnsi="Arial" w:cs="Arial"/>
                <w:color w:val="auto"/>
                <w:highlight w:val="none"/>
              </w:rPr>
              <w:t>资信</w:t>
            </w:r>
            <w:r>
              <w:rPr>
                <w:rFonts w:hint="eastAsia" w:ascii="Arial" w:hAnsi="Arial" w:cs="Arial"/>
                <w:color w:val="auto"/>
                <w:highlight w:val="none"/>
              </w:rPr>
              <w:t>证明</w:t>
            </w:r>
            <w:r>
              <w:rPr>
                <w:rFonts w:hint="eastAsia" w:ascii="宋体" w:hAnsi="宋体"/>
                <w:color w:val="auto"/>
                <w:highlight w:val="none"/>
              </w:rPr>
              <w:t>（可选）</w:t>
            </w:r>
          </w:p>
        </w:tc>
        <w:tc>
          <w:tcPr>
            <w:tcW w:w="6868" w:type="dxa"/>
            <w:gridSpan w:val="4"/>
            <w:tcBorders>
              <w:top w:val="single" w:color="auto" w:sz="6" w:space="0"/>
              <w:left w:val="single" w:color="auto" w:sz="6" w:space="0"/>
              <w:bottom w:val="single" w:color="auto" w:sz="6" w:space="0"/>
              <w:right w:val="single" w:color="auto" w:sz="6" w:space="0"/>
            </w:tcBorders>
            <w:vAlign w:val="center"/>
          </w:tcPr>
          <w:p>
            <w:pPr>
              <w:spacing w:line="400" w:lineRule="exact"/>
              <w:rPr>
                <w:rFonts w:ascii="宋体" w:hAnsi="宋体"/>
                <w:color w:val="auto"/>
                <w:highlight w:val="none"/>
              </w:rPr>
            </w:pPr>
            <w:r>
              <w:rPr>
                <w:rFonts w:hint="eastAsia" w:hAnsi="宋体"/>
                <w:color w:val="auto"/>
                <w:szCs w:val="21"/>
                <w:highlight w:val="none"/>
              </w:rPr>
              <w:t>附具体要求</w:t>
            </w:r>
          </w:p>
        </w:tc>
      </w:tr>
    </w:tbl>
    <w:p>
      <w:pPr>
        <w:pStyle w:val="45"/>
        <w:tabs>
          <w:tab w:val="left" w:pos="0"/>
        </w:tabs>
        <w:spacing w:before="100" w:beforeAutospacing="1" w:after="100" w:afterAutospacing="1" w:line="0" w:lineRule="atLeast"/>
        <w:ind w:left="425" w:right="1214" w:rightChars="578" w:firstLine="0" w:firstLineChars="0"/>
        <w:rPr>
          <w:rFonts w:hAnsi="宋体"/>
          <w:bCs/>
          <w:color w:val="auto"/>
          <w:highlight w:val="none"/>
        </w:rPr>
      </w:pPr>
      <w:r>
        <w:rPr>
          <w:rFonts w:hint="eastAsia" w:hAnsi="宋体"/>
          <w:bCs/>
          <w:color w:val="auto"/>
          <w:highlight w:val="none"/>
        </w:rPr>
        <w:t>注：如为联合体参选，请各成员请分别填写。</w:t>
      </w:r>
    </w:p>
    <w:p>
      <w:pPr>
        <w:rPr>
          <w:color w:val="auto"/>
          <w:highlight w:val="none"/>
        </w:rPr>
      </w:pP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sectPr>
          <w:pgSz w:w="11906" w:h="16838"/>
          <w:pgMar w:top="1440" w:right="1797" w:bottom="1440" w:left="1797" w:header="851" w:footer="992" w:gutter="0"/>
          <w:cols w:space="425" w:num="1"/>
          <w:docGrid w:linePitch="312" w:charSpace="0"/>
        </w:sectPr>
      </w:pPr>
      <w:bookmarkStart w:id="719" w:name="_Toc17203052"/>
      <w:bookmarkStart w:id="720" w:name="_Toc17203567"/>
      <w:bookmarkStart w:id="721" w:name="_Toc17202850"/>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722" w:name="_Toc22499"/>
      <w:r>
        <w:rPr>
          <w:rFonts w:hint="eastAsia" w:ascii="宋体" w:hAnsi="宋体"/>
          <w:color w:val="auto"/>
          <w:sz w:val="28"/>
          <w:szCs w:val="24"/>
          <w:highlight w:val="none"/>
        </w:rPr>
        <w:t>近年完成的类似项目情况表</w:t>
      </w:r>
      <w:bookmarkEnd w:id="719"/>
      <w:bookmarkEnd w:id="720"/>
      <w:bookmarkEnd w:id="721"/>
      <w:bookmarkEnd w:id="722"/>
    </w:p>
    <w:tbl>
      <w:tblPr>
        <w:tblStyle w:val="37"/>
        <w:tblW w:w="96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2361"/>
        <w:gridCol w:w="1236"/>
        <w:gridCol w:w="1013"/>
        <w:gridCol w:w="851"/>
        <w:gridCol w:w="1417"/>
        <w:gridCol w:w="19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7" w:hRule="atLeast"/>
          <w:jc w:val="center"/>
        </w:trPr>
        <w:tc>
          <w:tcPr>
            <w:tcW w:w="817" w:type="dxa"/>
            <w:vAlign w:val="center"/>
          </w:tcPr>
          <w:p>
            <w:pPr>
              <w:jc w:val="center"/>
              <w:rPr>
                <w:bCs/>
                <w:color w:val="auto"/>
                <w:szCs w:val="21"/>
                <w:highlight w:val="none"/>
              </w:rPr>
            </w:pPr>
            <w:r>
              <w:rPr>
                <w:rFonts w:hint="eastAsia"/>
                <w:bCs/>
                <w:color w:val="auto"/>
                <w:szCs w:val="21"/>
                <w:highlight w:val="none"/>
              </w:rPr>
              <w:t>序号</w:t>
            </w:r>
          </w:p>
        </w:tc>
        <w:tc>
          <w:tcPr>
            <w:tcW w:w="2361" w:type="dxa"/>
            <w:vAlign w:val="center"/>
          </w:tcPr>
          <w:p>
            <w:pPr>
              <w:jc w:val="center"/>
              <w:rPr>
                <w:bCs/>
                <w:color w:val="auto"/>
                <w:szCs w:val="21"/>
                <w:highlight w:val="none"/>
              </w:rPr>
            </w:pPr>
            <w:r>
              <w:rPr>
                <w:rFonts w:hint="eastAsia"/>
                <w:bCs/>
                <w:color w:val="auto"/>
                <w:szCs w:val="21"/>
                <w:highlight w:val="none"/>
              </w:rPr>
              <w:t>项目名称</w:t>
            </w:r>
          </w:p>
        </w:tc>
        <w:tc>
          <w:tcPr>
            <w:tcW w:w="1236" w:type="dxa"/>
          </w:tcPr>
          <w:p>
            <w:pPr>
              <w:jc w:val="center"/>
              <w:rPr>
                <w:bCs/>
                <w:color w:val="auto"/>
                <w:szCs w:val="21"/>
                <w:highlight w:val="none"/>
              </w:rPr>
            </w:pPr>
            <w:r>
              <w:rPr>
                <w:rFonts w:hint="eastAsia"/>
                <w:bCs/>
                <w:color w:val="auto"/>
                <w:szCs w:val="21"/>
                <w:highlight w:val="none"/>
              </w:rPr>
              <w:t>签订合同时间</w:t>
            </w:r>
          </w:p>
        </w:tc>
        <w:tc>
          <w:tcPr>
            <w:tcW w:w="1013" w:type="dxa"/>
            <w:vAlign w:val="center"/>
          </w:tcPr>
          <w:p>
            <w:pPr>
              <w:jc w:val="center"/>
              <w:rPr>
                <w:bCs/>
                <w:color w:val="auto"/>
                <w:szCs w:val="21"/>
                <w:highlight w:val="none"/>
              </w:rPr>
            </w:pPr>
            <w:r>
              <w:rPr>
                <w:rFonts w:hint="eastAsia"/>
                <w:bCs/>
                <w:color w:val="auto"/>
                <w:szCs w:val="21"/>
                <w:highlight w:val="none"/>
              </w:rPr>
              <w:t>合同金额(万元)</w:t>
            </w:r>
          </w:p>
        </w:tc>
        <w:tc>
          <w:tcPr>
            <w:tcW w:w="851" w:type="dxa"/>
            <w:vAlign w:val="center"/>
          </w:tcPr>
          <w:p>
            <w:pPr>
              <w:jc w:val="center"/>
              <w:rPr>
                <w:bCs/>
                <w:color w:val="auto"/>
                <w:szCs w:val="21"/>
                <w:highlight w:val="none"/>
              </w:rPr>
            </w:pPr>
            <w:r>
              <w:rPr>
                <w:rFonts w:hint="eastAsia"/>
                <w:bCs/>
                <w:color w:val="auto"/>
                <w:szCs w:val="21"/>
                <w:highlight w:val="none"/>
              </w:rPr>
              <w:t>项目负责人</w:t>
            </w:r>
          </w:p>
        </w:tc>
        <w:tc>
          <w:tcPr>
            <w:tcW w:w="1417" w:type="dxa"/>
            <w:vAlign w:val="center"/>
          </w:tcPr>
          <w:p>
            <w:pPr>
              <w:jc w:val="center"/>
              <w:rPr>
                <w:bCs/>
                <w:color w:val="auto"/>
                <w:szCs w:val="21"/>
                <w:highlight w:val="none"/>
              </w:rPr>
            </w:pPr>
            <w:r>
              <w:rPr>
                <w:rFonts w:hint="eastAsia"/>
                <w:bCs/>
                <w:color w:val="auto"/>
                <w:szCs w:val="21"/>
                <w:highlight w:val="none"/>
              </w:rPr>
              <w:t>合同甲方联系人</w:t>
            </w:r>
          </w:p>
        </w:tc>
        <w:tc>
          <w:tcPr>
            <w:tcW w:w="1985" w:type="dxa"/>
            <w:vAlign w:val="center"/>
          </w:tcPr>
          <w:p>
            <w:pPr>
              <w:jc w:val="center"/>
              <w:rPr>
                <w:bCs/>
                <w:color w:val="auto"/>
                <w:szCs w:val="21"/>
                <w:highlight w:val="none"/>
              </w:rPr>
            </w:pPr>
            <w:r>
              <w:rPr>
                <w:rFonts w:hint="eastAsia"/>
                <w:bCs/>
                <w:color w:val="auto"/>
                <w:szCs w:val="21"/>
                <w:highlight w:val="none"/>
              </w:rPr>
              <w:t>合同甲方联系人联系电话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9" w:hRule="atLeast"/>
          <w:jc w:val="center"/>
        </w:trPr>
        <w:tc>
          <w:tcPr>
            <w:tcW w:w="817" w:type="dxa"/>
            <w:vAlign w:val="center"/>
          </w:tcPr>
          <w:p>
            <w:pPr>
              <w:jc w:val="center"/>
              <w:rPr>
                <w:color w:val="auto"/>
                <w:szCs w:val="21"/>
                <w:highlight w:val="none"/>
              </w:rPr>
            </w:pPr>
          </w:p>
          <w:p>
            <w:pPr>
              <w:jc w:val="center"/>
              <w:rPr>
                <w:color w:val="auto"/>
                <w:szCs w:val="21"/>
                <w:highlight w:val="none"/>
              </w:rPr>
            </w:pPr>
          </w:p>
        </w:tc>
        <w:tc>
          <w:tcPr>
            <w:tcW w:w="2361" w:type="dxa"/>
            <w:vAlign w:val="center"/>
          </w:tcPr>
          <w:p>
            <w:pPr>
              <w:widowControl/>
              <w:jc w:val="center"/>
              <w:rPr>
                <w:color w:val="auto"/>
                <w:szCs w:val="21"/>
                <w:highlight w:val="none"/>
              </w:rPr>
            </w:pPr>
          </w:p>
          <w:p>
            <w:pPr>
              <w:jc w:val="center"/>
              <w:rPr>
                <w:color w:val="auto"/>
                <w:szCs w:val="21"/>
                <w:highlight w:val="none"/>
              </w:rPr>
            </w:pPr>
          </w:p>
        </w:tc>
        <w:tc>
          <w:tcPr>
            <w:tcW w:w="1236" w:type="dxa"/>
          </w:tcPr>
          <w:p>
            <w:pPr>
              <w:jc w:val="center"/>
              <w:rPr>
                <w:color w:val="auto"/>
                <w:szCs w:val="21"/>
                <w:highlight w:val="none"/>
              </w:rPr>
            </w:pPr>
          </w:p>
        </w:tc>
        <w:tc>
          <w:tcPr>
            <w:tcW w:w="1013" w:type="dxa"/>
            <w:vAlign w:val="center"/>
          </w:tcPr>
          <w:p>
            <w:pPr>
              <w:jc w:val="center"/>
              <w:rPr>
                <w:color w:val="auto"/>
                <w:szCs w:val="21"/>
                <w:highlight w:val="none"/>
              </w:rPr>
            </w:pPr>
          </w:p>
        </w:tc>
        <w:tc>
          <w:tcPr>
            <w:tcW w:w="851" w:type="dxa"/>
            <w:vAlign w:val="center"/>
          </w:tcPr>
          <w:p>
            <w:pPr>
              <w:jc w:val="center"/>
              <w:rPr>
                <w:color w:val="auto"/>
                <w:szCs w:val="21"/>
                <w:highlight w:val="none"/>
              </w:rPr>
            </w:pPr>
          </w:p>
        </w:tc>
        <w:tc>
          <w:tcPr>
            <w:tcW w:w="1417" w:type="dxa"/>
            <w:vAlign w:val="center"/>
          </w:tcPr>
          <w:p>
            <w:pPr>
              <w:jc w:val="center"/>
              <w:rPr>
                <w:color w:val="auto"/>
                <w:szCs w:val="21"/>
                <w:highlight w:val="none"/>
              </w:rPr>
            </w:pPr>
          </w:p>
        </w:tc>
        <w:tc>
          <w:tcPr>
            <w:tcW w:w="1985"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jc w:val="center"/>
        </w:trPr>
        <w:tc>
          <w:tcPr>
            <w:tcW w:w="817" w:type="dxa"/>
            <w:vAlign w:val="center"/>
          </w:tcPr>
          <w:p>
            <w:pPr>
              <w:jc w:val="center"/>
              <w:rPr>
                <w:color w:val="auto"/>
                <w:szCs w:val="21"/>
                <w:highlight w:val="none"/>
              </w:rPr>
            </w:pPr>
          </w:p>
          <w:p>
            <w:pPr>
              <w:jc w:val="center"/>
              <w:rPr>
                <w:color w:val="auto"/>
                <w:szCs w:val="21"/>
                <w:highlight w:val="none"/>
              </w:rPr>
            </w:pPr>
          </w:p>
        </w:tc>
        <w:tc>
          <w:tcPr>
            <w:tcW w:w="2361" w:type="dxa"/>
            <w:vAlign w:val="center"/>
          </w:tcPr>
          <w:p>
            <w:pPr>
              <w:widowControl/>
              <w:jc w:val="center"/>
              <w:rPr>
                <w:color w:val="auto"/>
                <w:szCs w:val="21"/>
                <w:highlight w:val="none"/>
              </w:rPr>
            </w:pPr>
          </w:p>
          <w:p>
            <w:pPr>
              <w:jc w:val="center"/>
              <w:rPr>
                <w:color w:val="auto"/>
                <w:szCs w:val="21"/>
                <w:highlight w:val="none"/>
              </w:rPr>
            </w:pPr>
          </w:p>
        </w:tc>
        <w:tc>
          <w:tcPr>
            <w:tcW w:w="1236" w:type="dxa"/>
          </w:tcPr>
          <w:p>
            <w:pPr>
              <w:jc w:val="center"/>
              <w:rPr>
                <w:color w:val="auto"/>
                <w:szCs w:val="21"/>
                <w:highlight w:val="none"/>
              </w:rPr>
            </w:pPr>
          </w:p>
        </w:tc>
        <w:tc>
          <w:tcPr>
            <w:tcW w:w="1013" w:type="dxa"/>
            <w:vAlign w:val="center"/>
          </w:tcPr>
          <w:p>
            <w:pPr>
              <w:jc w:val="center"/>
              <w:rPr>
                <w:color w:val="auto"/>
                <w:szCs w:val="21"/>
                <w:highlight w:val="none"/>
              </w:rPr>
            </w:pPr>
          </w:p>
        </w:tc>
        <w:tc>
          <w:tcPr>
            <w:tcW w:w="851" w:type="dxa"/>
            <w:vAlign w:val="center"/>
          </w:tcPr>
          <w:p>
            <w:pPr>
              <w:jc w:val="center"/>
              <w:rPr>
                <w:color w:val="auto"/>
                <w:szCs w:val="21"/>
                <w:highlight w:val="none"/>
              </w:rPr>
            </w:pPr>
          </w:p>
        </w:tc>
        <w:tc>
          <w:tcPr>
            <w:tcW w:w="1417" w:type="dxa"/>
            <w:vAlign w:val="center"/>
          </w:tcPr>
          <w:p>
            <w:pPr>
              <w:jc w:val="center"/>
              <w:rPr>
                <w:color w:val="auto"/>
                <w:szCs w:val="21"/>
                <w:highlight w:val="none"/>
              </w:rPr>
            </w:pPr>
          </w:p>
        </w:tc>
        <w:tc>
          <w:tcPr>
            <w:tcW w:w="1985"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jc w:val="center"/>
        </w:trPr>
        <w:tc>
          <w:tcPr>
            <w:tcW w:w="817" w:type="dxa"/>
            <w:vAlign w:val="center"/>
          </w:tcPr>
          <w:p>
            <w:pPr>
              <w:jc w:val="center"/>
              <w:rPr>
                <w:color w:val="auto"/>
                <w:szCs w:val="21"/>
                <w:highlight w:val="none"/>
              </w:rPr>
            </w:pPr>
          </w:p>
          <w:p>
            <w:pPr>
              <w:jc w:val="center"/>
              <w:rPr>
                <w:color w:val="auto"/>
                <w:szCs w:val="21"/>
                <w:highlight w:val="none"/>
              </w:rPr>
            </w:pPr>
          </w:p>
        </w:tc>
        <w:tc>
          <w:tcPr>
            <w:tcW w:w="2361" w:type="dxa"/>
            <w:vAlign w:val="center"/>
          </w:tcPr>
          <w:p>
            <w:pPr>
              <w:widowControl/>
              <w:jc w:val="center"/>
              <w:rPr>
                <w:color w:val="auto"/>
                <w:szCs w:val="21"/>
                <w:highlight w:val="none"/>
              </w:rPr>
            </w:pPr>
          </w:p>
          <w:p>
            <w:pPr>
              <w:jc w:val="center"/>
              <w:rPr>
                <w:color w:val="auto"/>
                <w:szCs w:val="21"/>
                <w:highlight w:val="none"/>
              </w:rPr>
            </w:pPr>
          </w:p>
        </w:tc>
        <w:tc>
          <w:tcPr>
            <w:tcW w:w="1236" w:type="dxa"/>
          </w:tcPr>
          <w:p>
            <w:pPr>
              <w:jc w:val="center"/>
              <w:rPr>
                <w:color w:val="auto"/>
                <w:szCs w:val="21"/>
                <w:highlight w:val="none"/>
              </w:rPr>
            </w:pPr>
          </w:p>
        </w:tc>
        <w:tc>
          <w:tcPr>
            <w:tcW w:w="1013" w:type="dxa"/>
            <w:vAlign w:val="center"/>
          </w:tcPr>
          <w:p>
            <w:pPr>
              <w:jc w:val="center"/>
              <w:rPr>
                <w:color w:val="auto"/>
                <w:szCs w:val="21"/>
                <w:highlight w:val="none"/>
              </w:rPr>
            </w:pPr>
          </w:p>
        </w:tc>
        <w:tc>
          <w:tcPr>
            <w:tcW w:w="851" w:type="dxa"/>
            <w:vAlign w:val="center"/>
          </w:tcPr>
          <w:p>
            <w:pPr>
              <w:jc w:val="center"/>
              <w:rPr>
                <w:color w:val="auto"/>
                <w:szCs w:val="21"/>
                <w:highlight w:val="none"/>
              </w:rPr>
            </w:pPr>
          </w:p>
        </w:tc>
        <w:tc>
          <w:tcPr>
            <w:tcW w:w="1417" w:type="dxa"/>
            <w:vAlign w:val="center"/>
          </w:tcPr>
          <w:p>
            <w:pPr>
              <w:jc w:val="center"/>
              <w:rPr>
                <w:color w:val="auto"/>
                <w:szCs w:val="21"/>
                <w:highlight w:val="none"/>
              </w:rPr>
            </w:pPr>
          </w:p>
        </w:tc>
        <w:tc>
          <w:tcPr>
            <w:tcW w:w="1985"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jc w:val="center"/>
        </w:trPr>
        <w:tc>
          <w:tcPr>
            <w:tcW w:w="817" w:type="dxa"/>
            <w:vAlign w:val="center"/>
          </w:tcPr>
          <w:p>
            <w:pPr>
              <w:jc w:val="center"/>
              <w:rPr>
                <w:color w:val="auto"/>
                <w:szCs w:val="21"/>
                <w:highlight w:val="none"/>
              </w:rPr>
            </w:pPr>
          </w:p>
          <w:p>
            <w:pPr>
              <w:jc w:val="center"/>
              <w:rPr>
                <w:color w:val="auto"/>
                <w:szCs w:val="21"/>
                <w:highlight w:val="none"/>
              </w:rPr>
            </w:pPr>
          </w:p>
        </w:tc>
        <w:tc>
          <w:tcPr>
            <w:tcW w:w="2361" w:type="dxa"/>
            <w:vAlign w:val="center"/>
          </w:tcPr>
          <w:p>
            <w:pPr>
              <w:widowControl/>
              <w:jc w:val="center"/>
              <w:rPr>
                <w:color w:val="auto"/>
                <w:szCs w:val="21"/>
                <w:highlight w:val="none"/>
              </w:rPr>
            </w:pPr>
          </w:p>
          <w:p>
            <w:pPr>
              <w:jc w:val="center"/>
              <w:rPr>
                <w:color w:val="auto"/>
                <w:szCs w:val="21"/>
                <w:highlight w:val="none"/>
              </w:rPr>
            </w:pPr>
          </w:p>
        </w:tc>
        <w:tc>
          <w:tcPr>
            <w:tcW w:w="1236" w:type="dxa"/>
          </w:tcPr>
          <w:p>
            <w:pPr>
              <w:jc w:val="center"/>
              <w:rPr>
                <w:color w:val="auto"/>
                <w:szCs w:val="21"/>
                <w:highlight w:val="none"/>
              </w:rPr>
            </w:pPr>
          </w:p>
        </w:tc>
        <w:tc>
          <w:tcPr>
            <w:tcW w:w="1013" w:type="dxa"/>
            <w:vAlign w:val="center"/>
          </w:tcPr>
          <w:p>
            <w:pPr>
              <w:jc w:val="center"/>
              <w:rPr>
                <w:color w:val="auto"/>
                <w:szCs w:val="21"/>
                <w:highlight w:val="none"/>
              </w:rPr>
            </w:pPr>
          </w:p>
        </w:tc>
        <w:tc>
          <w:tcPr>
            <w:tcW w:w="851" w:type="dxa"/>
            <w:vAlign w:val="center"/>
          </w:tcPr>
          <w:p>
            <w:pPr>
              <w:jc w:val="center"/>
              <w:rPr>
                <w:color w:val="auto"/>
                <w:szCs w:val="21"/>
                <w:highlight w:val="none"/>
              </w:rPr>
            </w:pPr>
          </w:p>
        </w:tc>
        <w:tc>
          <w:tcPr>
            <w:tcW w:w="1417" w:type="dxa"/>
            <w:vAlign w:val="center"/>
          </w:tcPr>
          <w:p>
            <w:pPr>
              <w:jc w:val="center"/>
              <w:rPr>
                <w:color w:val="auto"/>
                <w:szCs w:val="21"/>
                <w:highlight w:val="none"/>
              </w:rPr>
            </w:pPr>
          </w:p>
        </w:tc>
        <w:tc>
          <w:tcPr>
            <w:tcW w:w="1985"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9" w:hRule="atLeast"/>
          <w:jc w:val="center"/>
        </w:trPr>
        <w:tc>
          <w:tcPr>
            <w:tcW w:w="817" w:type="dxa"/>
            <w:vAlign w:val="center"/>
          </w:tcPr>
          <w:p>
            <w:pPr>
              <w:jc w:val="center"/>
              <w:rPr>
                <w:color w:val="auto"/>
                <w:szCs w:val="21"/>
                <w:highlight w:val="none"/>
              </w:rPr>
            </w:pPr>
          </w:p>
          <w:p>
            <w:pPr>
              <w:jc w:val="center"/>
              <w:rPr>
                <w:color w:val="auto"/>
                <w:szCs w:val="21"/>
                <w:highlight w:val="none"/>
              </w:rPr>
            </w:pPr>
          </w:p>
        </w:tc>
        <w:tc>
          <w:tcPr>
            <w:tcW w:w="2361" w:type="dxa"/>
            <w:vAlign w:val="center"/>
          </w:tcPr>
          <w:p>
            <w:pPr>
              <w:widowControl/>
              <w:jc w:val="center"/>
              <w:rPr>
                <w:color w:val="auto"/>
                <w:szCs w:val="21"/>
                <w:highlight w:val="none"/>
              </w:rPr>
            </w:pPr>
          </w:p>
          <w:p>
            <w:pPr>
              <w:jc w:val="center"/>
              <w:rPr>
                <w:color w:val="auto"/>
                <w:szCs w:val="21"/>
                <w:highlight w:val="none"/>
              </w:rPr>
            </w:pPr>
          </w:p>
        </w:tc>
        <w:tc>
          <w:tcPr>
            <w:tcW w:w="1236" w:type="dxa"/>
          </w:tcPr>
          <w:p>
            <w:pPr>
              <w:jc w:val="center"/>
              <w:rPr>
                <w:color w:val="auto"/>
                <w:szCs w:val="21"/>
                <w:highlight w:val="none"/>
              </w:rPr>
            </w:pPr>
          </w:p>
        </w:tc>
        <w:tc>
          <w:tcPr>
            <w:tcW w:w="1013" w:type="dxa"/>
            <w:vAlign w:val="center"/>
          </w:tcPr>
          <w:p>
            <w:pPr>
              <w:jc w:val="center"/>
              <w:rPr>
                <w:color w:val="auto"/>
                <w:szCs w:val="21"/>
                <w:highlight w:val="none"/>
              </w:rPr>
            </w:pPr>
          </w:p>
        </w:tc>
        <w:tc>
          <w:tcPr>
            <w:tcW w:w="851" w:type="dxa"/>
            <w:vAlign w:val="center"/>
          </w:tcPr>
          <w:p>
            <w:pPr>
              <w:jc w:val="center"/>
              <w:rPr>
                <w:color w:val="auto"/>
                <w:szCs w:val="21"/>
                <w:highlight w:val="none"/>
              </w:rPr>
            </w:pPr>
          </w:p>
        </w:tc>
        <w:tc>
          <w:tcPr>
            <w:tcW w:w="1417" w:type="dxa"/>
            <w:vAlign w:val="center"/>
          </w:tcPr>
          <w:p>
            <w:pPr>
              <w:jc w:val="center"/>
              <w:rPr>
                <w:color w:val="auto"/>
                <w:szCs w:val="21"/>
                <w:highlight w:val="none"/>
              </w:rPr>
            </w:pPr>
          </w:p>
        </w:tc>
        <w:tc>
          <w:tcPr>
            <w:tcW w:w="1985"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jc w:val="center"/>
        </w:trPr>
        <w:tc>
          <w:tcPr>
            <w:tcW w:w="817" w:type="dxa"/>
            <w:vAlign w:val="center"/>
          </w:tcPr>
          <w:p>
            <w:pPr>
              <w:jc w:val="center"/>
              <w:rPr>
                <w:color w:val="auto"/>
                <w:szCs w:val="21"/>
                <w:highlight w:val="none"/>
              </w:rPr>
            </w:pPr>
          </w:p>
          <w:p>
            <w:pPr>
              <w:jc w:val="center"/>
              <w:rPr>
                <w:color w:val="auto"/>
                <w:szCs w:val="21"/>
                <w:highlight w:val="none"/>
              </w:rPr>
            </w:pPr>
          </w:p>
        </w:tc>
        <w:tc>
          <w:tcPr>
            <w:tcW w:w="2361" w:type="dxa"/>
            <w:vAlign w:val="center"/>
          </w:tcPr>
          <w:p>
            <w:pPr>
              <w:widowControl/>
              <w:jc w:val="center"/>
              <w:rPr>
                <w:color w:val="auto"/>
                <w:szCs w:val="21"/>
                <w:highlight w:val="none"/>
              </w:rPr>
            </w:pPr>
          </w:p>
          <w:p>
            <w:pPr>
              <w:jc w:val="center"/>
              <w:rPr>
                <w:color w:val="auto"/>
                <w:szCs w:val="21"/>
                <w:highlight w:val="none"/>
              </w:rPr>
            </w:pPr>
          </w:p>
        </w:tc>
        <w:tc>
          <w:tcPr>
            <w:tcW w:w="1236" w:type="dxa"/>
          </w:tcPr>
          <w:p>
            <w:pPr>
              <w:jc w:val="center"/>
              <w:rPr>
                <w:color w:val="auto"/>
                <w:szCs w:val="21"/>
                <w:highlight w:val="none"/>
              </w:rPr>
            </w:pPr>
          </w:p>
        </w:tc>
        <w:tc>
          <w:tcPr>
            <w:tcW w:w="1013" w:type="dxa"/>
            <w:vAlign w:val="center"/>
          </w:tcPr>
          <w:p>
            <w:pPr>
              <w:jc w:val="center"/>
              <w:rPr>
                <w:color w:val="auto"/>
                <w:szCs w:val="21"/>
                <w:highlight w:val="none"/>
              </w:rPr>
            </w:pPr>
          </w:p>
        </w:tc>
        <w:tc>
          <w:tcPr>
            <w:tcW w:w="851" w:type="dxa"/>
            <w:vAlign w:val="center"/>
          </w:tcPr>
          <w:p>
            <w:pPr>
              <w:jc w:val="center"/>
              <w:rPr>
                <w:color w:val="auto"/>
                <w:szCs w:val="21"/>
                <w:highlight w:val="none"/>
              </w:rPr>
            </w:pPr>
          </w:p>
        </w:tc>
        <w:tc>
          <w:tcPr>
            <w:tcW w:w="1417" w:type="dxa"/>
            <w:vAlign w:val="center"/>
          </w:tcPr>
          <w:p>
            <w:pPr>
              <w:jc w:val="center"/>
              <w:rPr>
                <w:color w:val="auto"/>
                <w:szCs w:val="21"/>
                <w:highlight w:val="none"/>
              </w:rPr>
            </w:pPr>
          </w:p>
        </w:tc>
        <w:tc>
          <w:tcPr>
            <w:tcW w:w="1985" w:type="dxa"/>
            <w:vAlign w:val="center"/>
          </w:tcPr>
          <w:p>
            <w:pPr>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jc w:val="center"/>
        </w:trPr>
        <w:tc>
          <w:tcPr>
            <w:tcW w:w="9680" w:type="dxa"/>
            <w:gridSpan w:val="7"/>
            <w:vAlign w:val="center"/>
          </w:tcPr>
          <w:p>
            <w:pPr>
              <w:jc w:val="left"/>
              <w:rPr>
                <w:color w:val="auto"/>
                <w:szCs w:val="21"/>
                <w:highlight w:val="none"/>
              </w:rPr>
            </w:pPr>
            <w:r>
              <w:rPr>
                <w:rFonts w:hint="eastAsia"/>
                <w:bCs/>
                <w:color w:val="auto"/>
                <w:highlight w:val="none"/>
              </w:rPr>
              <w:t>合同金额累计：</w:t>
            </w:r>
            <w:r>
              <w:rPr>
                <w:rFonts w:hint="eastAsia"/>
                <w:bCs/>
                <w:color w:val="auto"/>
                <w:highlight w:val="none"/>
                <w:u w:val="single"/>
              </w:rPr>
              <w:t xml:space="preserve">        </w:t>
            </w:r>
            <w:r>
              <w:rPr>
                <w:rFonts w:hint="eastAsia"/>
                <w:bCs/>
                <w:color w:val="auto"/>
                <w:highlight w:val="none"/>
              </w:rPr>
              <w:t>万元</w:t>
            </w:r>
          </w:p>
        </w:tc>
      </w:tr>
    </w:tbl>
    <w:p>
      <w:pPr>
        <w:pStyle w:val="45"/>
        <w:adjustRightInd w:val="0"/>
        <w:snapToGrid w:val="0"/>
        <w:spacing w:line="300" w:lineRule="auto"/>
        <w:ind w:firstLine="0" w:firstLineChars="0"/>
        <w:rPr>
          <w:rFonts w:ascii="宋体" w:hAnsi="宋体"/>
          <w:color w:val="auto"/>
          <w:spacing w:val="-2"/>
          <w:szCs w:val="21"/>
          <w:highlight w:val="none"/>
        </w:rPr>
      </w:pPr>
      <w:r>
        <w:rPr>
          <w:rFonts w:hint="eastAsia" w:ascii="宋体" w:hAnsi="宋体"/>
          <w:color w:val="auto"/>
          <w:spacing w:val="-2"/>
          <w:szCs w:val="21"/>
          <w:highlight w:val="none"/>
        </w:rPr>
        <w:t>备注：</w:t>
      </w:r>
    </w:p>
    <w:p>
      <w:pPr>
        <w:pStyle w:val="45"/>
        <w:adjustRightInd w:val="0"/>
        <w:snapToGrid w:val="0"/>
        <w:spacing w:line="300" w:lineRule="auto"/>
        <w:ind w:firstLine="0" w:firstLineChars="0"/>
        <w:rPr>
          <w:rFonts w:ascii="宋体" w:hAnsi="宋体"/>
          <w:color w:val="auto"/>
          <w:spacing w:val="-2"/>
          <w:szCs w:val="21"/>
          <w:highlight w:val="none"/>
        </w:rPr>
      </w:pPr>
      <w:r>
        <w:rPr>
          <w:rFonts w:hint="eastAsia" w:ascii="宋体" w:hAnsi="宋体"/>
          <w:color w:val="auto"/>
          <w:spacing w:val="-2"/>
          <w:szCs w:val="21"/>
          <w:highlight w:val="none"/>
        </w:rPr>
        <w:t>1.参选人必须如实填写，并保证内容真实可靠，如有弄虚作假，将取消参选资格。</w:t>
      </w:r>
    </w:p>
    <w:p>
      <w:pPr>
        <w:pStyle w:val="45"/>
        <w:adjustRightInd w:val="0"/>
        <w:snapToGrid w:val="0"/>
        <w:spacing w:line="300" w:lineRule="auto"/>
        <w:ind w:firstLine="0" w:firstLineChars="0"/>
        <w:rPr>
          <w:rFonts w:ascii="宋体" w:hAnsi="宋体"/>
          <w:color w:val="auto"/>
          <w:szCs w:val="21"/>
          <w:highlight w:val="none"/>
        </w:rPr>
      </w:pPr>
      <w:r>
        <w:rPr>
          <w:rFonts w:hint="eastAsia" w:ascii="宋体" w:hAnsi="宋体"/>
          <w:color w:val="auto"/>
          <w:spacing w:val="-2"/>
          <w:szCs w:val="21"/>
          <w:highlight w:val="none"/>
        </w:rPr>
        <w:t>2.</w:t>
      </w:r>
      <w:r>
        <w:rPr>
          <w:rFonts w:hint="eastAsia"/>
          <w:color w:val="auto"/>
          <w:highlight w:val="none"/>
        </w:rPr>
        <w:t xml:space="preserve"> 按合同签订时间，须提供合同关键页复印件（关键页包括但不限于合同名称、标的、金额，签字盖章页）或相关订单、票据证明材料；如提供的框架合同有具体合同总金额的，则须提供至少一份该框架合同下有具体金额的、双方确认的、符合本项目要求的订单为依据;如提供的框架合同无具体合同总金额的，则须提供该框架合同下有具体金额的、双方确认的、符合本项目要求的订单为依据；证明材料资料不全，评委无法确定业绩的不予认可。）</w:t>
      </w:r>
    </w:p>
    <w:p>
      <w:pPr>
        <w:rPr>
          <w:rFonts w:ascii="宋体" w:hAnsi="宋体"/>
          <w:color w:val="auto"/>
          <w:spacing w:val="-2"/>
          <w:szCs w:val="21"/>
          <w:highlight w:val="none"/>
        </w:rPr>
      </w:pPr>
      <w:r>
        <w:rPr>
          <w:rFonts w:hint="eastAsia" w:ascii="宋体" w:hAnsi="宋体"/>
          <w:color w:val="auto"/>
          <w:spacing w:val="-2"/>
          <w:szCs w:val="21"/>
          <w:highlight w:val="none"/>
        </w:rPr>
        <w:t>3.参选人应做好准备，如需核对合同原件内容，则须在要求时间内及时提供。</w:t>
      </w:r>
    </w:p>
    <w:p>
      <w:pPr>
        <w:widowControl/>
        <w:jc w:val="left"/>
        <w:rPr>
          <w:rFonts w:ascii="宋体" w:hAnsi="宋体"/>
          <w:color w:val="auto"/>
          <w:spacing w:val="-2"/>
          <w:szCs w:val="21"/>
          <w:highlight w:val="none"/>
        </w:rPr>
      </w:pPr>
      <w:r>
        <w:rPr>
          <w:rFonts w:ascii="宋体" w:hAnsi="宋体"/>
          <w:color w:val="auto"/>
          <w:spacing w:val="-2"/>
          <w:szCs w:val="21"/>
          <w:highlight w:val="none"/>
        </w:rPr>
        <w:br w:type="page"/>
      </w:r>
    </w:p>
    <w:p>
      <w:pPr>
        <w:rPr>
          <w:color w:val="auto"/>
          <w:highlight w:val="none"/>
        </w:rPr>
      </w:pP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723" w:name="_Toc17203053"/>
      <w:bookmarkStart w:id="724" w:name="_Toc28476"/>
      <w:bookmarkStart w:id="725" w:name="_Toc17203568"/>
      <w:bookmarkStart w:id="726" w:name="_Toc17202851"/>
      <w:r>
        <w:rPr>
          <w:rFonts w:hint="eastAsia" w:ascii="宋体" w:hAnsi="宋体"/>
          <w:color w:val="auto"/>
          <w:sz w:val="28"/>
          <w:szCs w:val="24"/>
          <w:highlight w:val="none"/>
        </w:rPr>
        <w:t>商务规范书偏离表</w:t>
      </w:r>
      <w:bookmarkEnd w:id="706"/>
      <w:bookmarkEnd w:id="707"/>
      <w:bookmarkEnd w:id="708"/>
      <w:bookmarkEnd w:id="709"/>
      <w:bookmarkEnd w:id="723"/>
      <w:bookmarkEnd w:id="724"/>
      <w:bookmarkEnd w:id="725"/>
      <w:bookmarkEnd w:id="726"/>
    </w:p>
    <w:p>
      <w:pPr>
        <w:rPr>
          <w:rFonts w:ascii="宋体" w:hAnsi="宋体" w:cs="宋体"/>
          <w:color w:val="auto"/>
          <w:highlight w:val="none"/>
        </w:rPr>
      </w:pPr>
    </w:p>
    <w:p>
      <w:pPr>
        <w:pStyle w:val="45"/>
        <w:ind w:firstLine="0" w:firstLineChars="0"/>
        <w:jc w:val="center"/>
        <w:rPr>
          <w:rFonts w:ascii="宋体" w:hAnsi="宋体"/>
          <w:b/>
          <w:color w:val="auto"/>
          <w:sz w:val="24"/>
          <w:highlight w:val="none"/>
        </w:rPr>
      </w:pPr>
      <w:r>
        <w:rPr>
          <w:rFonts w:hint="eastAsia" w:ascii="宋体" w:hAnsi="宋体"/>
          <w:b/>
          <w:color w:val="auto"/>
          <w:sz w:val="24"/>
          <w:highlight w:val="none"/>
        </w:rPr>
        <w:t>商务规范书偏离表</w:t>
      </w:r>
    </w:p>
    <w:p>
      <w:pPr>
        <w:jc w:val="center"/>
        <w:rPr>
          <w:rFonts w:ascii="宋体" w:hAnsi="宋体" w:cs="宋体"/>
          <w:color w:val="auto"/>
          <w:sz w:val="24"/>
          <w:highlight w:val="none"/>
        </w:rPr>
      </w:pPr>
    </w:p>
    <w:p>
      <w:pPr>
        <w:adjustRightInd w:val="0"/>
        <w:snapToGrid w:val="0"/>
        <w:spacing w:after="120" w:line="440" w:lineRule="exact"/>
        <w:rPr>
          <w:rFonts w:ascii="宋体" w:hAnsi="宋体" w:cs="宋体"/>
          <w:color w:val="auto"/>
          <w:szCs w:val="21"/>
          <w:highlight w:val="none"/>
        </w:rPr>
      </w:pPr>
      <w:r>
        <w:rPr>
          <w:rFonts w:hint="eastAsia" w:ascii="宋体" w:hAnsi="宋体" w:cs="宋体"/>
          <w:color w:val="auto"/>
          <w:szCs w:val="21"/>
          <w:highlight w:val="none"/>
        </w:rPr>
        <w:t>项目</w:t>
      </w:r>
      <w:r>
        <w:rPr>
          <w:rFonts w:ascii="宋体" w:hAnsi="宋体" w:cs="宋体"/>
          <w:color w:val="auto"/>
          <w:szCs w:val="21"/>
          <w:highlight w:val="none"/>
        </w:rPr>
        <w:t>名称：</w:t>
      </w:r>
      <w:r>
        <w:rPr>
          <w:rFonts w:ascii="宋体" w:hAnsi="宋体" w:cs="宋体"/>
          <w:color w:val="auto"/>
          <w:szCs w:val="21"/>
          <w:highlight w:val="none"/>
          <w:u w:val="single"/>
        </w:rPr>
        <w:t xml:space="preserve">                          </w:t>
      </w:r>
      <w:r>
        <w:rPr>
          <w:rFonts w:hint="eastAsia" w:ascii="宋体" w:hAnsi="宋体" w:cs="宋体"/>
          <w:color w:val="auto"/>
          <w:szCs w:val="21"/>
          <w:highlight w:val="none"/>
        </w:rPr>
        <w:t>比选代理机构编号</w:t>
      </w:r>
      <w:r>
        <w:rPr>
          <w:rFonts w:ascii="宋体" w:hAnsi="宋体" w:cs="宋体"/>
          <w:color w:val="auto"/>
          <w:szCs w:val="21"/>
          <w:highlight w:val="none"/>
        </w:rPr>
        <w:t>：</w:t>
      </w:r>
      <w:r>
        <w:rPr>
          <w:rFonts w:ascii="宋体" w:hAnsi="宋体" w:cs="宋体"/>
          <w:color w:val="auto"/>
          <w:szCs w:val="21"/>
          <w:highlight w:val="none"/>
          <w:u w:val="single"/>
        </w:rPr>
        <w:t xml:space="preserve">              </w:t>
      </w:r>
      <w:r>
        <w:rPr>
          <w:rFonts w:hint="eastAsia" w:ascii="宋体" w:hAnsi="宋体" w:cs="宋体"/>
          <w:color w:val="auto"/>
          <w:szCs w:val="21"/>
          <w:highlight w:val="none"/>
        </w:rPr>
        <w:t>标段</w:t>
      </w:r>
      <w:r>
        <w:rPr>
          <w:rFonts w:ascii="宋体" w:hAnsi="宋体" w:cs="宋体"/>
          <w:color w:val="auto"/>
          <w:szCs w:val="21"/>
          <w:highlight w:val="none"/>
        </w:rPr>
        <w:t>：</w:t>
      </w:r>
      <w:r>
        <w:rPr>
          <w:rFonts w:ascii="宋体" w:hAnsi="宋体" w:cs="宋体"/>
          <w:color w:val="auto"/>
          <w:szCs w:val="21"/>
          <w:highlight w:val="none"/>
          <w:u w:val="single"/>
        </w:rPr>
        <w:t xml:space="preserve">       </w:t>
      </w:r>
    </w:p>
    <w:tbl>
      <w:tblPr>
        <w:tblStyle w:val="37"/>
        <w:tblW w:w="8438" w:type="dxa"/>
        <w:tblInd w:w="42"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685"/>
        <w:gridCol w:w="1746"/>
        <w:gridCol w:w="2208"/>
        <w:gridCol w:w="2151"/>
        <w:gridCol w:w="164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13" w:hRule="atLeast"/>
        </w:trPr>
        <w:tc>
          <w:tcPr>
            <w:tcW w:w="685" w:type="dxa"/>
            <w:vAlign w:val="center"/>
          </w:tcPr>
          <w:p>
            <w:pPr>
              <w:adjustRightInd w:val="0"/>
              <w:snapToGrid w:val="0"/>
              <w:spacing w:line="440" w:lineRule="exact"/>
              <w:jc w:val="center"/>
              <w:rPr>
                <w:rFonts w:ascii="宋体" w:hAnsi="宋体" w:cs="宋体"/>
                <w:color w:val="auto"/>
                <w:szCs w:val="21"/>
                <w:highlight w:val="none"/>
              </w:rPr>
            </w:pPr>
            <w:r>
              <w:rPr>
                <w:rFonts w:ascii="宋体" w:hAnsi="宋体" w:cs="宋体"/>
                <w:color w:val="auto"/>
                <w:szCs w:val="21"/>
                <w:highlight w:val="none"/>
              </w:rPr>
              <w:t>序号</w:t>
            </w:r>
          </w:p>
        </w:tc>
        <w:tc>
          <w:tcPr>
            <w:tcW w:w="1746" w:type="dxa"/>
            <w:vAlign w:val="center"/>
          </w:tcPr>
          <w:p>
            <w:pPr>
              <w:adjustRightInd w:val="0"/>
              <w:snapToGrid w:val="0"/>
              <w:spacing w:line="440" w:lineRule="exact"/>
              <w:jc w:val="center"/>
              <w:rPr>
                <w:rFonts w:ascii="宋体" w:hAnsi="宋体" w:cs="宋体"/>
                <w:color w:val="auto"/>
                <w:szCs w:val="21"/>
                <w:highlight w:val="none"/>
              </w:rPr>
            </w:pPr>
            <w:r>
              <w:rPr>
                <w:rFonts w:ascii="宋体" w:hAnsi="宋体" w:cs="宋体"/>
                <w:color w:val="auto"/>
                <w:szCs w:val="21"/>
                <w:highlight w:val="none"/>
              </w:rPr>
              <w:t>比选文件条目号</w:t>
            </w:r>
          </w:p>
        </w:tc>
        <w:tc>
          <w:tcPr>
            <w:tcW w:w="2208" w:type="dxa"/>
            <w:vAlign w:val="center"/>
          </w:tcPr>
          <w:p>
            <w:pPr>
              <w:adjustRightInd w:val="0"/>
              <w:snapToGrid w:val="0"/>
              <w:spacing w:line="440" w:lineRule="exact"/>
              <w:jc w:val="center"/>
              <w:rPr>
                <w:rFonts w:ascii="宋体" w:hAnsi="宋体" w:cs="宋体"/>
                <w:color w:val="auto"/>
                <w:szCs w:val="21"/>
                <w:highlight w:val="none"/>
              </w:rPr>
            </w:pPr>
            <w:r>
              <w:rPr>
                <w:rFonts w:ascii="宋体" w:hAnsi="宋体" w:cs="宋体"/>
                <w:color w:val="auto"/>
                <w:szCs w:val="21"/>
                <w:highlight w:val="none"/>
              </w:rPr>
              <w:t>比选文件的</w:t>
            </w:r>
            <w:r>
              <w:rPr>
                <w:rFonts w:hint="eastAsia" w:ascii="宋体" w:hAnsi="宋体" w:cs="宋体"/>
                <w:color w:val="auto"/>
                <w:szCs w:val="21"/>
                <w:highlight w:val="none"/>
              </w:rPr>
              <w:t>合同</w:t>
            </w:r>
            <w:r>
              <w:rPr>
                <w:rFonts w:ascii="宋体" w:hAnsi="宋体" w:cs="宋体"/>
                <w:color w:val="auto"/>
                <w:szCs w:val="21"/>
                <w:highlight w:val="none"/>
              </w:rPr>
              <w:t>条款</w:t>
            </w:r>
          </w:p>
        </w:tc>
        <w:tc>
          <w:tcPr>
            <w:tcW w:w="2151" w:type="dxa"/>
            <w:vAlign w:val="center"/>
          </w:tcPr>
          <w:p>
            <w:pPr>
              <w:adjustRightInd w:val="0"/>
              <w:snapToGrid w:val="0"/>
              <w:spacing w:line="440" w:lineRule="exact"/>
              <w:jc w:val="center"/>
              <w:rPr>
                <w:rFonts w:ascii="宋体" w:hAnsi="宋体" w:cs="宋体"/>
                <w:color w:val="auto"/>
                <w:szCs w:val="21"/>
                <w:highlight w:val="none"/>
              </w:rPr>
            </w:pPr>
            <w:r>
              <w:rPr>
                <w:rFonts w:hint="eastAsia" w:ascii="宋体" w:hAnsi="宋体" w:cs="宋体"/>
                <w:color w:val="auto"/>
                <w:szCs w:val="21"/>
                <w:highlight w:val="none"/>
              </w:rPr>
              <w:t>参选文件</w:t>
            </w:r>
            <w:r>
              <w:rPr>
                <w:rFonts w:ascii="宋体" w:hAnsi="宋体" w:cs="宋体"/>
                <w:color w:val="auto"/>
                <w:szCs w:val="21"/>
                <w:highlight w:val="none"/>
              </w:rPr>
              <w:t>偏离情况</w:t>
            </w:r>
          </w:p>
        </w:tc>
        <w:tc>
          <w:tcPr>
            <w:tcW w:w="1648" w:type="dxa"/>
            <w:vAlign w:val="center"/>
          </w:tcPr>
          <w:p>
            <w:pPr>
              <w:adjustRightInd w:val="0"/>
              <w:snapToGrid w:val="0"/>
              <w:spacing w:line="440" w:lineRule="exact"/>
              <w:jc w:val="center"/>
              <w:rPr>
                <w:rFonts w:ascii="宋体" w:hAnsi="宋体" w:cs="宋体"/>
                <w:color w:val="auto"/>
                <w:szCs w:val="21"/>
                <w:highlight w:val="none"/>
              </w:rPr>
            </w:pPr>
            <w:r>
              <w:rPr>
                <w:rFonts w:ascii="宋体" w:hAnsi="宋体" w:cs="宋体"/>
                <w:color w:val="auto"/>
                <w:szCs w:val="21"/>
                <w:highlight w:val="none"/>
              </w:rPr>
              <w:t>说明</w:t>
            </w:r>
            <w:r>
              <w:rPr>
                <w:rFonts w:hint="eastAsia" w:ascii="宋体" w:hAnsi="宋体"/>
                <w:color w:val="auto"/>
                <w:kern w:val="0"/>
                <w:szCs w:val="21"/>
                <w:highlight w:val="none"/>
              </w:rPr>
              <w:t>（正偏离/负偏离/无偏离）</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3" w:hRule="atLeast"/>
        </w:trPr>
        <w:tc>
          <w:tcPr>
            <w:tcW w:w="685" w:type="dxa"/>
            <w:vAlign w:val="center"/>
          </w:tcPr>
          <w:p>
            <w:pPr>
              <w:adjustRightInd w:val="0"/>
              <w:snapToGrid w:val="0"/>
              <w:spacing w:line="440" w:lineRule="exact"/>
              <w:rPr>
                <w:rFonts w:ascii="宋体" w:hAnsi="宋体" w:cs="宋体"/>
                <w:color w:val="auto"/>
                <w:szCs w:val="21"/>
                <w:highlight w:val="none"/>
              </w:rPr>
            </w:pPr>
          </w:p>
        </w:tc>
        <w:tc>
          <w:tcPr>
            <w:tcW w:w="1746" w:type="dxa"/>
            <w:vAlign w:val="center"/>
          </w:tcPr>
          <w:p>
            <w:pPr>
              <w:adjustRightInd w:val="0"/>
              <w:snapToGrid w:val="0"/>
              <w:spacing w:line="440" w:lineRule="exact"/>
              <w:rPr>
                <w:rFonts w:ascii="宋体" w:hAnsi="宋体" w:cs="宋体"/>
                <w:color w:val="auto"/>
                <w:szCs w:val="21"/>
                <w:highlight w:val="none"/>
              </w:rPr>
            </w:pPr>
          </w:p>
        </w:tc>
        <w:tc>
          <w:tcPr>
            <w:tcW w:w="2208" w:type="dxa"/>
            <w:vAlign w:val="center"/>
          </w:tcPr>
          <w:p>
            <w:pPr>
              <w:adjustRightInd w:val="0"/>
              <w:snapToGrid w:val="0"/>
              <w:spacing w:line="440" w:lineRule="exact"/>
              <w:rPr>
                <w:rFonts w:ascii="宋体" w:hAnsi="宋体" w:cs="宋体"/>
                <w:color w:val="auto"/>
                <w:szCs w:val="21"/>
                <w:highlight w:val="none"/>
              </w:rPr>
            </w:pPr>
          </w:p>
        </w:tc>
        <w:tc>
          <w:tcPr>
            <w:tcW w:w="2151" w:type="dxa"/>
            <w:vAlign w:val="center"/>
          </w:tcPr>
          <w:p>
            <w:pPr>
              <w:adjustRightInd w:val="0"/>
              <w:snapToGrid w:val="0"/>
              <w:spacing w:line="440" w:lineRule="exact"/>
              <w:rPr>
                <w:rFonts w:ascii="宋体" w:hAnsi="宋体" w:cs="宋体"/>
                <w:color w:val="auto"/>
                <w:szCs w:val="21"/>
                <w:highlight w:val="none"/>
              </w:rPr>
            </w:pPr>
          </w:p>
        </w:tc>
        <w:tc>
          <w:tcPr>
            <w:tcW w:w="1648" w:type="dxa"/>
            <w:vAlign w:val="center"/>
          </w:tcPr>
          <w:p>
            <w:pPr>
              <w:adjustRightInd w:val="0"/>
              <w:snapToGrid w:val="0"/>
              <w:spacing w:line="440" w:lineRule="exact"/>
              <w:rPr>
                <w:rFonts w:ascii="宋体" w:hAnsi="宋体" w:cs="宋体"/>
                <w:color w:val="auto"/>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3" w:hRule="atLeast"/>
        </w:trPr>
        <w:tc>
          <w:tcPr>
            <w:tcW w:w="685" w:type="dxa"/>
            <w:vAlign w:val="center"/>
          </w:tcPr>
          <w:p>
            <w:pPr>
              <w:adjustRightInd w:val="0"/>
              <w:snapToGrid w:val="0"/>
              <w:spacing w:line="440" w:lineRule="exact"/>
              <w:rPr>
                <w:rFonts w:ascii="宋体" w:hAnsi="宋体" w:cs="宋体"/>
                <w:color w:val="auto"/>
                <w:szCs w:val="21"/>
                <w:highlight w:val="none"/>
              </w:rPr>
            </w:pPr>
          </w:p>
        </w:tc>
        <w:tc>
          <w:tcPr>
            <w:tcW w:w="1746" w:type="dxa"/>
            <w:vAlign w:val="center"/>
          </w:tcPr>
          <w:p>
            <w:pPr>
              <w:adjustRightInd w:val="0"/>
              <w:snapToGrid w:val="0"/>
              <w:spacing w:line="440" w:lineRule="exact"/>
              <w:rPr>
                <w:rFonts w:ascii="宋体" w:hAnsi="宋体" w:cs="宋体"/>
                <w:color w:val="auto"/>
                <w:szCs w:val="21"/>
                <w:highlight w:val="none"/>
              </w:rPr>
            </w:pPr>
          </w:p>
        </w:tc>
        <w:tc>
          <w:tcPr>
            <w:tcW w:w="2208" w:type="dxa"/>
            <w:vAlign w:val="center"/>
          </w:tcPr>
          <w:p>
            <w:pPr>
              <w:adjustRightInd w:val="0"/>
              <w:snapToGrid w:val="0"/>
              <w:spacing w:line="440" w:lineRule="exact"/>
              <w:rPr>
                <w:rFonts w:ascii="宋体" w:hAnsi="宋体" w:cs="宋体"/>
                <w:color w:val="auto"/>
                <w:szCs w:val="21"/>
                <w:highlight w:val="none"/>
              </w:rPr>
            </w:pPr>
          </w:p>
        </w:tc>
        <w:tc>
          <w:tcPr>
            <w:tcW w:w="2151" w:type="dxa"/>
            <w:vAlign w:val="center"/>
          </w:tcPr>
          <w:p>
            <w:pPr>
              <w:adjustRightInd w:val="0"/>
              <w:snapToGrid w:val="0"/>
              <w:spacing w:line="440" w:lineRule="exact"/>
              <w:rPr>
                <w:rFonts w:ascii="宋体" w:hAnsi="宋体" w:cs="宋体"/>
                <w:color w:val="auto"/>
                <w:szCs w:val="21"/>
                <w:highlight w:val="none"/>
              </w:rPr>
            </w:pPr>
          </w:p>
        </w:tc>
        <w:tc>
          <w:tcPr>
            <w:tcW w:w="1648" w:type="dxa"/>
            <w:vAlign w:val="center"/>
          </w:tcPr>
          <w:p>
            <w:pPr>
              <w:adjustRightInd w:val="0"/>
              <w:snapToGrid w:val="0"/>
              <w:spacing w:line="440" w:lineRule="exact"/>
              <w:rPr>
                <w:rFonts w:ascii="宋体" w:hAnsi="宋体" w:cs="宋体"/>
                <w:color w:val="auto"/>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3" w:hRule="atLeast"/>
        </w:trPr>
        <w:tc>
          <w:tcPr>
            <w:tcW w:w="685" w:type="dxa"/>
            <w:vAlign w:val="center"/>
          </w:tcPr>
          <w:p>
            <w:pPr>
              <w:adjustRightInd w:val="0"/>
              <w:snapToGrid w:val="0"/>
              <w:spacing w:line="440" w:lineRule="exact"/>
              <w:rPr>
                <w:rFonts w:ascii="宋体" w:hAnsi="宋体" w:cs="宋体"/>
                <w:color w:val="auto"/>
                <w:szCs w:val="21"/>
                <w:highlight w:val="none"/>
              </w:rPr>
            </w:pPr>
          </w:p>
        </w:tc>
        <w:tc>
          <w:tcPr>
            <w:tcW w:w="1746" w:type="dxa"/>
            <w:vAlign w:val="center"/>
          </w:tcPr>
          <w:p>
            <w:pPr>
              <w:adjustRightInd w:val="0"/>
              <w:snapToGrid w:val="0"/>
              <w:spacing w:line="440" w:lineRule="exact"/>
              <w:rPr>
                <w:rFonts w:ascii="宋体" w:hAnsi="宋体" w:cs="宋体"/>
                <w:color w:val="auto"/>
                <w:szCs w:val="21"/>
                <w:highlight w:val="none"/>
              </w:rPr>
            </w:pPr>
          </w:p>
        </w:tc>
        <w:tc>
          <w:tcPr>
            <w:tcW w:w="2208" w:type="dxa"/>
            <w:vAlign w:val="center"/>
          </w:tcPr>
          <w:p>
            <w:pPr>
              <w:adjustRightInd w:val="0"/>
              <w:snapToGrid w:val="0"/>
              <w:spacing w:line="440" w:lineRule="exact"/>
              <w:rPr>
                <w:rFonts w:ascii="宋体" w:hAnsi="宋体" w:cs="宋体"/>
                <w:color w:val="auto"/>
                <w:szCs w:val="21"/>
                <w:highlight w:val="none"/>
              </w:rPr>
            </w:pPr>
          </w:p>
        </w:tc>
        <w:tc>
          <w:tcPr>
            <w:tcW w:w="2151" w:type="dxa"/>
            <w:vAlign w:val="center"/>
          </w:tcPr>
          <w:p>
            <w:pPr>
              <w:adjustRightInd w:val="0"/>
              <w:snapToGrid w:val="0"/>
              <w:spacing w:line="440" w:lineRule="exact"/>
              <w:rPr>
                <w:rFonts w:ascii="宋体" w:hAnsi="宋体" w:cs="宋体"/>
                <w:color w:val="auto"/>
                <w:szCs w:val="21"/>
                <w:highlight w:val="none"/>
              </w:rPr>
            </w:pPr>
          </w:p>
        </w:tc>
        <w:tc>
          <w:tcPr>
            <w:tcW w:w="1648" w:type="dxa"/>
            <w:vAlign w:val="center"/>
          </w:tcPr>
          <w:p>
            <w:pPr>
              <w:adjustRightInd w:val="0"/>
              <w:snapToGrid w:val="0"/>
              <w:spacing w:line="440" w:lineRule="exact"/>
              <w:rPr>
                <w:rFonts w:ascii="宋体" w:hAnsi="宋体" w:cs="宋体"/>
                <w:color w:val="auto"/>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906" w:hRule="atLeast"/>
        </w:trPr>
        <w:tc>
          <w:tcPr>
            <w:tcW w:w="685" w:type="dxa"/>
            <w:vAlign w:val="center"/>
          </w:tcPr>
          <w:p>
            <w:pPr>
              <w:adjustRightInd w:val="0"/>
              <w:snapToGrid w:val="0"/>
              <w:spacing w:line="440" w:lineRule="exact"/>
              <w:rPr>
                <w:rFonts w:ascii="宋体" w:hAnsi="宋体" w:cs="宋体"/>
                <w:color w:val="auto"/>
                <w:szCs w:val="21"/>
                <w:highlight w:val="none"/>
              </w:rPr>
            </w:pPr>
          </w:p>
        </w:tc>
        <w:tc>
          <w:tcPr>
            <w:tcW w:w="1746" w:type="dxa"/>
            <w:vAlign w:val="center"/>
          </w:tcPr>
          <w:p>
            <w:pPr>
              <w:adjustRightInd w:val="0"/>
              <w:snapToGrid w:val="0"/>
              <w:spacing w:line="440" w:lineRule="exact"/>
              <w:rPr>
                <w:rFonts w:ascii="宋体" w:hAnsi="宋体" w:cs="宋体"/>
                <w:color w:val="auto"/>
                <w:szCs w:val="21"/>
                <w:highlight w:val="none"/>
              </w:rPr>
            </w:pPr>
          </w:p>
        </w:tc>
        <w:tc>
          <w:tcPr>
            <w:tcW w:w="2208" w:type="dxa"/>
            <w:vAlign w:val="center"/>
          </w:tcPr>
          <w:p>
            <w:pPr>
              <w:adjustRightInd w:val="0"/>
              <w:snapToGrid w:val="0"/>
              <w:spacing w:line="440" w:lineRule="exact"/>
              <w:rPr>
                <w:rFonts w:ascii="宋体" w:hAnsi="宋体" w:cs="宋体"/>
                <w:color w:val="auto"/>
                <w:szCs w:val="21"/>
                <w:highlight w:val="none"/>
              </w:rPr>
            </w:pPr>
          </w:p>
        </w:tc>
        <w:tc>
          <w:tcPr>
            <w:tcW w:w="2151" w:type="dxa"/>
            <w:vAlign w:val="center"/>
          </w:tcPr>
          <w:p>
            <w:pPr>
              <w:adjustRightInd w:val="0"/>
              <w:snapToGrid w:val="0"/>
              <w:spacing w:line="440" w:lineRule="exact"/>
              <w:rPr>
                <w:rFonts w:ascii="宋体" w:hAnsi="宋体" w:cs="宋体"/>
                <w:color w:val="auto"/>
                <w:szCs w:val="21"/>
                <w:highlight w:val="none"/>
              </w:rPr>
            </w:pPr>
          </w:p>
        </w:tc>
        <w:tc>
          <w:tcPr>
            <w:tcW w:w="1648" w:type="dxa"/>
            <w:vAlign w:val="center"/>
          </w:tcPr>
          <w:p>
            <w:pPr>
              <w:adjustRightInd w:val="0"/>
              <w:snapToGrid w:val="0"/>
              <w:spacing w:line="440" w:lineRule="exact"/>
              <w:rPr>
                <w:rFonts w:ascii="宋体" w:hAnsi="宋体" w:cs="宋体"/>
                <w:color w:val="auto"/>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3" w:hRule="atLeast"/>
        </w:trPr>
        <w:tc>
          <w:tcPr>
            <w:tcW w:w="685" w:type="dxa"/>
            <w:vAlign w:val="center"/>
          </w:tcPr>
          <w:p>
            <w:pPr>
              <w:adjustRightInd w:val="0"/>
              <w:snapToGrid w:val="0"/>
              <w:spacing w:line="440" w:lineRule="exact"/>
              <w:rPr>
                <w:rFonts w:ascii="宋体" w:hAnsi="宋体" w:cs="宋体"/>
                <w:color w:val="auto"/>
                <w:szCs w:val="21"/>
                <w:highlight w:val="none"/>
              </w:rPr>
            </w:pPr>
          </w:p>
        </w:tc>
        <w:tc>
          <w:tcPr>
            <w:tcW w:w="1746" w:type="dxa"/>
            <w:vAlign w:val="center"/>
          </w:tcPr>
          <w:p>
            <w:pPr>
              <w:adjustRightInd w:val="0"/>
              <w:snapToGrid w:val="0"/>
              <w:spacing w:line="440" w:lineRule="exact"/>
              <w:rPr>
                <w:rFonts w:ascii="宋体" w:hAnsi="宋体" w:cs="宋体"/>
                <w:color w:val="auto"/>
                <w:szCs w:val="21"/>
                <w:highlight w:val="none"/>
              </w:rPr>
            </w:pPr>
          </w:p>
        </w:tc>
        <w:tc>
          <w:tcPr>
            <w:tcW w:w="2208" w:type="dxa"/>
            <w:vAlign w:val="center"/>
          </w:tcPr>
          <w:p>
            <w:pPr>
              <w:adjustRightInd w:val="0"/>
              <w:snapToGrid w:val="0"/>
              <w:spacing w:line="440" w:lineRule="exact"/>
              <w:rPr>
                <w:rFonts w:ascii="宋体" w:hAnsi="宋体" w:cs="宋体"/>
                <w:color w:val="auto"/>
                <w:szCs w:val="21"/>
                <w:highlight w:val="none"/>
              </w:rPr>
            </w:pPr>
          </w:p>
        </w:tc>
        <w:tc>
          <w:tcPr>
            <w:tcW w:w="2151" w:type="dxa"/>
            <w:vAlign w:val="center"/>
          </w:tcPr>
          <w:p>
            <w:pPr>
              <w:adjustRightInd w:val="0"/>
              <w:snapToGrid w:val="0"/>
              <w:spacing w:line="440" w:lineRule="exact"/>
              <w:rPr>
                <w:rFonts w:ascii="宋体" w:hAnsi="宋体" w:cs="宋体"/>
                <w:color w:val="auto"/>
                <w:szCs w:val="21"/>
                <w:highlight w:val="none"/>
              </w:rPr>
            </w:pPr>
          </w:p>
        </w:tc>
        <w:tc>
          <w:tcPr>
            <w:tcW w:w="1648" w:type="dxa"/>
            <w:vAlign w:val="center"/>
          </w:tcPr>
          <w:p>
            <w:pPr>
              <w:adjustRightInd w:val="0"/>
              <w:snapToGrid w:val="0"/>
              <w:spacing w:line="440" w:lineRule="exact"/>
              <w:rPr>
                <w:rFonts w:ascii="宋体" w:hAnsi="宋体" w:cs="宋体"/>
                <w:color w:val="auto"/>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883" w:hRule="atLeast"/>
        </w:trPr>
        <w:tc>
          <w:tcPr>
            <w:tcW w:w="685" w:type="dxa"/>
            <w:vAlign w:val="center"/>
          </w:tcPr>
          <w:p>
            <w:pPr>
              <w:adjustRightInd w:val="0"/>
              <w:snapToGrid w:val="0"/>
              <w:spacing w:line="440" w:lineRule="exact"/>
              <w:rPr>
                <w:rFonts w:ascii="宋体" w:hAnsi="宋体" w:cs="宋体"/>
                <w:color w:val="auto"/>
                <w:szCs w:val="21"/>
                <w:highlight w:val="none"/>
              </w:rPr>
            </w:pPr>
          </w:p>
        </w:tc>
        <w:tc>
          <w:tcPr>
            <w:tcW w:w="1746" w:type="dxa"/>
            <w:vAlign w:val="center"/>
          </w:tcPr>
          <w:p>
            <w:pPr>
              <w:adjustRightInd w:val="0"/>
              <w:snapToGrid w:val="0"/>
              <w:spacing w:line="440" w:lineRule="exact"/>
              <w:rPr>
                <w:rFonts w:ascii="宋体" w:hAnsi="宋体" w:cs="宋体"/>
                <w:color w:val="auto"/>
                <w:szCs w:val="21"/>
                <w:highlight w:val="none"/>
              </w:rPr>
            </w:pPr>
          </w:p>
        </w:tc>
        <w:tc>
          <w:tcPr>
            <w:tcW w:w="2208" w:type="dxa"/>
            <w:vAlign w:val="center"/>
          </w:tcPr>
          <w:p>
            <w:pPr>
              <w:adjustRightInd w:val="0"/>
              <w:snapToGrid w:val="0"/>
              <w:spacing w:line="440" w:lineRule="exact"/>
              <w:rPr>
                <w:rFonts w:ascii="宋体" w:hAnsi="宋体" w:cs="宋体"/>
                <w:color w:val="auto"/>
                <w:szCs w:val="21"/>
                <w:highlight w:val="none"/>
              </w:rPr>
            </w:pPr>
          </w:p>
        </w:tc>
        <w:tc>
          <w:tcPr>
            <w:tcW w:w="2151" w:type="dxa"/>
            <w:vAlign w:val="center"/>
          </w:tcPr>
          <w:p>
            <w:pPr>
              <w:adjustRightInd w:val="0"/>
              <w:snapToGrid w:val="0"/>
              <w:spacing w:line="440" w:lineRule="exact"/>
              <w:rPr>
                <w:rFonts w:ascii="宋体" w:hAnsi="宋体" w:cs="宋体"/>
                <w:color w:val="auto"/>
                <w:szCs w:val="21"/>
                <w:highlight w:val="none"/>
              </w:rPr>
            </w:pPr>
          </w:p>
        </w:tc>
        <w:tc>
          <w:tcPr>
            <w:tcW w:w="1648" w:type="dxa"/>
            <w:vAlign w:val="center"/>
          </w:tcPr>
          <w:p>
            <w:pPr>
              <w:adjustRightInd w:val="0"/>
              <w:snapToGrid w:val="0"/>
              <w:spacing w:line="440" w:lineRule="exact"/>
              <w:rPr>
                <w:rFonts w:ascii="宋体" w:hAnsi="宋体" w:cs="宋体"/>
                <w:color w:val="auto"/>
                <w:szCs w:val="21"/>
                <w:highlight w:val="none"/>
              </w:rPr>
            </w:pPr>
          </w:p>
        </w:tc>
      </w:tr>
    </w:tbl>
    <w:p>
      <w:pPr>
        <w:spacing w:line="440" w:lineRule="exact"/>
        <w:jc w:val="left"/>
        <w:rPr>
          <w:rFonts w:ascii="宋体" w:hAnsi="宋体"/>
          <w:color w:val="auto"/>
          <w:szCs w:val="21"/>
          <w:highlight w:val="none"/>
        </w:rPr>
      </w:pPr>
      <w:r>
        <w:rPr>
          <w:rFonts w:hint="eastAsia" w:ascii="宋体" w:hAnsi="宋体"/>
          <w:color w:val="auto"/>
          <w:szCs w:val="21"/>
          <w:highlight w:val="none"/>
        </w:rPr>
        <w:t>注：1.参选人应当逐条对照比选文件“第四章 商务规范书</w:t>
      </w:r>
      <w:r>
        <w:rPr>
          <w:rFonts w:ascii="宋体" w:hAnsi="宋体"/>
          <w:color w:val="auto"/>
          <w:szCs w:val="21"/>
          <w:highlight w:val="none"/>
        </w:rPr>
        <w:t>’</w:t>
      </w:r>
      <w:r>
        <w:rPr>
          <w:rFonts w:hint="eastAsia" w:ascii="宋体" w:hAnsi="宋体"/>
          <w:color w:val="auto"/>
          <w:szCs w:val="21"/>
          <w:highlight w:val="none"/>
        </w:rPr>
        <w:t>，就参选文件对商务规范书存在的偏差与例外逐条做出说明；</w:t>
      </w:r>
    </w:p>
    <w:p>
      <w:pPr>
        <w:adjustRightInd w:val="0"/>
        <w:snapToGrid w:val="0"/>
        <w:spacing w:after="120" w:line="440" w:lineRule="exact"/>
        <w:ind w:left="693" w:hanging="693" w:hangingChars="330"/>
        <w:rPr>
          <w:rFonts w:ascii="宋体" w:hAnsi="宋体" w:cs="宋体"/>
          <w:color w:val="auto"/>
          <w:szCs w:val="21"/>
          <w:highlight w:val="none"/>
        </w:rPr>
      </w:pPr>
      <w:r>
        <w:rPr>
          <w:rFonts w:hint="eastAsia" w:ascii="宋体" w:hAnsi="宋体"/>
          <w:color w:val="auto"/>
          <w:szCs w:val="21"/>
          <w:highlight w:val="none"/>
        </w:rPr>
        <w:t>2.如参选文件对商务规范书无任何偏差，参选人仅需在本偏离表中填写“无偏离”即可。</w:t>
      </w:r>
    </w:p>
    <w:p>
      <w:pPr>
        <w:pStyle w:val="6"/>
        <w:snapToGrid w:val="0"/>
        <w:spacing w:line="440" w:lineRule="exact"/>
        <w:ind w:firstLine="2408" w:firstLineChars="1147"/>
        <w:rPr>
          <w:rFonts w:ascii="宋体" w:hAnsi="宋体" w:eastAsia="宋体"/>
          <w:bCs/>
          <w:color w:val="auto"/>
          <w:kern w:val="2"/>
          <w:sz w:val="21"/>
          <w:szCs w:val="21"/>
          <w:highlight w:val="none"/>
          <w:u w:val="single"/>
        </w:rPr>
      </w:pPr>
      <w:r>
        <w:rPr>
          <w:rFonts w:hint="eastAsia" w:ascii="宋体" w:hAnsi="宋体" w:eastAsia="宋体"/>
          <w:bCs/>
          <w:color w:val="auto"/>
          <w:kern w:val="2"/>
          <w:sz w:val="21"/>
          <w:szCs w:val="21"/>
          <w:highlight w:val="none"/>
        </w:rPr>
        <w:t>参选人：</w:t>
      </w:r>
      <w:r>
        <w:rPr>
          <w:rFonts w:hint="eastAsia" w:ascii="宋体" w:hAnsi="宋体" w:eastAsia="宋体"/>
          <w:bCs/>
          <w:color w:val="auto"/>
          <w:kern w:val="2"/>
          <w:sz w:val="21"/>
          <w:szCs w:val="21"/>
          <w:highlight w:val="none"/>
          <w:u w:val="single"/>
        </w:rPr>
        <w:t xml:space="preserve">                        </w:t>
      </w:r>
      <w:r>
        <w:rPr>
          <w:rFonts w:hint="eastAsia" w:ascii="宋体" w:hAnsi="宋体" w:eastAsia="宋体"/>
          <w:bCs/>
          <w:color w:val="auto"/>
          <w:kern w:val="2"/>
          <w:sz w:val="21"/>
          <w:szCs w:val="21"/>
          <w:highlight w:val="none"/>
        </w:rPr>
        <w:t>（盖单位公章）</w:t>
      </w:r>
    </w:p>
    <w:p>
      <w:pPr>
        <w:pStyle w:val="6"/>
        <w:snapToGrid w:val="0"/>
        <w:spacing w:line="440" w:lineRule="exact"/>
        <w:ind w:firstLine="2408" w:firstLineChars="1147"/>
        <w:rPr>
          <w:rFonts w:ascii="宋体" w:hAnsi="宋体" w:eastAsia="宋体"/>
          <w:bCs/>
          <w:color w:val="auto"/>
          <w:kern w:val="2"/>
          <w:sz w:val="21"/>
          <w:szCs w:val="21"/>
          <w:highlight w:val="none"/>
          <w:u w:val="single"/>
        </w:rPr>
      </w:pPr>
      <w:r>
        <w:rPr>
          <w:rFonts w:hint="eastAsia" w:ascii="宋体" w:hAnsi="宋体" w:eastAsia="宋体"/>
          <w:bCs/>
          <w:color w:val="auto"/>
          <w:kern w:val="2"/>
          <w:sz w:val="21"/>
          <w:szCs w:val="21"/>
          <w:highlight w:val="none"/>
        </w:rPr>
        <w:t>法定代表人（负责人）或者其委托代理人：</w:t>
      </w:r>
      <w:r>
        <w:rPr>
          <w:rFonts w:hint="eastAsia" w:ascii="宋体" w:hAnsi="宋体" w:eastAsia="宋体"/>
          <w:bCs/>
          <w:color w:val="auto"/>
          <w:kern w:val="2"/>
          <w:sz w:val="21"/>
          <w:szCs w:val="21"/>
          <w:highlight w:val="none"/>
          <w:u w:val="single"/>
        </w:rPr>
        <w:t xml:space="preserve">          </w:t>
      </w:r>
      <w:r>
        <w:rPr>
          <w:rFonts w:hint="eastAsia" w:ascii="宋体" w:hAnsi="宋体" w:eastAsia="宋体"/>
          <w:bCs/>
          <w:color w:val="auto"/>
          <w:kern w:val="2"/>
          <w:sz w:val="21"/>
          <w:szCs w:val="21"/>
          <w:highlight w:val="none"/>
        </w:rPr>
        <w:t>（签字）</w:t>
      </w:r>
    </w:p>
    <w:p>
      <w:pPr>
        <w:pStyle w:val="6"/>
        <w:snapToGrid w:val="0"/>
        <w:spacing w:line="440" w:lineRule="exact"/>
        <w:ind w:firstLine="2408" w:firstLineChars="1147"/>
        <w:rPr>
          <w:rFonts w:ascii="宋体" w:hAnsi="宋体" w:eastAsia="宋体"/>
          <w:bCs/>
          <w:color w:val="auto"/>
          <w:kern w:val="2"/>
          <w:sz w:val="21"/>
          <w:szCs w:val="21"/>
          <w:highlight w:val="none"/>
        </w:rPr>
      </w:pPr>
      <w:r>
        <w:rPr>
          <w:rFonts w:hint="eastAsia" w:ascii="宋体" w:hAnsi="宋体" w:eastAsia="宋体"/>
          <w:bCs/>
          <w:color w:val="auto"/>
          <w:kern w:val="2"/>
          <w:sz w:val="21"/>
          <w:szCs w:val="21"/>
          <w:highlight w:val="none"/>
        </w:rPr>
        <w:t>日期：XX年XX月XX日</w:t>
      </w:r>
    </w:p>
    <w:p>
      <w:pPr>
        <w:widowControl/>
        <w:jc w:val="left"/>
        <w:rPr>
          <w:rFonts w:ascii="宋体" w:hAnsi="宋体"/>
          <w:color w:val="auto"/>
          <w:highlight w:val="none"/>
        </w:rPr>
      </w:pPr>
    </w:p>
    <w:p>
      <w:pPr>
        <w:widowControl/>
        <w:jc w:val="left"/>
        <w:rPr>
          <w:rFonts w:ascii="宋体" w:hAnsi="宋体"/>
          <w:color w:val="auto"/>
          <w:highlight w:val="none"/>
        </w:rPr>
      </w:pPr>
    </w:p>
    <w:p>
      <w:pPr>
        <w:widowControl/>
        <w:jc w:val="left"/>
        <w:rPr>
          <w:rFonts w:ascii="宋体" w:hAnsi="宋体"/>
          <w:color w:val="auto"/>
          <w:highlight w:val="none"/>
        </w:rPr>
      </w:pPr>
      <w:r>
        <w:rPr>
          <w:rFonts w:ascii="宋体" w:hAnsi="宋体"/>
          <w:color w:val="auto"/>
          <w:highlight w:val="none"/>
        </w:rPr>
        <w:br w:type="page"/>
      </w:r>
    </w:p>
    <w:p>
      <w:pPr>
        <w:topLinePunct/>
        <w:spacing w:line="440" w:lineRule="exact"/>
        <w:ind w:left="422"/>
        <w:jc w:val="left"/>
        <w:rPr>
          <w:rFonts w:ascii="宋体" w:hAnsi="宋体"/>
          <w:color w:val="auto"/>
          <w:highlight w:val="none"/>
        </w:rPr>
        <w:sectPr>
          <w:pgSz w:w="11906" w:h="16838"/>
          <w:pgMar w:top="1440" w:right="1797" w:bottom="1440" w:left="1797" w:header="851" w:footer="992" w:gutter="0"/>
          <w:cols w:space="425" w:num="1"/>
          <w:docGrid w:linePitch="312" w:charSpace="0"/>
        </w:sectPr>
      </w:pP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727" w:name="_Toc477190653"/>
      <w:bookmarkEnd w:id="727"/>
      <w:bookmarkStart w:id="728" w:name="_Toc477190572"/>
      <w:bookmarkEnd w:id="728"/>
      <w:bookmarkStart w:id="729" w:name="_Toc502225041"/>
      <w:bookmarkEnd w:id="729"/>
      <w:bookmarkStart w:id="730" w:name="_Toc502225064"/>
      <w:bookmarkEnd w:id="730"/>
      <w:bookmarkStart w:id="731" w:name="_Toc477190474"/>
      <w:bookmarkEnd w:id="731"/>
      <w:bookmarkStart w:id="732" w:name="_Toc477190642"/>
      <w:bookmarkEnd w:id="732"/>
      <w:bookmarkStart w:id="733" w:name="_Toc477190458"/>
      <w:bookmarkEnd w:id="733"/>
      <w:bookmarkStart w:id="734" w:name="_Toc477190593"/>
      <w:bookmarkEnd w:id="734"/>
      <w:bookmarkStart w:id="735" w:name="_Toc477190650"/>
      <w:bookmarkEnd w:id="735"/>
      <w:bookmarkStart w:id="736" w:name="_Toc477190646"/>
      <w:bookmarkEnd w:id="736"/>
      <w:bookmarkStart w:id="737" w:name="_Toc502225053"/>
      <w:bookmarkEnd w:id="737"/>
      <w:bookmarkStart w:id="738" w:name="_Toc477190592"/>
      <w:bookmarkEnd w:id="738"/>
      <w:bookmarkStart w:id="739" w:name="_Toc502225058"/>
      <w:bookmarkEnd w:id="739"/>
      <w:bookmarkStart w:id="740" w:name="_Toc477190425"/>
      <w:bookmarkEnd w:id="740"/>
      <w:bookmarkStart w:id="741" w:name="_Toc477190430"/>
      <w:bookmarkEnd w:id="741"/>
      <w:bookmarkStart w:id="742" w:name="_Toc477190469"/>
      <w:bookmarkEnd w:id="742"/>
      <w:bookmarkStart w:id="743" w:name="_Toc477190461"/>
      <w:bookmarkEnd w:id="743"/>
      <w:bookmarkStart w:id="744" w:name="_Toc477190420"/>
      <w:bookmarkEnd w:id="744"/>
      <w:bookmarkStart w:id="745" w:name="_Toc477190429"/>
      <w:bookmarkEnd w:id="745"/>
      <w:bookmarkStart w:id="746" w:name="_Toc477190509"/>
      <w:bookmarkEnd w:id="746"/>
      <w:bookmarkStart w:id="747" w:name="_Toc477190471"/>
      <w:bookmarkEnd w:id="747"/>
      <w:bookmarkStart w:id="748" w:name="_Toc477190598"/>
      <w:bookmarkEnd w:id="748"/>
      <w:bookmarkStart w:id="749" w:name="_Toc477190453"/>
      <w:bookmarkEnd w:id="749"/>
      <w:bookmarkStart w:id="750" w:name="_Toc477190515"/>
      <w:bookmarkEnd w:id="750"/>
      <w:bookmarkStart w:id="751" w:name="_Toc477190436"/>
      <w:bookmarkEnd w:id="751"/>
      <w:bookmarkStart w:id="752" w:name="_Toc477190531"/>
      <w:bookmarkEnd w:id="752"/>
      <w:bookmarkStart w:id="753" w:name="_Toc502225049"/>
      <w:bookmarkEnd w:id="753"/>
      <w:bookmarkStart w:id="754" w:name="_Toc477190418"/>
      <w:bookmarkEnd w:id="754"/>
      <w:bookmarkStart w:id="755" w:name="_Toc477190440"/>
      <w:bookmarkEnd w:id="755"/>
      <w:bookmarkStart w:id="756" w:name="_Toc502225043"/>
      <w:bookmarkEnd w:id="756"/>
      <w:bookmarkStart w:id="757" w:name="_Toc477190543"/>
      <w:bookmarkEnd w:id="757"/>
      <w:bookmarkStart w:id="758" w:name="_Toc477190505"/>
      <w:bookmarkEnd w:id="758"/>
      <w:bookmarkStart w:id="759" w:name="_Toc477190424"/>
      <w:bookmarkEnd w:id="759"/>
      <w:bookmarkStart w:id="760" w:name="_Toc477190463"/>
      <w:bookmarkEnd w:id="760"/>
      <w:bookmarkStart w:id="761" w:name="_Toc477190506"/>
      <w:bookmarkEnd w:id="761"/>
      <w:bookmarkStart w:id="762" w:name="_Toc477190570"/>
      <w:bookmarkEnd w:id="762"/>
      <w:bookmarkStart w:id="763" w:name="_Toc477190419"/>
      <w:bookmarkEnd w:id="763"/>
      <w:bookmarkStart w:id="764" w:name="_Toc502225040"/>
      <w:bookmarkEnd w:id="764"/>
      <w:bookmarkStart w:id="765" w:name="_Toc477190555"/>
      <w:bookmarkEnd w:id="765"/>
      <w:bookmarkStart w:id="766" w:name="_Toc477190563"/>
      <w:bookmarkEnd w:id="766"/>
      <w:bookmarkStart w:id="767" w:name="_Toc477190459"/>
      <w:bookmarkEnd w:id="767"/>
      <w:bookmarkStart w:id="768" w:name="_Toc477190622"/>
      <w:bookmarkEnd w:id="768"/>
      <w:bookmarkStart w:id="769" w:name="_Toc477190472"/>
      <w:bookmarkEnd w:id="769"/>
      <w:bookmarkStart w:id="770" w:name="_Toc502225057"/>
      <w:bookmarkEnd w:id="770"/>
      <w:bookmarkStart w:id="771" w:name="_Toc477190591"/>
      <w:bookmarkEnd w:id="771"/>
      <w:bookmarkStart w:id="772" w:name="_Toc477190601"/>
      <w:bookmarkEnd w:id="772"/>
      <w:bookmarkStart w:id="773" w:name="_Toc477190512"/>
      <w:bookmarkEnd w:id="773"/>
      <w:bookmarkStart w:id="774" w:name="_Toc477190525"/>
      <w:bookmarkEnd w:id="774"/>
      <w:bookmarkStart w:id="775" w:name="_Toc477190366"/>
      <w:bookmarkEnd w:id="775"/>
      <w:bookmarkStart w:id="776" w:name="_Toc477190569"/>
      <w:bookmarkEnd w:id="776"/>
      <w:bookmarkStart w:id="777" w:name="_Toc477190466"/>
      <w:bookmarkEnd w:id="777"/>
      <w:bookmarkStart w:id="778" w:name="_Toc477190511"/>
      <w:bookmarkEnd w:id="778"/>
      <w:bookmarkStart w:id="779" w:name="_Toc477190367"/>
      <w:bookmarkEnd w:id="779"/>
      <w:bookmarkStart w:id="780" w:name="_Toc477190441"/>
      <w:bookmarkEnd w:id="780"/>
      <w:bookmarkStart w:id="781" w:name="_Toc477190565"/>
      <w:bookmarkEnd w:id="781"/>
      <w:bookmarkStart w:id="782" w:name="_Toc477190652"/>
      <w:bookmarkEnd w:id="782"/>
      <w:bookmarkStart w:id="783" w:name="_Toc477190632"/>
      <w:bookmarkEnd w:id="783"/>
      <w:bookmarkStart w:id="784" w:name="_Toc477190514"/>
      <w:bookmarkEnd w:id="784"/>
      <w:bookmarkStart w:id="785" w:name="_Toc502225048"/>
      <w:bookmarkEnd w:id="785"/>
      <w:bookmarkStart w:id="786" w:name="_Toc477190462"/>
      <w:bookmarkEnd w:id="786"/>
      <w:bookmarkStart w:id="787" w:name="_Toc502225110"/>
      <w:bookmarkEnd w:id="787"/>
      <w:bookmarkStart w:id="788" w:name="_Toc477190577"/>
      <w:bookmarkEnd w:id="788"/>
      <w:bookmarkStart w:id="789" w:name="_Toc477190654"/>
      <w:bookmarkEnd w:id="789"/>
      <w:bookmarkStart w:id="790" w:name="_Toc477190447"/>
      <w:bookmarkEnd w:id="790"/>
      <w:bookmarkStart w:id="791" w:name="_Toc477190518"/>
      <w:bookmarkEnd w:id="791"/>
      <w:bookmarkStart w:id="792" w:name="_Toc502225100"/>
      <w:bookmarkEnd w:id="792"/>
      <w:bookmarkStart w:id="793" w:name="_Toc477190433"/>
      <w:bookmarkEnd w:id="793"/>
      <w:bookmarkStart w:id="794" w:name="_Toc477190586"/>
      <w:bookmarkEnd w:id="794"/>
      <w:bookmarkStart w:id="795" w:name="_Toc477190590"/>
      <w:bookmarkEnd w:id="795"/>
      <w:bookmarkStart w:id="796" w:name="_Toc502225061"/>
      <w:bookmarkEnd w:id="796"/>
      <w:bookmarkStart w:id="797" w:name="_Toc477190442"/>
      <w:bookmarkEnd w:id="797"/>
      <w:bookmarkStart w:id="798" w:name="_Toc502225090"/>
      <w:bookmarkEnd w:id="798"/>
      <w:bookmarkStart w:id="799" w:name="_Toc477190427"/>
      <w:bookmarkEnd w:id="799"/>
      <w:bookmarkStart w:id="800" w:name="_Toc477190510"/>
      <w:bookmarkEnd w:id="800"/>
      <w:bookmarkStart w:id="801" w:name="_Toc477190580"/>
      <w:bookmarkEnd w:id="801"/>
      <w:bookmarkStart w:id="802" w:name="_Toc477190446"/>
      <w:bookmarkEnd w:id="802"/>
      <w:bookmarkStart w:id="803" w:name="_Toc477190612"/>
      <w:bookmarkEnd w:id="803"/>
      <w:bookmarkStart w:id="804" w:name="_Toc477190460"/>
      <w:bookmarkEnd w:id="804"/>
      <w:bookmarkStart w:id="805" w:name="_Toc477190432"/>
      <w:bookmarkEnd w:id="805"/>
      <w:bookmarkStart w:id="806" w:name="_Toc477190465"/>
      <w:bookmarkEnd w:id="806"/>
      <w:bookmarkStart w:id="807" w:name="_Toc477190415"/>
      <w:bookmarkEnd w:id="807"/>
      <w:bookmarkStart w:id="808" w:name="_Toc477190578"/>
      <w:bookmarkEnd w:id="808"/>
      <w:bookmarkStart w:id="809" w:name="_Toc477190450"/>
      <w:bookmarkEnd w:id="809"/>
      <w:bookmarkStart w:id="810" w:name="_Toc477190585"/>
      <w:bookmarkEnd w:id="810"/>
      <w:bookmarkStart w:id="811" w:name="_Toc502225062"/>
      <w:bookmarkEnd w:id="811"/>
      <w:bookmarkStart w:id="812" w:name="_Toc477190445"/>
      <w:bookmarkEnd w:id="812"/>
      <w:bookmarkStart w:id="813" w:name="_Toc477190508"/>
      <w:bookmarkEnd w:id="813"/>
      <w:bookmarkStart w:id="814" w:name="_Toc477190584"/>
      <w:bookmarkEnd w:id="814"/>
      <w:bookmarkStart w:id="815" w:name="_Toc477190452"/>
      <w:bookmarkEnd w:id="815"/>
      <w:bookmarkStart w:id="816" w:name="_Toc502225085"/>
      <w:bookmarkEnd w:id="816"/>
      <w:bookmarkStart w:id="817" w:name="_Toc477190571"/>
      <w:bookmarkEnd w:id="817"/>
      <w:bookmarkStart w:id="818" w:name="_Toc477190368"/>
      <w:bookmarkEnd w:id="818"/>
      <w:bookmarkStart w:id="819" w:name="_Toc477190588"/>
      <w:bookmarkEnd w:id="819"/>
      <w:bookmarkStart w:id="820" w:name="_Toc477190567"/>
      <w:bookmarkEnd w:id="820"/>
      <w:bookmarkStart w:id="821" w:name="_Toc502225060"/>
      <w:bookmarkEnd w:id="821"/>
      <w:bookmarkStart w:id="822" w:name="_Toc477190456"/>
      <w:bookmarkEnd w:id="822"/>
      <w:bookmarkStart w:id="823" w:name="_Toc477190365"/>
      <w:bookmarkEnd w:id="823"/>
      <w:bookmarkStart w:id="824" w:name="_Toc502225052"/>
      <w:bookmarkEnd w:id="824"/>
      <w:bookmarkStart w:id="825" w:name="_Toc477190504"/>
      <w:bookmarkEnd w:id="825"/>
      <w:bookmarkStart w:id="826" w:name="_Toc477190467"/>
      <w:bookmarkEnd w:id="826"/>
      <w:bookmarkStart w:id="827" w:name="_Toc477190581"/>
      <w:bookmarkEnd w:id="827"/>
      <w:bookmarkStart w:id="828" w:name="_Toc477190587"/>
      <w:bookmarkEnd w:id="828"/>
      <w:bookmarkStart w:id="829" w:name="_Toc477190444"/>
      <w:bookmarkEnd w:id="829"/>
      <w:bookmarkStart w:id="830" w:name="_Toc477190417"/>
      <w:bookmarkEnd w:id="830"/>
      <w:bookmarkStart w:id="831" w:name="_Toc477190576"/>
      <w:bookmarkEnd w:id="831"/>
      <w:bookmarkStart w:id="832" w:name="_Toc477190649"/>
      <w:bookmarkEnd w:id="832"/>
      <w:bookmarkStart w:id="833" w:name="_Toc502225056"/>
      <w:bookmarkEnd w:id="833"/>
      <w:bookmarkStart w:id="834" w:name="_Toc477190428"/>
      <w:bookmarkEnd w:id="834"/>
      <w:bookmarkStart w:id="835" w:name="_Toc502225115"/>
      <w:bookmarkEnd w:id="835"/>
      <w:bookmarkStart w:id="836" w:name="_Toc477190464"/>
      <w:bookmarkEnd w:id="836"/>
      <w:bookmarkStart w:id="837" w:name="_Toc477190579"/>
      <w:bookmarkEnd w:id="837"/>
      <w:bookmarkStart w:id="838" w:name="_Toc477190513"/>
      <w:bookmarkEnd w:id="838"/>
      <w:bookmarkStart w:id="839" w:name="_Toc477190575"/>
      <w:bookmarkEnd w:id="839"/>
      <w:bookmarkStart w:id="840" w:name="_Toc477190414"/>
      <w:bookmarkEnd w:id="840"/>
      <w:bookmarkStart w:id="841" w:name="_Toc477190435"/>
      <w:bookmarkEnd w:id="841"/>
      <w:bookmarkStart w:id="842" w:name="_Toc502225054"/>
      <w:bookmarkEnd w:id="842"/>
      <w:bookmarkStart w:id="843" w:name="_Toc502225045"/>
      <w:bookmarkEnd w:id="843"/>
      <w:bookmarkStart w:id="844" w:name="_Toc502225044"/>
      <w:bookmarkEnd w:id="844"/>
      <w:bookmarkStart w:id="845" w:name="_Toc477190583"/>
      <w:bookmarkEnd w:id="845"/>
      <w:bookmarkStart w:id="846" w:name="_Toc477190437"/>
      <w:bookmarkEnd w:id="846"/>
      <w:bookmarkStart w:id="847" w:name="_Toc477190597"/>
      <w:bookmarkEnd w:id="847"/>
      <w:bookmarkStart w:id="848" w:name="_Toc477190596"/>
      <w:bookmarkEnd w:id="848"/>
      <w:bookmarkStart w:id="849" w:name="_Toc477190517"/>
      <w:bookmarkEnd w:id="849"/>
      <w:bookmarkStart w:id="850" w:name="_Toc502225051"/>
      <w:bookmarkEnd w:id="850"/>
      <w:bookmarkStart w:id="851" w:name="_Toc477190448"/>
      <w:bookmarkEnd w:id="851"/>
      <w:bookmarkStart w:id="852" w:name="_Toc477190421"/>
      <w:bookmarkEnd w:id="852"/>
      <w:bookmarkStart w:id="853" w:name="_Toc477190568"/>
      <w:bookmarkEnd w:id="853"/>
      <w:bookmarkStart w:id="854" w:name="_Toc502225059"/>
      <w:bookmarkEnd w:id="854"/>
      <w:bookmarkStart w:id="855" w:name="_Toc477190562"/>
      <w:bookmarkEnd w:id="855"/>
      <w:bookmarkStart w:id="856" w:name="_Toc477190645"/>
      <w:bookmarkEnd w:id="856"/>
      <w:bookmarkStart w:id="857" w:name="_Toc502225105"/>
      <w:bookmarkEnd w:id="857"/>
      <w:bookmarkStart w:id="858" w:name="_Toc477190434"/>
      <w:bookmarkEnd w:id="858"/>
      <w:bookmarkStart w:id="859" w:name="_Toc477190516"/>
      <w:bookmarkEnd w:id="859"/>
      <w:bookmarkStart w:id="860" w:name="_Toc502225055"/>
      <w:bookmarkEnd w:id="860"/>
      <w:bookmarkStart w:id="861" w:name="_Toc477190443"/>
      <w:bookmarkEnd w:id="861"/>
      <w:bookmarkStart w:id="862" w:name="_Toc477190549"/>
      <w:bookmarkEnd w:id="862"/>
      <w:bookmarkStart w:id="863" w:name="_Toc477190482"/>
      <w:bookmarkEnd w:id="863"/>
      <w:bookmarkStart w:id="864" w:name="_Toc502225042"/>
      <w:bookmarkEnd w:id="864"/>
      <w:bookmarkStart w:id="865" w:name="_Toc477190426"/>
      <w:bookmarkEnd w:id="865"/>
      <w:bookmarkStart w:id="866" w:name="_Toc477190451"/>
      <w:bookmarkEnd w:id="866"/>
      <w:bookmarkStart w:id="867" w:name="_Toc477190564"/>
      <w:bookmarkEnd w:id="867"/>
      <w:bookmarkStart w:id="868" w:name="_Toc502225095"/>
      <w:bookmarkEnd w:id="868"/>
      <w:bookmarkStart w:id="869" w:name="_Toc502225120"/>
      <w:bookmarkEnd w:id="869"/>
      <w:bookmarkStart w:id="870" w:name="_Toc477190561"/>
      <w:bookmarkEnd w:id="870"/>
      <w:bookmarkStart w:id="871" w:name="_Toc502225050"/>
      <w:bookmarkEnd w:id="871"/>
      <w:bookmarkStart w:id="872" w:name="_Toc477190537"/>
      <w:bookmarkEnd w:id="872"/>
      <w:bookmarkStart w:id="873" w:name="_Toc477190468"/>
      <w:bookmarkEnd w:id="873"/>
      <w:bookmarkStart w:id="874" w:name="_Toc477190566"/>
      <w:bookmarkEnd w:id="874"/>
      <w:bookmarkStart w:id="875" w:name="_Toc477190438"/>
      <w:bookmarkEnd w:id="875"/>
      <w:bookmarkStart w:id="876" w:name="_Toc502225047"/>
      <w:bookmarkEnd w:id="876"/>
      <w:bookmarkStart w:id="877" w:name="_Toc477190594"/>
      <w:bookmarkEnd w:id="877"/>
      <w:bookmarkStart w:id="878" w:name="_Toc477190431"/>
      <w:bookmarkEnd w:id="878"/>
      <w:bookmarkStart w:id="879" w:name="_Toc477190470"/>
      <w:bookmarkEnd w:id="879"/>
      <w:bookmarkStart w:id="880" w:name="_Toc477190422"/>
      <w:bookmarkEnd w:id="880"/>
      <w:bookmarkStart w:id="881" w:name="_Toc477190473"/>
      <w:bookmarkEnd w:id="881"/>
      <w:bookmarkStart w:id="882" w:name="_Toc477190449"/>
      <w:bookmarkEnd w:id="882"/>
      <w:bookmarkStart w:id="883" w:name="_Toc477190457"/>
      <w:bookmarkEnd w:id="883"/>
      <w:bookmarkStart w:id="884" w:name="_Toc477190439"/>
      <w:bookmarkEnd w:id="884"/>
      <w:bookmarkStart w:id="885" w:name="_Toc477190416"/>
      <w:bookmarkEnd w:id="885"/>
      <w:bookmarkStart w:id="886" w:name="_Toc477190647"/>
      <w:bookmarkEnd w:id="886"/>
      <w:bookmarkStart w:id="887" w:name="_Toc477190423"/>
      <w:bookmarkEnd w:id="887"/>
      <w:bookmarkStart w:id="888" w:name="_Toc477190455"/>
      <w:bookmarkEnd w:id="888"/>
      <w:bookmarkStart w:id="889" w:name="_Toc477190582"/>
      <w:bookmarkEnd w:id="889"/>
      <w:bookmarkStart w:id="890" w:name="_Toc477190589"/>
      <w:bookmarkEnd w:id="890"/>
      <w:bookmarkStart w:id="891" w:name="_Toc477190498"/>
      <w:bookmarkEnd w:id="891"/>
      <w:bookmarkStart w:id="892" w:name="_Toc477190507"/>
      <w:bookmarkEnd w:id="892"/>
      <w:bookmarkStart w:id="893" w:name="_Toc477190595"/>
      <w:bookmarkEnd w:id="893"/>
      <w:bookmarkStart w:id="894" w:name="_Toc477190600"/>
      <w:bookmarkEnd w:id="894"/>
      <w:bookmarkStart w:id="895" w:name="_Toc502225063"/>
      <w:bookmarkEnd w:id="895"/>
      <w:bookmarkStart w:id="896" w:name="_Toc477190574"/>
      <w:bookmarkEnd w:id="896"/>
      <w:bookmarkStart w:id="897" w:name="_Toc477190599"/>
      <w:bookmarkEnd w:id="897"/>
      <w:bookmarkStart w:id="898" w:name="_Toc477190573"/>
      <w:bookmarkEnd w:id="898"/>
      <w:bookmarkStart w:id="899" w:name="_Toc477190454"/>
      <w:bookmarkEnd w:id="899"/>
      <w:bookmarkStart w:id="900" w:name="_Toc502225046"/>
      <w:bookmarkEnd w:id="900"/>
      <w:bookmarkStart w:id="901" w:name="_Toc477190648"/>
      <w:bookmarkEnd w:id="901"/>
      <w:bookmarkStart w:id="902" w:name="_Toc477190651"/>
      <w:bookmarkEnd w:id="902"/>
      <w:bookmarkStart w:id="903" w:name="_Toc17139"/>
      <w:bookmarkStart w:id="904" w:name="_Toc17202852"/>
      <w:bookmarkStart w:id="905" w:name="_Toc17203569"/>
      <w:bookmarkStart w:id="906" w:name="_Toc17203054"/>
      <w:bookmarkStart w:id="907" w:name="_Toc475472690"/>
      <w:r>
        <w:rPr>
          <w:rFonts w:hint="eastAsia" w:ascii="宋体" w:hAnsi="宋体"/>
          <w:color w:val="auto"/>
          <w:sz w:val="28"/>
          <w:szCs w:val="24"/>
          <w:highlight w:val="none"/>
        </w:rPr>
        <w:t>项目技术和服务要求点对点应答及偏离表</w:t>
      </w:r>
      <w:bookmarkEnd w:id="903"/>
      <w:bookmarkEnd w:id="904"/>
      <w:bookmarkEnd w:id="905"/>
      <w:bookmarkEnd w:id="906"/>
    </w:p>
    <w:p>
      <w:pPr>
        <w:spacing w:before="156" w:beforeLines="50" w:after="156" w:afterLines="50" w:line="400" w:lineRule="exact"/>
        <w:jc w:val="center"/>
        <w:outlineLvl w:val="2"/>
        <w:rPr>
          <w:b/>
          <w:color w:val="auto"/>
          <w:sz w:val="24"/>
          <w:highlight w:val="none"/>
        </w:rPr>
      </w:pPr>
      <w:bookmarkStart w:id="908" w:name="_Toc17202853"/>
      <w:bookmarkStart w:id="909" w:name="_Toc501525179"/>
      <w:r>
        <w:rPr>
          <w:rFonts w:hint="eastAsia"/>
          <w:b/>
          <w:color w:val="auto"/>
          <w:sz w:val="24"/>
          <w:highlight w:val="none"/>
        </w:rPr>
        <w:t>（一）技术条款点对点应答</w:t>
      </w:r>
      <w:bookmarkEnd w:id="908"/>
      <w:bookmarkEnd w:id="909"/>
    </w:p>
    <w:p>
      <w:pPr>
        <w:tabs>
          <w:tab w:val="left" w:pos="318"/>
        </w:tabs>
        <w:spacing w:line="400" w:lineRule="exact"/>
        <w:rPr>
          <w:color w:val="auto"/>
          <w:highlight w:val="none"/>
        </w:rPr>
      </w:pPr>
      <w:r>
        <w:rPr>
          <w:rFonts w:hint="eastAsia"/>
          <w:color w:val="auto"/>
          <w:highlight w:val="none"/>
        </w:rPr>
        <w:t>注：1）参选人应</w:t>
      </w:r>
      <w:r>
        <w:rPr>
          <w:color w:val="auto"/>
          <w:highlight w:val="none"/>
        </w:rPr>
        <w:t>对比选文件中的</w:t>
      </w:r>
      <w:r>
        <w:rPr>
          <w:rFonts w:hint="eastAsia"/>
          <w:b/>
          <w:bCs/>
          <w:color w:val="auto"/>
          <w:highlight w:val="none"/>
        </w:rPr>
        <w:t>“第五章 项目技术和服务要求”</w:t>
      </w:r>
      <w:r>
        <w:rPr>
          <w:color w:val="auto"/>
          <w:highlight w:val="none"/>
        </w:rPr>
        <w:t>进行点对点应答</w:t>
      </w:r>
      <w:r>
        <w:rPr>
          <w:rFonts w:hint="eastAsia"/>
          <w:color w:val="auto"/>
          <w:highlight w:val="none"/>
        </w:rPr>
        <w:t>。无点对点应答且无填写偏离表的，将</w:t>
      </w:r>
      <w:r>
        <w:rPr>
          <w:color w:val="auto"/>
          <w:highlight w:val="none"/>
        </w:rPr>
        <w:t>导致其参选</w:t>
      </w:r>
      <w:r>
        <w:rPr>
          <w:rFonts w:hint="eastAsia"/>
          <w:color w:val="auto"/>
          <w:highlight w:val="none"/>
        </w:rPr>
        <w:t>无效。</w:t>
      </w:r>
    </w:p>
    <w:p>
      <w:pPr>
        <w:tabs>
          <w:tab w:val="left" w:pos="318"/>
        </w:tabs>
        <w:spacing w:line="400" w:lineRule="exact"/>
        <w:ind w:firstLine="420" w:firstLineChars="200"/>
        <w:rPr>
          <w:rFonts w:ascii="宋体" w:hAnsi="宋体" w:cs="宋体"/>
          <w:bCs/>
          <w:color w:val="auto"/>
          <w:szCs w:val="21"/>
          <w:highlight w:val="none"/>
        </w:rPr>
      </w:pPr>
      <w:r>
        <w:rPr>
          <w:rFonts w:hint="eastAsia"/>
          <w:color w:val="auto"/>
          <w:highlight w:val="none"/>
        </w:rPr>
        <w:t>2）</w:t>
      </w:r>
      <w:r>
        <w:rPr>
          <w:rFonts w:hint="eastAsia" w:ascii="宋体" w:hAnsi="宋体" w:cs="宋体"/>
          <w:bCs/>
          <w:color w:val="auto"/>
          <w:szCs w:val="21"/>
          <w:highlight w:val="none"/>
        </w:rPr>
        <w:t>参选人须对每一款作出明确答复</w:t>
      </w:r>
      <w:r>
        <w:rPr>
          <w:rFonts w:ascii="宋体" w:hAnsi="宋体" w:cs="宋体"/>
          <w:bCs/>
          <w:color w:val="auto"/>
          <w:szCs w:val="21"/>
          <w:highlight w:val="none"/>
        </w:rPr>
        <w:t>(</w:t>
      </w:r>
      <w:r>
        <w:rPr>
          <w:rFonts w:hint="eastAsia" w:ascii="宋体" w:hAnsi="宋体" w:cs="宋体"/>
          <w:bCs/>
          <w:color w:val="auto"/>
          <w:szCs w:val="21"/>
          <w:highlight w:val="none"/>
        </w:rPr>
        <w:t>如果需要，可给出详细的应答内容</w:t>
      </w:r>
      <w:r>
        <w:rPr>
          <w:rFonts w:ascii="宋体" w:hAnsi="宋体" w:cs="宋体"/>
          <w:bCs/>
          <w:color w:val="auto"/>
          <w:szCs w:val="21"/>
          <w:highlight w:val="none"/>
        </w:rPr>
        <w:t>)</w:t>
      </w:r>
      <w:r>
        <w:rPr>
          <w:rFonts w:hint="eastAsia" w:ascii="宋体" w:hAnsi="宋体" w:cs="宋体"/>
          <w:bCs/>
          <w:color w:val="auto"/>
          <w:szCs w:val="21"/>
          <w:highlight w:val="none"/>
        </w:rPr>
        <w:t>，否则将可能被视为放弃应答。诸如“已知”、“理解”、“明白”或“同意”等这样非确切的答复是不可接受的。</w:t>
      </w:r>
    </w:p>
    <w:p>
      <w:pPr>
        <w:tabs>
          <w:tab w:val="left" w:pos="318"/>
        </w:tabs>
        <w:spacing w:line="400" w:lineRule="exact"/>
        <w:ind w:firstLine="420" w:firstLineChars="200"/>
        <w:rPr>
          <w:color w:val="auto"/>
          <w:highlight w:val="none"/>
        </w:rPr>
      </w:pPr>
      <w:r>
        <w:rPr>
          <w:rFonts w:hint="eastAsia" w:ascii="宋体" w:hAnsi="宋体" w:cs="宋体"/>
          <w:bCs/>
          <w:color w:val="auto"/>
          <w:szCs w:val="21"/>
          <w:highlight w:val="none"/>
        </w:rPr>
        <w:t>3）如比选文件中所列指标有具体要求、参数或指标要求的，参选文件中除回答“满足”、“部分满足”或“不满足”外，还须列出具体要求、参数或指标。</w:t>
      </w:r>
    </w:p>
    <w:p>
      <w:pPr>
        <w:rPr>
          <w:color w:val="auto"/>
          <w:highlight w:val="none"/>
        </w:rPr>
      </w:pPr>
      <w:r>
        <w:rPr>
          <w:rFonts w:ascii="宋体" w:hAnsi="宋体"/>
          <w:bCs/>
          <w:color w:val="auto"/>
          <w:szCs w:val="21"/>
          <w:highlight w:val="none"/>
        </w:rPr>
        <w:t>……</w:t>
      </w:r>
    </w:p>
    <w:p>
      <w:pPr>
        <w:rPr>
          <w:color w:val="auto"/>
          <w:highlight w:val="none"/>
        </w:rPr>
      </w:pPr>
    </w:p>
    <w:p>
      <w:pPr>
        <w:spacing w:before="156" w:beforeLines="50" w:after="156" w:afterLines="50" w:line="400" w:lineRule="exact"/>
        <w:jc w:val="center"/>
        <w:outlineLvl w:val="2"/>
        <w:rPr>
          <w:b/>
          <w:color w:val="auto"/>
          <w:sz w:val="24"/>
          <w:highlight w:val="none"/>
        </w:rPr>
      </w:pPr>
      <w:bookmarkStart w:id="910" w:name="_Toc17202854"/>
      <w:bookmarkStart w:id="911" w:name="_Toc501525180"/>
      <w:r>
        <w:rPr>
          <w:rFonts w:hint="eastAsia"/>
          <w:b/>
          <w:color w:val="auto"/>
          <w:sz w:val="24"/>
          <w:highlight w:val="none"/>
        </w:rPr>
        <w:t>（二）技术条款偏离表</w:t>
      </w:r>
      <w:bookmarkEnd w:id="910"/>
      <w:bookmarkEnd w:id="911"/>
    </w:p>
    <w:p>
      <w:pPr>
        <w:rPr>
          <w:color w:val="auto"/>
          <w:szCs w:val="21"/>
          <w:highlight w:val="none"/>
        </w:rPr>
      </w:pPr>
      <w:r>
        <w:rPr>
          <w:rFonts w:hint="eastAsia"/>
          <w:color w:val="auto"/>
          <w:szCs w:val="21"/>
          <w:highlight w:val="none"/>
        </w:rPr>
        <w:t>项目名称：</w:t>
      </w:r>
      <w:r>
        <w:rPr>
          <w:rFonts w:hint="eastAsia"/>
          <w:color w:val="auto"/>
          <w:szCs w:val="21"/>
          <w:highlight w:val="none"/>
          <w:u w:val="single"/>
        </w:rPr>
        <w:t xml:space="preserve">                </w:t>
      </w:r>
      <w:r>
        <w:rPr>
          <w:rFonts w:hint="eastAsia"/>
          <w:color w:val="auto"/>
          <w:szCs w:val="21"/>
          <w:highlight w:val="none"/>
        </w:rPr>
        <w:t xml:space="preserve">  比选代理机构编号：</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标段：</w:t>
      </w:r>
      <w:r>
        <w:rPr>
          <w:color w:val="auto"/>
          <w:szCs w:val="21"/>
          <w:highlight w:val="none"/>
          <w:u w:val="single"/>
        </w:rPr>
        <w:t xml:space="preserve">               </w:t>
      </w:r>
      <w:r>
        <w:rPr>
          <w:color w:val="auto"/>
          <w:szCs w:val="21"/>
          <w:highlight w:val="none"/>
        </w:rPr>
        <w:t xml:space="preserve">                                           </w:t>
      </w:r>
    </w:p>
    <w:tbl>
      <w:tblPr>
        <w:tblStyle w:val="37"/>
        <w:tblW w:w="8506" w:type="dxa"/>
        <w:tblInd w:w="-3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51"/>
        <w:gridCol w:w="1701"/>
        <w:gridCol w:w="2126"/>
        <w:gridCol w:w="2410"/>
        <w:gridCol w:w="141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51" w:type="dxa"/>
            <w:vAlign w:val="center"/>
          </w:tcPr>
          <w:p>
            <w:pPr>
              <w:widowControl/>
              <w:snapToGrid w:val="0"/>
              <w:spacing w:before="156" w:beforeLines="50" w:line="360" w:lineRule="auto"/>
              <w:jc w:val="center"/>
              <w:rPr>
                <w:rFonts w:ascii="宋体" w:hAnsi="宋体"/>
                <w:color w:val="auto"/>
                <w:kern w:val="0"/>
                <w:szCs w:val="21"/>
                <w:highlight w:val="none"/>
              </w:rPr>
            </w:pPr>
            <w:r>
              <w:rPr>
                <w:rFonts w:hint="eastAsia" w:ascii="宋体" w:hAnsi="宋体"/>
                <w:color w:val="auto"/>
                <w:kern w:val="0"/>
                <w:szCs w:val="21"/>
                <w:highlight w:val="none"/>
              </w:rPr>
              <w:t>序号</w:t>
            </w:r>
          </w:p>
        </w:tc>
        <w:tc>
          <w:tcPr>
            <w:tcW w:w="1701" w:type="dxa"/>
            <w:vAlign w:val="center"/>
          </w:tcPr>
          <w:p>
            <w:pPr>
              <w:widowControl/>
              <w:snapToGrid w:val="0"/>
              <w:spacing w:before="156" w:beforeLines="50" w:line="360" w:lineRule="auto"/>
              <w:jc w:val="center"/>
              <w:rPr>
                <w:rFonts w:ascii="宋体" w:hAnsi="宋体"/>
                <w:color w:val="auto"/>
                <w:kern w:val="0"/>
                <w:szCs w:val="21"/>
                <w:highlight w:val="none"/>
              </w:rPr>
            </w:pPr>
            <w:r>
              <w:rPr>
                <w:rFonts w:hint="eastAsia" w:ascii="宋体" w:hAnsi="宋体"/>
                <w:color w:val="auto"/>
                <w:kern w:val="0"/>
                <w:szCs w:val="21"/>
                <w:highlight w:val="none"/>
              </w:rPr>
              <w:t>比选文件条目号</w:t>
            </w:r>
          </w:p>
        </w:tc>
        <w:tc>
          <w:tcPr>
            <w:tcW w:w="2126" w:type="dxa"/>
            <w:vAlign w:val="center"/>
          </w:tcPr>
          <w:p>
            <w:pPr>
              <w:widowControl/>
              <w:snapToGrid w:val="0"/>
              <w:spacing w:before="156" w:beforeLines="50" w:line="360" w:lineRule="auto"/>
              <w:jc w:val="center"/>
              <w:rPr>
                <w:rFonts w:ascii="宋体" w:hAnsi="宋体"/>
                <w:color w:val="auto"/>
                <w:kern w:val="0"/>
                <w:szCs w:val="21"/>
                <w:highlight w:val="none"/>
              </w:rPr>
            </w:pPr>
            <w:r>
              <w:rPr>
                <w:rFonts w:hint="eastAsia" w:ascii="宋体" w:hAnsi="宋体"/>
                <w:color w:val="auto"/>
                <w:kern w:val="0"/>
                <w:szCs w:val="21"/>
                <w:highlight w:val="none"/>
              </w:rPr>
              <w:t>比选文件的技术条款</w:t>
            </w:r>
          </w:p>
        </w:tc>
        <w:tc>
          <w:tcPr>
            <w:tcW w:w="2410" w:type="dxa"/>
            <w:vAlign w:val="center"/>
          </w:tcPr>
          <w:p>
            <w:pPr>
              <w:widowControl/>
              <w:snapToGrid w:val="0"/>
              <w:spacing w:before="156" w:beforeLines="50"/>
              <w:jc w:val="center"/>
              <w:rPr>
                <w:rFonts w:ascii="宋体" w:hAnsi="宋体"/>
                <w:color w:val="auto"/>
                <w:kern w:val="0"/>
                <w:szCs w:val="21"/>
                <w:highlight w:val="none"/>
              </w:rPr>
            </w:pPr>
            <w:r>
              <w:rPr>
                <w:rFonts w:hint="eastAsia" w:ascii="宋体" w:hAnsi="宋体"/>
                <w:color w:val="auto"/>
                <w:kern w:val="0"/>
                <w:szCs w:val="21"/>
                <w:highlight w:val="none"/>
              </w:rPr>
              <w:t>参选文件偏离情况</w:t>
            </w:r>
          </w:p>
        </w:tc>
        <w:tc>
          <w:tcPr>
            <w:tcW w:w="1418" w:type="dxa"/>
            <w:vAlign w:val="center"/>
          </w:tcPr>
          <w:p>
            <w:pPr>
              <w:widowControl/>
              <w:snapToGrid w:val="0"/>
              <w:spacing w:before="156" w:beforeLines="50"/>
              <w:jc w:val="center"/>
              <w:rPr>
                <w:rFonts w:ascii="宋体" w:hAnsi="宋体"/>
                <w:color w:val="auto"/>
                <w:kern w:val="0"/>
                <w:szCs w:val="21"/>
                <w:highlight w:val="none"/>
              </w:rPr>
            </w:pPr>
            <w:r>
              <w:rPr>
                <w:rFonts w:hint="eastAsia" w:ascii="宋体" w:hAnsi="宋体"/>
                <w:color w:val="auto"/>
                <w:kern w:val="0"/>
                <w:szCs w:val="21"/>
                <w:highlight w:val="none"/>
              </w:rPr>
              <w:t>说明（正偏离/负偏离/无偏离）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37" w:hRule="atLeast"/>
        </w:trPr>
        <w:tc>
          <w:tcPr>
            <w:tcW w:w="851" w:type="dxa"/>
            <w:vAlign w:val="center"/>
          </w:tcPr>
          <w:p>
            <w:pPr>
              <w:widowControl/>
              <w:snapToGrid w:val="0"/>
              <w:spacing w:before="156" w:beforeLines="50" w:line="360" w:lineRule="auto"/>
              <w:jc w:val="center"/>
              <w:rPr>
                <w:rFonts w:ascii="宋体" w:hAnsi="宋体"/>
                <w:color w:val="auto"/>
                <w:kern w:val="0"/>
                <w:szCs w:val="21"/>
                <w:highlight w:val="none"/>
              </w:rPr>
            </w:pPr>
          </w:p>
        </w:tc>
        <w:tc>
          <w:tcPr>
            <w:tcW w:w="1701" w:type="dxa"/>
            <w:vAlign w:val="center"/>
          </w:tcPr>
          <w:p>
            <w:pPr>
              <w:widowControl/>
              <w:snapToGrid w:val="0"/>
              <w:spacing w:before="156" w:beforeLines="50" w:line="360" w:lineRule="auto"/>
              <w:jc w:val="center"/>
              <w:rPr>
                <w:rFonts w:ascii="宋体" w:hAnsi="宋体"/>
                <w:color w:val="auto"/>
                <w:kern w:val="0"/>
                <w:szCs w:val="21"/>
                <w:highlight w:val="none"/>
              </w:rPr>
            </w:pPr>
          </w:p>
        </w:tc>
        <w:tc>
          <w:tcPr>
            <w:tcW w:w="2126" w:type="dxa"/>
            <w:vAlign w:val="center"/>
          </w:tcPr>
          <w:p>
            <w:pPr>
              <w:widowControl/>
              <w:snapToGrid w:val="0"/>
              <w:spacing w:before="156" w:beforeLines="50" w:line="360" w:lineRule="auto"/>
              <w:jc w:val="center"/>
              <w:rPr>
                <w:rFonts w:ascii="宋体" w:hAnsi="宋体"/>
                <w:color w:val="auto"/>
                <w:kern w:val="0"/>
                <w:szCs w:val="21"/>
                <w:highlight w:val="none"/>
              </w:rPr>
            </w:pPr>
          </w:p>
        </w:tc>
        <w:tc>
          <w:tcPr>
            <w:tcW w:w="2410" w:type="dxa"/>
            <w:vAlign w:val="center"/>
          </w:tcPr>
          <w:p>
            <w:pPr>
              <w:widowControl/>
              <w:snapToGrid w:val="0"/>
              <w:spacing w:before="156" w:beforeLines="50"/>
              <w:jc w:val="center"/>
              <w:rPr>
                <w:rFonts w:ascii="宋体" w:hAnsi="宋体"/>
                <w:color w:val="auto"/>
                <w:kern w:val="0"/>
                <w:szCs w:val="21"/>
                <w:highlight w:val="none"/>
              </w:rPr>
            </w:pPr>
          </w:p>
        </w:tc>
        <w:tc>
          <w:tcPr>
            <w:tcW w:w="1418" w:type="dxa"/>
            <w:vAlign w:val="center"/>
          </w:tcPr>
          <w:p>
            <w:pPr>
              <w:widowControl/>
              <w:snapToGrid w:val="0"/>
              <w:spacing w:before="156" w:beforeLines="50"/>
              <w:jc w:val="center"/>
              <w:rPr>
                <w:rFonts w:ascii="宋体" w:hAnsi="宋体"/>
                <w:color w:val="auto"/>
                <w:kern w:val="0"/>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37" w:hRule="atLeast"/>
        </w:trPr>
        <w:tc>
          <w:tcPr>
            <w:tcW w:w="851" w:type="dxa"/>
            <w:vAlign w:val="center"/>
          </w:tcPr>
          <w:p>
            <w:pPr>
              <w:widowControl/>
              <w:snapToGrid w:val="0"/>
              <w:spacing w:before="156" w:beforeLines="50" w:line="360" w:lineRule="auto"/>
              <w:jc w:val="center"/>
              <w:rPr>
                <w:rFonts w:ascii="宋体" w:hAnsi="宋体"/>
                <w:color w:val="auto"/>
                <w:kern w:val="0"/>
                <w:szCs w:val="21"/>
                <w:highlight w:val="none"/>
              </w:rPr>
            </w:pPr>
          </w:p>
        </w:tc>
        <w:tc>
          <w:tcPr>
            <w:tcW w:w="1701" w:type="dxa"/>
            <w:vAlign w:val="center"/>
          </w:tcPr>
          <w:p>
            <w:pPr>
              <w:widowControl/>
              <w:snapToGrid w:val="0"/>
              <w:spacing w:before="156" w:beforeLines="50" w:line="360" w:lineRule="auto"/>
              <w:jc w:val="center"/>
              <w:rPr>
                <w:rFonts w:ascii="宋体" w:hAnsi="宋体"/>
                <w:color w:val="auto"/>
                <w:kern w:val="0"/>
                <w:szCs w:val="21"/>
                <w:highlight w:val="none"/>
              </w:rPr>
            </w:pPr>
          </w:p>
        </w:tc>
        <w:tc>
          <w:tcPr>
            <w:tcW w:w="2126" w:type="dxa"/>
            <w:vAlign w:val="center"/>
          </w:tcPr>
          <w:p>
            <w:pPr>
              <w:widowControl/>
              <w:snapToGrid w:val="0"/>
              <w:spacing w:before="156" w:beforeLines="50" w:line="360" w:lineRule="auto"/>
              <w:jc w:val="center"/>
              <w:rPr>
                <w:rFonts w:ascii="宋体" w:hAnsi="宋体"/>
                <w:color w:val="auto"/>
                <w:kern w:val="0"/>
                <w:szCs w:val="21"/>
                <w:highlight w:val="none"/>
              </w:rPr>
            </w:pPr>
          </w:p>
        </w:tc>
        <w:tc>
          <w:tcPr>
            <w:tcW w:w="2410" w:type="dxa"/>
            <w:vAlign w:val="center"/>
          </w:tcPr>
          <w:p>
            <w:pPr>
              <w:widowControl/>
              <w:snapToGrid w:val="0"/>
              <w:spacing w:before="156" w:beforeLines="50"/>
              <w:jc w:val="center"/>
              <w:rPr>
                <w:rFonts w:ascii="宋体" w:hAnsi="宋体"/>
                <w:color w:val="auto"/>
                <w:kern w:val="0"/>
                <w:szCs w:val="21"/>
                <w:highlight w:val="none"/>
              </w:rPr>
            </w:pPr>
          </w:p>
        </w:tc>
        <w:tc>
          <w:tcPr>
            <w:tcW w:w="1418" w:type="dxa"/>
            <w:vAlign w:val="center"/>
          </w:tcPr>
          <w:p>
            <w:pPr>
              <w:widowControl/>
              <w:snapToGrid w:val="0"/>
              <w:spacing w:before="156" w:beforeLines="50"/>
              <w:jc w:val="center"/>
              <w:rPr>
                <w:rFonts w:ascii="宋体" w:hAnsi="宋体"/>
                <w:color w:val="auto"/>
                <w:kern w:val="0"/>
                <w:szCs w:val="21"/>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37" w:hRule="atLeast"/>
        </w:trPr>
        <w:tc>
          <w:tcPr>
            <w:tcW w:w="851" w:type="dxa"/>
            <w:vAlign w:val="center"/>
          </w:tcPr>
          <w:p>
            <w:pPr>
              <w:widowControl/>
              <w:snapToGrid w:val="0"/>
              <w:spacing w:before="156" w:beforeLines="50" w:line="360" w:lineRule="auto"/>
              <w:jc w:val="center"/>
              <w:rPr>
                <w:rFonts w:ascii="宋体" w:hAnsi="宋体"/>
                <w:color w:val="auto"/>
                <w:kern w:val="0"/>
                <w:szCs w:val="21"/>
                <w:highlight w:val="none"/>
              </w:rPr>
            </w:pPr>
          </w:p>
        </w:tc>
        <w:tc>
          <w:tcPr>
            <w:tcW w:w="1701" w:type="dxa"/>
            <w:vAlign w:val="center"/>
          </w:tcPr>
          <w:p>
            <w:pPr>
              <w:widowControl/>
              <w:snapToGrid w:val="0"/>
              <w:spacing w:before="156" w:beforeLines="50" w:line="360" w:lineRule="auto"/>
              <w:jc w:val="center"/>
              <w:rPr>
                <w:rFonts w:ascii="宋体" w:hAnsi="宋体"/>
                <w:color w:val="auto"/>
                <w:kern w:val="0"/>
                <w:szCs w:val="21"/>
                <w:highlight w:val="none"/>
              </w:rPr>
            </w:pPr>
          </w:p>
        </w:tc>
        <w:tc>
          <w:tcPr>
            <w:tcW w:w="2126" w:type="dxa"/>
            <w:vAlign w:val="center"/>
          </w:tcPr>
          <w:p>
            <w:pPr>
              <w:widowControl/>
              <w:snapToGrid w:val="0"/>
              <w:spacing w:before="156" w:beforeLines="50" w:line="360" w:lineRule="auto"/>
              <w:jc w:val="center"/>
              <w:rPr>
                <w:rFonts w:ascii="宋体" w:hAnsi="宋体"/>
                <w:color w:val="auto"/>
                <w:kern w:val="0"/>
                <w:szCs w:val="21"/>
                <w:highlight w:val="none"/>
              </w:rPr>
            </w:pPr>
          </w:p>
        </w:tc>
        <w:tc>
          <w:tcPr>
            <w:tcW w:w="2410" w:type="dxa"/>
            <w:vAlign w:val="center"/>
          </w:tcPr>
          <w:p>
            <w:pPr>
              <w:widowControl/>
              <w:snapToGrid w:val="0"/>
              <w:spacing w:before="156" w:beforeLines="50"/>
              <w:jc w:val="center"/>
              <w:rPr>
                <w:rFonts w:ascii="宋体" w:hAnsi="宋体"/>
                <w:color w:val="auto"/>
                <w:kern w:val="0"/>
                <w:szCs w:val="21"/>
                <w:highlight w:val="none"/>
              </w:rPr>
            </w:pPr>
          </w:p>
        </w:tc>
        <w:tc>
          <w:tcPr>
            <w:tcW w:w="1418" w:type="dxa"/>
            <w:vAlign w:val="center"/>
          </w:tcPr>
          <w:p>
            <w:pPr>
              <w:widowControl/>
              <w:snapToGrid w:val="0"/>
              <w:spacing w:before="156" w:beforeLines="50"/>
              <w:jc w:val="center"/>
              <w:rPr>
                <w:rFonts w:ascii="宋体" w:hAnsi="宋体"/>
                <w:color w:val="auto"/>
                <w:kern w:val="0"/>
                <w:szCs w:val="21"/>
                <w:highlight w:val="none"/>
              </w:rPr>
            </w:pPr>
          </w:p>
        </w:tc>
      </w:tr>
    </w:tbl>
    <w:p>
      <w:pPr>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注：</w:t>
      </w:r>
      <w:r>
        <w:rPr>
          <w:rFonts w:ascii="宋体" w:hAnsi="宋体"/>
          <w:color w:val="auto"/>
          <w:szCs w:val="21"/>
          <w:highlight w:val="none"/>
        </w:rPr>
        <w:t>1.参选人应当逐条对照比选文件”</w:t>
      </w:r>
      <w:r>
        <w:rPr>
          <w:rFonts w:hint="eastAsia" w:ascii="宋体" w:hAnsi="宋体"/>
          <w:color w:val="auto"/>
          <w:szCs w:val="21"/>
          <w:highlight w:val="none"/>
        </w:rPr>
        <w:t>第五章</w:t>
      </w:r>
      <w:r>
        <w:rPr>
          <w:rFonts w:ascii="宋体" w:hAnsi="宋体"/>
          <w:color w:val="auto"/>
          <w:szCs w:val="21"/>
          <w:highlight w:val="none"/>
        </w:rPr>
        <w:t xml:space="preserve"> </w:t>
      </w:r>
      <w:r>
        <w:rPr>
          <w:rFonts w:hint="eastAsia" w:ascii="宋体" w:hAnsi="宋体"/>
          <w:color w:val="auto"/>
          <w:szCs w:val="21"/>
          <w:highlight w:val="none"/>
        </w:rPr>
        <w:t>项目技术和服务要求</w:t>
      </w:r>
      <w:r>
        <w:rPr>
          <w:rFonts w:ascii="宋体" w:hAnsi="宋体"/>
          <w:color w:val="auto"/>
          <w:szCs w:val="21"/>
          <w:highlight w:val="none"/>
        </w:rPr>
        <w:t>”</w:t>
      </w:r>
      <w:r>
        <w:rPr>
          <w:rFonts w:hint="eastAsia" w:ascii="宋体" w:hAnsi="宋体"/>
          <w:color w:val="auto"/>
          <w:szCs w:val="21"/>
          <w:highlight w:val="none"/>
        </w:rPr>
        <w:t>条款，就参选文件对技术条款存在的偏差与例外逐条做出说明；</w:t>
      </w:r>
    </w:p>
    <w:p>
      <w:pPr>
        <w:spacing w:line="440" w:lineRule="exact"/>
        <w:ind w:firstLine="420" w:firstLineChars="200"/>
        <w:jc w:val="left"/>
        <w:rPr>
          <w:rFonts w:ascii="宋体" w:hAnsi="宋体"/>
          <w:color w:val="auto"/>
          <w:szCs w:val="21"/>
          <w:highlight w:val="none"/>
        </w:rPr>
      </w:pPr>
      <w:r>
        <w:rPr>
          <w:rFonts w:ascii="宋体" w:hAnsi="宋体"/>
          <w:color w:val="auto"/>
          <w:szCs w:val="21"/>
          <w:highlight w:val="none"/>
        </w:rPr>
        <w:t>2.如参选文件对技术条款无任何偏差，参选人仅需在本偏离表中填写“无偏离”即可。</w:t>
      </w:r>
    </w:p>
    <w:p>
      <w:pPr>
        <w:spacing w:after="120"/>
        <w:rPr>
          <w:rFonts w:ascii="宋体" w:hAnsi="宋体"/>
          <w:color w:val="auto"/>
          <w:szCs w:val="21"/>
          <w:highlight w:val="none"/>
        </w:rPr>
      </w:pPr>
    </w:p>
    <w:p>
      <w:pPr>
        <w:spacing w:line="360" w:lineRule="auto"/>
        <w:ind w:firstLine="3675" w:firstLineChars="1750"/>
        <w:rPr>
          <w:color w:val="auto"/>
          <w:szCs w:val="21"/>
          <w:highlight w:val="none"/>
        </w:rPr>
      </w:pPr>
      <w:r>
        <w:rPr>
          <w:color w:val="auto"/>
          <w:szCs w:val="21"/>
          <w:highlight w:val="none"/>
        </w:rPr>
        <w:t>参 选 人：</w:t>
      </w:r>
      <w:r>
        <w:rPr>
          <w:color w:val="auto"/>
          <w:szCs w:val="21"/>
          <w:highlight w:val="none"/>
          <w:u w:val="single"/>
        </w:rPr>
        <w:t xml:space="preserve">                      </w:t>
      </w:r>
      <w:r>
        <w:rPr>
          <w:color w:val="auto"/>
          <w:szCs w:val="21"/>
          <w:highlight w:val="none"/>
        </w:rPr>
        <w:t>（盖单位公章）</w:t>
      </w:r>
    </w:p>
    <w:p>
      <w:pPr>
        <w:spacing w:line="360" w:lineRule="auto"/>
        <w:ind w:firstLine="3675" w:firstLineChars="1750"/>
        <w:rPr>
          <w:color w:val="auto"/>
          <w:szCs w:val="21"/>
          <w:highlight w:val="none"/>
        </w:rPr>
      </w:pPr>
      <w:r>
        <w:rPr>
          <w:color w:val="auto"/>
          <w:szCs w:val="21"/>
          <w:highlight w:val="none"/>
        </w:rPr>
        <w:t>法定代表人或其委托代理人：</w:t>
      </w:r>
      <w:r>
        <w:rPr>
          <w:color w:val="auto"/>
          <w:szCs w:val="21"/>
          <w:highlight w:val="none"/>
          <w:u w:val="single"/>
        </w:rPr>
        <w:t xml:space="preserve">      </w:t>
      </w:r>
      <w:r>
        <w:rPr>
          <w:rFonts w:hint="eastAsia"/>
          <w:color w:val="auto"/>
          <w:szCs w:val="21"/>
          <w:highlight w:val="none"/>
          <w:u w:val="single"/>
        </w:rPr>
        <w:t xml:space="preserve">   </w:t>
      </w:r>
      <w:r>
        <w:rPr>
          <w:color w:val="auto"/>
          <w:szCs w:val="21"/>
          <w:highlight w:val="none"/>
          <w:u w:val="single"/>
        </w:rPr>
        <w:t xml:space="preserve"> </w:t>
      </w:r>
      <w:r>
        <w:rPr>
          <w:color w:val="auto"/>
          <w:szCs w:val="21"/>
          <w:highlight w:val="none"/>
        </w:rPr>
        <w:t>（签字）</w:t>
      </w:r>
    </w:p>
    <w:p>
      <w:pPr>
        <w:spacing w:line="360" w:lineRule="auto"/>
        <w:ind w:firstLine="3675" w:firstLineChars="1750"/>
        <w:rPr>
          <w:color w:val="auto"/>
          <w:szCs w:val="21"/>
          <w:highlight w:val="none"/>
        </w:rPr>
      </w:pPr>
      <w:r>
        <w:rPr>
          <w:color w:val="auto"/>
          <w:szCs w:val="21"/>
          <w:highlight w:val="none"/>
          <w:u w:val="single"/>
        </w:rPr>
        <w:t xml:space="preserve">    </w:t>
      </w:r>
      <w:r>
        <w:rPr>
          <w:rFonts w:hint="eastAsia"/>
          <w:color w:val="auto"/>
          <w:szCs w:val="21"/>
          <w:highlight w:val="none"/>
          <w:u w:val="single"/>
        </w:rPr>
        <w:t xml:space="preserve">    </w:t>
      </w:r>
      <w:r>
        <w:rPr>
          <w:color w:val="auto"/>
          <w:szCs w:val="21"/>
          <w:highlight w:val="none"/>
        </w:rPr>
        <w:t xml:space="preserve">年 </w:t>
      </w:r>
      <w:r>
        <w:rPr>
          <w:rFonts w:hint="eastAsia"/>
          <w:color w:val="auto"/>
          <w:szCs w:val="21"/>
          <w:highlight w:val="none"/>
          <w:u w:val="single"/>
        </w:rPr>
        <w:t xml:space="preserve">       </w:t>
      </w:r>
      <w:r>
        <w:rPr>
          <w:color w:val="auto"/>
          <w:szCs w:val="21"/>
          <w:highlight w:val="none"/>
        </w:rPr>
        <w:t>月</w:t>
      </w:r>
      <w:r>
        <w:rPr>
          <w:rFonts w:hint="eastAsia"/>
          <w:color w:val="auto"/>
          <w:szCs w:val="21"/>
          <w:highlight w:val="none"/>
          <w:u w:val="single"/>
        </w:rPr>
        <w:t xml:space="preserve">      </w:t>
      </w:r>
      <w:r>
        <w:rPr>
          <w:rFonts w:hint="eastAsia"/>
          <w:color w:val="auto"/>
          <w:szCs w:val="21"/>
          <w:highlight w:val="none"/>
        </w:rPr>
        <w:t>日</w:t>
      </w:r>
      <w:bookmarkEnd w:id="907"/>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sectPr>
          <w:pgSz w:w="11906" w:h="16838"/>
          <w:pgMar w:top="1440" w:right="1797" w:bottom="1440" w:left="1797" w:header="851" w:footer="992" w:gutter="0"/>
          <w:cols w:space="425" w:num="1"/>
          <w:docGrid w:type="lines" w:linePitch="312" w:charSpace="0"/>
        </w:sectPr>
      </w:pPr>
      <w:bookmarkStart w:id="912" w:name="_Toc502225128"/>
      <w:bookmarkEnd w:id="912"/>
      <w:bookmarkStart w:id="913" w:name="_Toc502225129"/>
      <w:bookmarkEnd w:id="913"/>
      <w:bookmarkStart w:id="914" w:name="_Toc502225131"/>
      <w:bookmarkEnd w:id="914"/>
      <w:bookmarkStart w:id="915" w:name="_Toc502225130"/>
      <w:bookmarkEnd w:id="915"/>
      <w:bookmarkStart w:id="916" w:name="_Toc17203055"/>
      <w:bookmarkStart w:id="917" w:name="_Toc17203570"/>
      <w:bookmarkStart w:id="918" w:name="_Toc17202855"/>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919" w:name="_Toc29687"/>
      <w:r>
        <w:rPr>
          <w:rFonts w:hint="eastAsia" w:ascii="宋体" w:hAnsi="宋体"/>
          <w:color w:val="auto"/>
          <w:sz w:val="28"/>
          <w:szCs w:val="24"/>
          <w:highlight w:val="none"/>
        </w:rPr>
        <w:t>项目管理团队承诺</w:t>
      </w:r>
      <w:bookmarkEnd w:id="916"/>
      <w:bookmarkEnd w:id="917"/>
      <w:bookmarkEnd w:id="918"/>
      <w:bookmarkEnd w:id="919"/>
    </w:p>
    <w:p>
      <w:pPr>
        <w:spacing w:line="480" w:lineRule="auto"/>
        <w:jc w:val="left"/>
        <w:rPr>
          <w:rFonts w:ascii="黑体"/>
          <w:color w:val="auto"/>
          <w:sz w:val="24"/>
          <w:highlight w:val="none"/>
        </w:rPr>
      </w:pPr>
      <w:r>
        <w:rPr>
          <w:rFonts w:ascii="黑体"/>
          <w:color w:val="auto"/>
          <w:sz w:val="24"/>
          <w:highlight w:val="none"/>
        </w:rPr>
        <w:t>附表</w:t>
      </w:r>
      <w:r>
        <w:rPr>
          <w:rFonts w:hint="eastAsia" w:ascii="黑体"/>
          <w:color w:val="auto"/>
          <w:sz w:val="24"/>
          <w:highlight w:val="none"/>
        </w:rPr>
        <w:t>1</w:t>
      </w:r>
      <w:r>
        <w:rPr>
          <w:rFonts w:ascii="黑体"/>
          <w:color w:val="auto"/>
          <w:sz w:val="24"/>
          <w:highlight w:val="none"/>
        </w:rPr>
        <w:t>：项目管理机构</w:t>
      </w:r>
      <w:r>
        <w:rPr>
          <w:rFonts w:hint="eastAsia" w:ascii="黑体"/>
          <w:color w:val="auto"/>
          <w:sz w:val="24"/>
          <w:highlight w:val="none"/>
        </w:rPr>
        <w:t>人员</w:t>
      </w:r>
      <w:r>
        <w:rPr>
          <w:rFonts w:ascii="黑体"/>
          <w:color w:val="auto"/>
          <w:sz w:val="24"/>
          <w:highlight w:val="none"/>
        </w:rPr>
        <w:t>组成表</w:t>
      </w:r>
    </w:p>
    <w:tbl>
      <w:tblPr>
        <w:tblStyle w:val="37"/>
        <w:tblW w:w="95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8"/>
        <w:gridCol w:w="601"/>
        <w:gridCol w:w="1075"/>
        <w:gridCol w:w="1088"/>
        <w:gridCol w:w="709"/>
        <w:gridCol w:w="850"/>
        <w:gridCol w:w="709"/>
        <w:gridCol w:w="851"/>
        <w:gridCol w:w="1180"/>
        <w:gridCol w:w="1021"/>
        <w:gridCol w:w="9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568" w:type="dxa"/>
            <w:vMerge w:val="restart"/>
            <w:vAlign w:val="center"/>
          </w:tcPr>
          <w:p>
            <w:pPr>
              <w:spacing w:line="440" w:lineRule="exact"/>
              <w:jc w:val="center"/>
              <w:rPr>
                <w:color w:val="auto"/>
                <w:szCs w:val="21"/>
                <w:highlight w:val="none"/>
              </w:rPr>
            </w:pPr>
            <w:r>
              <w:rPr>
                <w:color w:val="auto"/>
                <w:szCs w:val="21"/>
                <w:highlight w:val="none"/>
              </w:rPr>
              <w:t>职务</w:t>
            </w:r>
          </w:p>
        </w:tc>
        <w:tc>
          <w:tcPr>
            <w:tcW w:w="601" w:type="dxa"/>
            <w:vMerge w:val="restart"/>
            <w:vAlign w:val="center"/>
          </w:tcPr>
          <w:p>
            <w:pPr>
              <w:spacing w:line="440" w:lineRule="exact"/>
              <w:jc w:val="center"/>
              <w:rPr>
                <w:color w:val="auto"/>
                <w:szCs w:val="21"/>
                <w:highlight w:val="none"/>
              </w:rPr>
            </w:pPr>
            <w:r>
              <w:rPr>
                <w:color w:val="auto"/>
                <w:szCs w:val="21"/>
                <w:highlight w:val="none"/>
              </w:rPr>
              <w:t>姓名</w:t>
            </w:r>
          </w:p>
        </w:tc>
        <w:tc>
          <w:tcPr>
            <w:tcW w:w="1075" w:type="dxa"/>
            <w:vMerge w:val="restart"/>
            <w:vAlign w:val="center"/>
          </w:tcPr>
          <w:p>
            <w:pPr>
              <w:spacing w:line="440" w:lineRule="exact"/>
              <w:jc w:val="center"/>
              <w:rPr>
                <w:color w:val="auto"/>
                <w:szCs w:val="21"/>
                <w:highlight w:val="none"/>
              </w:rPr>
            </w:pPr>
            <w:r>
              <w:rPr>
                <w:rFonts w:hint="eastAsia"/>
                <w:color w:val="auto"/>
                <w:szCs w:val="21"/>
                <w:highlight w:val="none"/>
              </w:rPr>
              <w:t>在本次比选中担任职务</w:t>
            </w:r>
          </w:p>
        </w:tc>
        <w:tc>
          <w:tcPr>
            <w:tcW w:w="1088" w:type="dxa"/>
            <w:vMerge w:val="restart"/>
          </w:tcPr>
          <w:p>
            <w:pPr>
              <w:spacing w:line="440" w:lineRule="exact"/>
              <w:jc w:val="center"/>
              <w:rPr>
                <w:color w:val="auto"/>
                <w:szCs w:val="21"/>
                <w:highlight w:val="none"/>
              </w:rPr>
            </w:pPr>
            <w:r>
              <w:rPr>
                <w:rFonts w:hint="eastAsia"/>
                <w:color w:val="auto"/>
                <w:szCs w:val="21"/>
                <w:highlight w:val="none"/>
              </w:rPr>
              <w:t>驻点（请打“√”）</w:t>
            </w:r>
          </w:p>
        </w:tc>
        <w:tc>
          <w:tcPr>
            <w:tcW w:w="4299" w:type="dxa"/>
            <w:gridSpan w:val="5"/>
            <w:vAlign w:val="center"/>
          </w:tcPr>
          <w:p>
            <w:pPr>
              <w:spacing w:line="440" w:lineRule="exact"/>
              <w:jc w:val="center"/>
              <w:rPr>
                <w:color w:val="auto"/>
                <w:szCs w:val="21"/>
                <w:highlight w:val="none"/>
              </w:rPr>
            </w:pPr>
            <w:r>
              <w:rPr>
                <w:color w:val="auto"/>
                <w:szCs w:val="21"/>
                <w:highlight w:val="none"/>
              </w:rPr>
              <w:t>执业或职业资格证明</w:t>
            </w:r>
          </w:p>
        </w:tc>
        <w:tc>
          <w:tcPr>
            <w:tcW w:w="1021" w:type="dxa"/>
            <w:vMerge w:val="restart"/>
          </w:tcPr>
          <w:p>
            <w:pPr>
              <w:spacing w:line="440" w:lineRule="exact"/>
              <w:jc w:val="center"/>
              <w:rPr>
                <w:color w:val="auto"/>
                <w:szCs w:val="21"/>
                <w:highlight w:val="none"/>
              </w:rPr>
            </w:pPr>
            <w:r>
              <w:rPr>
                <w:rFonts w:hint="eastAsia"/>
                <w:color w:val="auto"/>
                <w:szCs w:val="21"/>
                <w:highlight w:val="none"/>
              </w:rPr>
              <w:t>同类项目经验（年限）</w:t>
            </w:r>
          </w:p>
        </w:tc>
        <w:tc>
          <w:tcPr>
            <w:tcW w:w="903" w:type="dxa"/>
            <w:vMerge w:val="restart"/>
            <w:vAlign w:val="center"/>
          </w:tcPr>
          <w:p>
            <w:pPr>
              <w:spacing w:line="440" w:lineRule="exact"/>
              <w:jc w:val="center"/>
              <w:rPr>
                <w:color w:val="auto"/>
                <w:szCs w:val="21"/>
                <w:highlight w:val="none"/>
              </w:rPr>
            </w:pPr>
            <w:r>
              <w:rPr>
                <w:rFonts w:hint="eastAsia"/>
                <w:color w:val="auto"/>
                <w:szCs w:val="21"/>
                <w:highlight w:val="none"/>
              </w:rPr>
              <w:t>同类项目经验介绍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568" w:type="dxa"/>
            <w:vMerge w:val="continue"/>
            <w:vAlign w:val="center"/>
          </w:tcPr>
          <w:p>
            <w:pPr>
              <w:spacing w:line="440" w:lineRule="exact"/>
              <w:jc w:val="center"/>
              <w:rPr>
                <w:color w:val="auto"/>
                <w:szCs w:val="21"/>
                <w:highlight w:val="none"/>
              </w:rPr>
            </w:pPr>
          </w:p>
        </w:tc>
        <w:tc>
          <w:tcPr>
            <w:tcW w:w="601" w:type="dxa"/>
            <w:vMerge w:val="continue"/>
            <w:vAlign w:val="center"/>
          </w:tcPr>
          <w:p>
            <w:pPr>
              <w:spacing w:line="440" w:lineRule="exact"/>
              <w:jc w:val="center"/>
              <w:rPr>
                <w:color w:val="auto"/>
                <w:szCs w:val="21"/>
                <w:highlight w:val="none"/>
              </w:rPr>
            </w:pPr>
          </w:p>
        </w:tc>
        <w:tc>
          <w:tcPr>
            <w:tcW w:w="1075" w:type="dxa"/>
            <w:vMerge w:val="continue"/>
            <w:vAlign w:val="center"/>
          </w:tcPr>
          <w:p>
            <w:pPr>
              <w:spacing w:line="440" w:lineRule="exact"/>
              <w:jc w:val="center"/>
              <w:rPr>
                <w:color w:val="auto"/>
                <w:szCs w:val="21"/>
                <w:highlight w:val="none"/>
              </w:rPr>
            </w:pPr>
          </w:p>
        </w:tc>
        <w:tc>
          <w:tcPr>
            <w:tcW w:w="1088" w:type="dxa"/>
            <w:vMerge w:val="continue"/>
          </w:tcPr>
          <w:p>
            <w:pPr>
              <w:spacing w:line="440" w:lineRule="exact"/>
              <w:jc w:val="center"/>
              <w:rPr>
                <w:color w:val="auto"/>
                <w:szCs w:val="21"/>
                <w:highlight w:val="none"/>
              </w:rPr>
            </w:pPr>
          </w:p>
        </w:tc>
        <w:tc>
          <w:tcPr>
            <w:tcW w:w="709" w:type="dxa"/>
            <w:vAlign w:val="center"/>
          </w:tcPr>
          <w:p>
            <w:pPr>
              <w:spacing w:line="440" w:lineRule="exact"/>
              <w:jc w:val="center"/>
              <w:rPr>
                <w:color w:val="auto"/>
                <w:szCs w:val="21"/>
                <w:highlight w:val="none"/>
              </w:rPr>
            </w:pPr>
            <w:r>
              <w:rPr>
                <w:color w:val="auto"/>
                <w:szCs w:val="21"/>
                <w:highlight w:val="none"/>
              </w:rPr>
              <w:t>证书名称</w:t>
            </w:r>
          </w:p>
        </w:tc>
        <w:tc>
          <w:tcPr>
            <w:tcW w:w="850" w:type="dxa"/>
            <w:vAlign w:val="center"/>
          </w:tcPr>
          <w:p>
            <w:pPr>
              <w:spacing w:line="440" w:lineRule="exact"/>
              <w:jc w:val="center"/>
              <w:rPr>
                <w:color w:val="auto"/>
                <w:szCs w:val="21"/>
                <w:highlight w:val="none"/>
              </w:rPr>
            </w:pPr>
            <w:r>
              <w:rPr>
                <w:color w:val="auto"/>
                <w:szCs w:val="21"/>
                <w:highlight w:val="none"/>
              </w:rPr>
              <w:t>级别</w:t>
            </w:r>
          </w:p>
        </w:tc>
        <w:tc>
          <w:tcPr>
            <w:tcW w:w="709" w:type="dxa"/>
            <w:vAlign w:val="center"/>
          </w:tcPr>
          <w:p>
            <w:pPr>
              <w:spacing w:line="440" w:lineRule="exact"/>
              <w:jc w:val="center"/>
              <w:rPr>
                <w:color w:val="auto"/>
                <w:szCs w:val="21"/>
                <w:highlight w:val="none"/>
              </w:rPr>
            </w:pPr>
            <w:r>
              <w:rPr>
                <w:color w:val="auto"/>
                <w:szCs w:val="21"/>
                <w:highlight w:val="none"/>
              </w:rPr>
              <w:t>证号</w:t>
            </w:r>
          </w:p>
        </w:tc>
        <w:tc>
          <w:tcPr>
            <w:tcW w:w="851" w:type="dxa"/>
            <w:vAlign w:val="center"/>
          </w:tcPr>
          <w:p>
            <w:pPr>
              <w:spacing w:line="440" w:lineRule="exact"/>
              <w:jc w:val="center"/>
              <w:rPr>
                <w:color w:val="auto"/>
                <w:szCs w:val="21"/>
                <w:highlight w:val="none"/>
              </w:rPr>
            </w:pPr>
            <w:r>
              <w:rPr>
                <w:color w:val="auto"/>
                <w:szCs w:val="21"/>
                <w:highlight w:val="none"/>
              </w:rPr>
              <w:t>专业</w:t>
            </w:r>
          </w:p>
        </w:tc>
        <w:tc>
          <w:tcPr>
            <w:tcW w:w="1180" w:type="dxa"/>
            <w:vAlign w:val="center"/>
          </w:tcPr>
          <w:p>
            <w:pPr>
              <w:spacing w:line="440" w:lineRule="exact"/>
              <w:jc w:val="center"/>
              <w:rPr>
                <w:color w:val="auto"/>
                <w:szCs w:val="21"/>
                <w:highlight w:val="none"/>
              </w:rPr>
            </w:pPr>
            <w:r>
              <w:rPr>
                <w:color w:val="auto"/>
                <w:szCs w:val="21"/>
                <w:highlight w:val="none"/>
              </w:rPr>
              <w:t>养老保险</w:t>
            </w:r>
          </w:p>
        </w:tc>
        <w:tc>
          <w:tcPr>
            <w:tcW w:w="1021" w:type="dxa"/>
            <w:vMerge w:val="continue"/>
          </w:tcPr>
          <w:p>
            <w:pPr>
              <w:spacing w:line="440" w:lineRule="exact"/>
              <w:jc w:val="center"/>
              <w:rPr>
                <w:color w:val="auto"/>
                <w:szCs w:val="21"/>
                <w:highlight w:val="none"/>
              </w:rPr>
            </w:pPr>
          </w:p>
        </w:tc>
        <w:tc>
          <w:tcPr>
            <w:tcW w:w="903" w:type="dxa"/>
            <w:vMerge w:val="continue"/>
            <w:vAlign w:val="center"/>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vAlign w:val="center"/>
          </w:tcPr>
          <w:p>
            <w:pPr>
              <w:spacing w:line="440" w:lineRule="exact"/>
              <w:jc w:val="center"/>
              <w:rPr>
                <w:color w:val="auto"/>
                <w:szCs w:val="21"/>
                <w:highlight w:val="none"/>
              </w:rPr>
            </w:pPr>
          </w:p>
        </w:tc>
        <w:tc>
          <w:tcPr>
            <w:tcW w:w="601" w:type="dxa"/>
            <w:vAlign w:val="center"/>
          </w:tcPr>
          <w:p>
            <w:pPr>
              <w:spacing w:line="440" w:lineRule="exact"/>
              <w:jc w:val="center"/>
              <w:rPr>
                <w:color w:val="auto"/>
                <w:szCs w:val="21"/>
                <w:highlight w:val="none"/>
              </w:rPr>
            </w:pPr>
          </w:p>
        </w:tc>
        <w:tc>
          <w:tcPr>
            <w:tcW w:w="1075" w:type="dxa"/>
            <w:vAlign w:val="center"/>
          </w:tcPr>
          <w:p>
            <w:pPr>
              <w:spacing w:line="440" w:lineRule="exact"/>
              <w:jc w:val="center"/>
              <w:rPr>
                <w:color w:val="auto"/>
                <w:szCs w:val="21"/>
                <w:highlight w:val="none"/>
              </w:rPr>
            </w:pPr>
          </w:p>
        </w:tc>
        <w:tc>
          <w:tcPr>
            <w:tcW w:w="1088" w:type="dxa"/>
          </w:tcPr>
          <w:p>
            <w:pPr>
              <w:spacing w:line="440" w:lineRule="exact"/>
              <w:jc w:val="center"/>
              <w:rPr>
                <w:color w:val="auto"/>
                <w:szCs w:val="21"/>
                <w:highlight w:val="none"/>
              </w:rPr>
            </w:pPr>
          </w:p>
        </w:tc>
        <w:tc>
          <w:tcPr>
            <w:tcW w:w="709" w:type="dxa"/>
            <w:vAlign w:val="center"/>
          </w:tcPr>
          <w:p>
            <w:pPr>
              <w:spacing w:line="440" w:lineRule="exact"/>
              <w:jc w:val="center"/>
              <w:rPr>
                <w:color w:val="auto"/>
                <w:szCs w:val="21"/>
                <w:highlight w:val="none"/>
              </w:rPr>
            </w:pPr>
          </w:p>
        </w:tc>
        <w:tc>
          <w:tcPr>
            <w:tcW w:w="850" w:type="dxa"/>
            <w:vAlign w:val="center"/>
          </w:tcPr>
          <w:p>
            <w:pPr>
              <w:spacing w:line="440" w:lineRule="exact"/>
              <w:jc w:val="center"/>
              <w:rPr>
                <w:color w:val="auto"/>
                <w:szCs w:val="21"/>
                <w:highlight w:val="none"/>
              </w:rPr>
            </w:pPr>
          </w:p>
        </w:tc>
        <w:tc>
          <w:tcPr>
            <w:tcW w:w="709" w:type="dxa"/>
            <w:vAlign w:val="center"/>
          </w:tcPr>
          <w:p>
            <w:pPr>
              <w:spacing w:line="440" w:lineRule="exact"/>
              <w:jc w:val="center"/>
              <w:rPr>
                <w:color w:val="auto"/>
                <w:szCs w:val="21"/>
                <w:highlight w:val="none"/>
              </w:rPr>
            </w:pPr>
          </w:p>
        </w:tc>
        <w:tc>
          <w:tcPr>
            <w:tcW w:w="851" w:type="dxa"/>
            <w:vAlign w:val="center"/>
          </w:tcPr>
          <w:p>
            <w:pPr>
              <w:spacing w:line="440" w:lineRule="exact"/>
              <w:jc w:val="center"/>
              <w:rPr>
                <w:color w:val="auto"/>
                <w:szCs w:val="21"/>
                <w:highlight w:val="none"/>
              </w:rPr>
            </w:pPr>
          </w:p>
        </w:tc>
        <w:tc>
          <w:tcPr>
            <w:tcW w:w="1180" w:type="dxa"/>
            <w:vAlign w:val="center"/>
          </w:tcPr>
          <w:p>
            <w:pPr>
              <w:spacing w:line="440" w:lineRule="exact"/>
              <w:jc w:val="center"/>
              <w:rPr>
                <w:color w:val="auto"/>
                <w:szCs w:val="21"/>
                <w:highlight w:val="none"/>
              </w:rPr>
            </w:pPr>
          </w:p>
        </w:tc>
        <w:tc>
          <w:tcPr>
            <w:tcW w:w="1021" w:type="dxa"/>
          </w:tcPr>
          <w:p>
            <w:pPr>
              <w:spacing w:line="440" w:lineRule="exact"/>
              <w:jc w:val="center"/>
              <w:rPr>
                <w:color w:val="auto"/>
                <w:szCs w:val="21"/>
                <w:highlight w:val="none"/>
              </w:rPr>
            </w:pPr>
          </w:p>
        </w:tc>
        <w:tc>
          <w:tcPr>
            <w:tcW w:w="903" w:type="dxa"/>
            <w:vAlign w:val="center"/>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Pr>
          <w:p>
            <w:pPr>
              <w:spacing w:line="440" w:lineRule="exact"/>
              <w:jc w:val="center"/>
              <w:rPr>
                <w:color w:val="auto"/>
                <w:szCs w:val="21"/>
                <w:highlight w:val="none"/>
              </w:rPr>
            </w:pPr>
          </w:p>
        </w:tc>
        <w:tc>
          <w:tcPr>
            <w:tcW w:w="601" w:type="dxa"/>
          </w:tcPr>
          <w:p>
            <w:pPr>
              <w:spacing w:line="440" w:lineRule="exact"/>
              <w:jc w:val="center"/>
              <w:rPr>
                <w:color w:val="auto"/>
                <w:szCs w:val="21"/>
                <w:highlight w:val="none"/>
              </w:rPr>
            </w:pPr>
          </w:p>
        </w:tc>
        <w:tc>
          <w:tcPr>
            <w:tcW w:w="1075" w:type="dxa"/>
          </w:tcPr>
          <w:p>
            <w:pPr>
              <w:spacing w:line="440" w:lineRule="exact"/>
              <w:jc w:val="center"/>
              <w:rPr>
                <w:color w:val="auto"/>
                <w:szCs w:val="21"/>
                <w:highlight w:val="none"/>
              </w:rPr>
            </w:pPr>
          </w:p>
        </w:tc>
        <w:tc>
          <w:tcPr>
            <w:tcW w:w="1088"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0"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1" w:type="dxa"/>
          </w:tcPr>
          <w:p>
            <w:pPr>
              <w:spacing w:line="440" w:lineRule="exact"/>
              <w:jc w:val="center"/>
              <w:rPr>
                <w:color w:val="auto"/>
                <w:szCs w:val="21"/>
                <w:highlight w:val="none"/>
              </w:rPr>
            </w:pPr>
          </w:p>
        </w:tc>
        <w:tc>
          <w:tcPr>
            <w:tcW w:w="1180" w:type="dxa"/>
          </w:tcPr>
          <w:p>
            <w:pPr>
              <w:spacing w:line="440" w:lineRule="exact"/>
              <w:jc w:val="center"/>
              <w:rPr>
                <w:color w:val="auto"/>
                <w:szCs w:val="21"/>
                <w:highlight w:val="none"/>
              </w:rPr>
            </w:pPr>
          </w:p>
        </w:tc>
        <w:tc>
          <w:tcPr>
            <w:tcW w:w="1021" w:type="dxa"/>
          </w:tcPr>
          <w:p>
            <w:pPr>
              <w:spacing w:line="440" w:lineRule="exact"/>
              <w:jc w:val="center"/>
              <w:rPr>
                <w:color w:val="auto"/>
                <w:szCs w:val="21"/>
                <w:highlight w:val="none"/>
              </w:rPr>
            </w:pPr>
          </w:p>
        </w:tc>
        <w:tc>
          <w:tcPr>
            <w:tcW w:w="903" w:type="dxa"/>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Pr>
          <w:p>
            <w:pPr>
              <w:spacing w:line="440" w:lineRule="exact"/>
              <w:jc w:val="center"/>
              <w:rPr>
                <w:color w:val="auto"/>
                <w:szCs w:val="21"/>
                <w:highlight w:val="none"/>
              </w:rPr>
            </w:pPr>
          </w:p>
        </w:tc>
        <w:tc>
          <w:tcPr>
            <w:tcW w:w="601" w:type="dxa"/>
          </w:tcPr>
          <w:p>
            <w:pPr>
              <w:spacing w:line="440" w:lineRule="exact"/>
              <w:jc w:val="center"/>
              <w:rPr>
                <w:color w:val="auto"/>
                <w:szCs w:val="21"/>
                <w:highlight w:val="none"/>
              </w:rPr>
            </w:pPr>
          </w:p>
        </w:tc>
        <w:tc>
          <w:tcPr>
            <w:tcW w:w="1075" w:type="dxa"/>
          </w:tcPr>
          <w:p>
            <w:pPr>
              <w:spacing w:line="440" w:lineRule="exact"/>
              <w:jc w:val="center"/>
              <w:rPr>
                <w:color w:val="auto"/>
                <w:szCs w:val="21"/>
                <w:highlight w:val="none"/>
              </w:rPr>
            </w:pPr>
          </w:p>
        </w:tc>
        <w:tc>
          <w:tcPr>
            <w:tcW w:w="1088"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0"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1" w:type="dxa"/>
          </w:tcPr>
          <w:p>
            <w:pPr>
              <w:spacing w:line="440" w:lineRule="exact"/>
              <w:jc w:val="center"/>
              <w:rPr>
                <w:color w:val="auto"/>
                <w:szCs w:val="21"/>
                <w:highlight w:val="none"/>
              </w:rPr>
            </w:pPr>
          </w:p>
        </w:tc>
        <w:tc>
          <w:tcPr>
            <w:tcW w:w="1180" w:type="dxa"/>
          </w:tcPr>
          <w:p>
            <w:pPr>
              <w:spacing w:line="440" w:lineRule="exact"/>
              <w:jc w:val="center"/>
              <w:rPr>
                <w:color w:val="auto"/>
                <w:szCs w:val="21"/>
                <w:highlight w:val="none"/>
              </w:rPr>
            </w:pPr>
          </w:p>
        </w:tc>
        <w:tc>
          <w:tcPr>
            <w:tcW w:w="1021" w:type="dxa"/>
          </w:tcPr>
          <w:p>
            <w:pPr>
              <w:spacing w:line="440" w:lineRule="exact"/>
              <w:jc w:val="center"/>
              <w:rPr>
                <w:color w:val="auto"/>
                <w:szCs w:val="21"/>
                <w:highlight w:val="none"/>
              </w:rPr>
            </w:pPr>
          </w:p>
        </w:tc>
        <w:tc>
          <w:tcPr>
            <w:tcW w:w="903" w:type="dxa"/>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Pr>
          <w:p>
            <w:pPr>
              <w:spacing w:line="440" w:lineRule="exact"/>
              <w:jc w:val="center"/>
              <w:rPr>
                <w:color w:val="auto"/>
                <w:szCs w:val="21"/>
                <w:highlight w:val="none"/>
              </w:rPr>
            </w:pPr>
          </w:p>
        </w:tc>
        <w:tc>
          <w:tcPr>
            <w:tcW w:w="601" w:type="dxa"/>
          </w:tcPr>
          <w:p>
            <w:pPr>
              <w:spacing w:line="440" w:lineRule="exact"/>
              <w:jc w:val="center"/>
              <w:rPr>
                <w:color w:val="auto"/>
                <w:szCs w:val="21"/>
                <w:highlight w:val="none"/>
              </w:rPr>
            </w:pPr>
          </w:p>
        </w:tc>
        <w:tc>
          <w:tcPr>
            <w:tcW w:w="1075" w:type="dxa"/>
          </w:tcPr>
          <w:p>
            <w:pPr>
              <w:spacing w:line="440" w:lineRule="exact"/>
              <w:jc w:val="center"/>
              <w:rPr>
                <w:color w:val="auto"/>
                <w:szCs w:val="21"/>
                <w:highlight w:val="none"/>
              </w:rPr>
            </w:pPr>
          </w:p>
        </w:tc>
        <w:tc>
          <w:tcPr>
            <w:tcW w:w="1088"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0"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1" w:type="dxa"/>
          </w:tcPr>
          <w:p>
            <w:pPr>
              <w:spacing w:line="440" w:lineRule="exact"/>
              <w:jc w:val="center"/>
              <w:rPr>
                <w:color w:val="auto"/>
                <w:szCs w:val="21"/>
                <w:highlight w:val="none"/>
              </w:rPr>
            </w:pPr>
          </w:p>
        </w:tc>
        <w:tc>
          <w:tcPr>
            <w:tcW w:w="1180" w:type="dxa"/>
          </w:tcPr>
          <w:p>
            <w:pPr>
              <w:spacing w:line="440" w:lineRule="exact"/>
              <w:jc w:val="center"/>
              <w:rPr>
                <w:color w:val="auto"/>
                <w:szCs w:val="21"/>
                <w:highlight w:val="none"/>
              </w:rPr>
            </w:pPr>
          </w:p>
        </w:tc>
        <w:tc>
          <w:tcPr>
            <w:tcW w:w="1021" w:type="dxa"/>
          </w:tcPr>
          <w:p>
            <w:pPr>
              <w:spacing w:line="440" w:lineRule="exact"/>
              <w:jc w:val="center"/>
              <w:rPr>
                <w:color w:val="auto"/>
                <w:szCs w:val="21"/>
                <w:highlight w:val="none"/>
              </w:rPr>
            </w:pPr>
          </w:p>
        </w:tc>
        <w:tc>
          <w:tcPr>
            <w:tcW w:w="903" w:type="dxa"/>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Pr>
          <w:p>
            <w:pPr>
              <w:spacing w:line="440" w:lineRule="exact"/>
              <w:jc w:val="center"/>
              <w:rPr>
                <w:color w:val="auto"/>
                <w:szCs w:val="21"/>
                <w:highlight w:val="none"/>
              </w:rPr>
            </w:pPr>
          </w:p>
        </w:tc>
        <w:tc>
          <w:tcPr>
            <w:tcW w:w="601" w:type="dxa"/>
          </w:tcPr>
          <w:p>
            <w:pPr>
              <w:spacing w:line="440" w:lineRule="exact"/>
              <w:jc w:val="center"/>
              <w:rPr>
                <w:color w:val="auto"/>
                <w:szCs w:val="21"/>
                <w:highlight w:val="none"/>
              </w:rPr>
            </w:pPr>
          </w:p>
        </w:tc>
        <w:tc>
          <w:tcPr>
            <w:tcW w:w="1075" w:type="dxa"/>
          </w:tcPr>
          <w:p>
            <w:pPr>
              <w:spacing w:line="440" w:lineRule="exact"/>
              <w:jc w:val="center"/>
              <w:rPr>
                <w:color w:val="auto"/>
                <w:szCs w:val="21"/>
                <w:highlight w:val="none"/>
              </w:rPr>
            </w:pPr>
          </w:p>
        </w:tc>
        <w:tc>
          <w:tcPr>
            <w:tcW w:w="1088"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0"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1" w:type="dxa"/>
          </w:tcPr>
          <w:p>
            <w:pPr>
              <w:spacing w:line="440" w:lineRule="exact"/>
              <w:jc w:val="center"/>
              <w:rPr>
                <w:color w:val="auto"/>
                <w:szCs w:val="21"/>
                <w:highlight w:val="none"/>
              </w:rPr>
            </w:pPr>
          </w:p>
        </w:tc>
        <w:tc>
          <w:tcPr>
            <w:tcW w:w="1180" w:type="dxa"/>
          </w:tcPr>
          <w:p>
            <w:pPr>
              <w:spacing w:line="440" w:lineRule="exact"/>
              <w:jc w:val="center"/>
              <w:rPr>
                <w:color w:val="auto"/>
                <w:szCs w:val="21"/>
                <w:highlight w:val="none"/>
              </w:rPr>
            </w:pPr>
          </w:p>
        </w:tc>
        <w:tc>
          <w:tcPr>
            <w:tcW w:w="1021" w:type="dxa"/>
          </w:tcPr>
          <w:p>
            <w:pPr>
              <w:spacing w:line="440" w:lineRule="exact"/>
              <w:jc w:val="center"/>
              <w:rPr>
                <w:color w:val="auto"/>
                <w:szCs w:val="21"/>
                <w:highlight w:val="none"/>
              </w:rPr>
            </w:pPr>
          </w:p>
        </w:tc>
        <w:tc>
          <w:tcPr>
            <w:tcW w:w="903" w:type="dxa"/>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Pr>
          <w:p>
            <w:pPr>
              <w:spacing w:line="440" w:lineRule="exact"/>
              <w:jc w:val="center"/>
              <w:rPr>
                <w:color w:val="auto"/>
                <w:szCs w:val="21"/>
                <w:highlight w:val="none"/>
              </w:rPr>
            </w:pPr>
          </w:p>
        </w:tc>
        <w:tc>
          <w:tcPr>
            <w:tcW w:w="601" w:type="dxa"/>
          </w:tcPr>
          <w:p>
            <w:pPr>
              <w:spacing w:line="440" w:lineRule="exact"/>
              <w:jc w:val="center"/>
              <w:rPr>
                <w:color w:val="auto"/>
                <w:szCs w:val="21"/>
                <w:highlight w:val="none"/>
              </w:rPr>
            </w:pPr>
          </w:p>
        </w:tc>
        <w:tc>
          <w:tcPr>
            <w:tcW w:w="1075" w:type="dxa"/>
          </w:tcPr>
          <w:p>
            <w:pPr>
              <w:spacing w:line="440" w:lineRule="exact"/>
              <w:jc w:val="center"/>
              <w:rPr>
                <w:color w:val="auto"/>
                <w:szCs w:val="21"/>
                <w:highlight w:val="none"/>
              </w:rPr>
            </w:pPr>
          </w:p>
        </w:tc>
        <w:tc>
          <w:tcPr>
            <w:tcW w:w="1088"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0"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1" w:type="dxa"/>
          </w:tcPr>
          <w:p>
            <w:pPr>
              <w:spacing w:line="440" w:lineRule="exact"/>
              <w:jc w:val="center"/>
              <w:rPr>
                <w:color w:val="auto"/>
                <w:szCs w:val="21"/>
                <w:highlight w:val="none"/>
              </w:rPr>
            </w:pPr>
          </w:p>
        </w:tc>
        <w:tc>
          <w:tcPr>
            <w:tcW w:w="1180" w:type="dxa"/>
          </w:tcPr>
          <w:p>
            <w:pPr>
              <w:spacing w:line="440" w:lineRule="exact"/>
              <w:jc w:val="center"/>
              <w:rPr>
                <w:color w:val="auto"/>
                <w:szCs w:val="21"/>
                <w:highlight w:val="none"/>
              </w:rPr>
            </w:pPr>
          </w:p>
        </w:tc>
        <w:tc>
          <w:tcPr>
            <w:tcW w:w="1021" w:type="dxa"/>
          </w:tcPr>
          <w:p>
            <w:pPr>
              <w:spacing w:line="440" w:lineRule="exact"/>
              <w:jc w:val="center"/>
              <w:rPr>
                <w:color w:val="auto"/>
                <w:szCs w:val="21"/>
                <w:highlight w:val="none"/>
              </w:rPr>
            </w:pPr>
          </w:p>
        </w:tc>
        <w:tc>
          <w:tcPr>
            <w:tcW w:w="903" w:type="dxa"/>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Pr>
          <w:p>
            <w:pPr>
              <w:spacing w:line="440" w:lineRule="exact"/>
              <w:jc w:val="center"/>
              <w:rPr>
                <w:color w:val="auto"/>
                <w:szCs w:val="21"/>
                <w:highlight w:val="none"/>
              </w:rPr>
            </w:pPr>
          </w:p>
        </w:tc>
        <w:tc>
          <w:tcPr>
            <w:tcW w:w="601" w:type="dxa"/>
          </w:tcPr>
          <w:p>
            <w:pPr>
              <w:spacing w:line="440" w:lineRule="exact"/>
              <w:jc w:val="center"/>
              <w:rPr>
                <w:color w:val="auto"/>
                <w:szCs w:val="21"/>
                <w:highlight w:val="none"/>
              </w:rPr>
            </w:pPr>
          </w:p>
        </w:tc>
        <w:tc>
          <w:tcPr>
            <w:tcW w:w="1075" w:type="dxa"/>
          </w:tcPr>
          <w:p>
            <w:pPr>
              <w:spacing w:line="440" w:lineRule="exact"/>
              <w:jc w:val="center"/>
              <w:rPr>
                <w:color w:val="auto"/>
                <w:szCs w:val="21"/>
                <w:highlight w:val="none"/>
              </w:rPr>
            </w:pPr>
          </w:p>
        </w:tc>
        <w:tc>
          <w:tcPr>
            <w:tcW w:w="1088"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0"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1" w:type="dxa"/>
          </w:tcPr>
          <w:p>
            <w:pPr>
              <w:spacing w:line="440" w:lineRule="exact"/>
              <w:jc w:val="center"/>
              <w:rPr>
                <w:color w:val="auto"/>
                <w:szCs w:val="21"/>
                <w:highlight w:val="none"/>
              </w:rPr>
            </w:pPr>
          </w:p>
        </w:tc>
        <w:tc>
          <w:tcPr>
            <w:tcW w:w="1180" w:type="dxa"/>
          </w:tcPr>
          <w:p>
            <w:pPr>
              <w:spacing w:line="440" w:lineRule="exact"/>
              <w:jc w:val="center"/>
              <w:rPr>
                <w:color w:val="auto"/>
                <w:szCs w:val="21"/>
                <w:highlight w:val="none"/>
              </w:rPr>
            </w:pPr>
          </w:p>
        </w:tc>
        <w:tc>
          <w:tcPr>
            <w:tcW w:w="1021" w:type="dxa"/>
          </w:tcPr>
          <w:p>
            <w:pPr>
              <w:spacing w:line="440" w:lineRule="exact"/>
              <w:jc w:val="center"/>
              <w:rPr>
                <w:color w:val="auto"/>
                <w:szCs w:val="21"/>
                <w:highlight w:val="none"/>
              </w:rPr>
            </w:pPr>
          </w:p>
        </w:tc>
        <w:tc>
          <w:tcPr>
            <w:tcW w:w="903" w:type="dxa"/>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Pr>
          <w:p>
            <w:pPr>
              <w:spacing w:line="440" w:lineRule="exact"/>
              <w:jc w:val="center"/>
              <w:rPr>
                <w:color w:val="auto"/>
                <w:szCs w:val="21"/>
                <w:highlight w:val="none"/>
              </w:rPr>
            </w:pPr>
          </w:p>
        </w:tc>
        <w:tc>
          <w:tcPr>
            <w:tcW w:w="601" w:type="dxa"/>
          </w:tcPr>
          <w:p>
            <w:pPr>
              <w:spacing w:line="440" w:lineRule="exact"/>
              <w:jc w:val="center"/>
              <w:rPr>
                <w:color w:val="auto"/>
                <w:szCs w:val="21"/>
                <w:highlight w:val="none"/>
              </w:rPr>
            </w:pPr>
          </w:p>
        </w:tc>
        <w:tc>
          <w:tcPr>
            <w:tcW w:w="1075" w:type="dxa"/>
          </w:tcPr>
          <w:p>
            <w:pPr>
              <w:spacing w:line="440" w:lineRule="exact"/>
              <w:jc w:val="center"/>
              <w:rPr>
                <w:color w:val="auto"/>
                <w:szCs w:val="21"/>
                <w:highlight w:val="none"/>
              </w:rPr>
            </w:pPr>
          </w:p>
        </w:tc>
        <w:tc>
          <w:tcPr>
            <w:tcW w:w="1088"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0"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1" w:type="dxa"/>
          </w:tcPr>
          <w:p>
            <w:pPr>
              <w:spacing w:line="440" w:lineRule="exact"/>
              <w:jc w:val="center"/>
              <w:rPr>
                <w:color w:val="auto"/>
                <w:szCs w:val="21"/>
                <w:highlight w:val="none"/>
              </w:rPr>
            </w:pPr>
          </w:p>
        </w:tc>
        <w:tc>
          <w:tcPr>
            <w:tcW w:w="1180" w:type="dxa"/>
          </w:tcPr>
          <w:p>
            <w:pPr>
              <w:spacing w:line="440" w:lineRule="exact"/>
              <w:jc w:val="center"/>
              <w:rPr>
                <w:color w:val="auto"/>
                <w:szCs w:val="21"/>
                <w:highlight w:val="none"/>
              </w:rPr>
            </w:pPr>
          </w:p>
        </w:tc>
        <w:tc>
          <w:tcPr>
            <w:tcW w:w="1021" w:type="dxa"/>
          </w:tcPr>
          <w:p>
            <w:pPr>
              <w:spacing w:line="440" w:lineRule="exact"/>
              <w:jc w:val="center"/>
              <w:rPr>
                <w:color w:val="auto"/>
                <w:szCs w:val="21"/>
                <w:highlight w:val="none"/>
              </w:rPr>
            </w:pPr>
          </w:p>
        </w:tc>
        <w:tc>
          <w:tcPr>
            <w:tcW w:w="903" w:type="dxa"/>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Pr>
          <w:p>
            <w:pPr>
              <w:spacing w:line="440" w:lineRule="exact"/>
              <w:jc w:val="center"/>
              <w:rPr>
                <w:color w:val="auto"/>
                <w:szCs w:val="21"/>
                <w:highlight w:val="none"/>
              </w:rPr>
            </w:pPr>
          </w:p>
        </w:tc>
        <w:tc>
          <w:tcPr>
            <w:tcW w:w="601" w:type="dxa"/>
          </w:tcPr>
          <w:p>
            <w:pPr>
              <w:spacing w:line="440" w:lineRule="exact"/>
              <w:jc w:val="center"/>
              <w:rPr>
                <w:color w:val="auto"/>
                <w:szCs w:val="21"/>
                <w:highlight w:val="none"/>
              </w:rPr>
            </w:pPr>
          </w:p>
        </w:tc>
        <w:tc>
          <w:tcPr>
            <w:tcW w:w="1075" w:type="dxa"/>
          </w:tcPr>
          <w:p>
            <w:pPr>
              <w:spacing w:line="440" w:lineRule="exact"/>
              <w:jc w:val="center"/>
              <w:rPr>
                <w:color w:val="auto"/>
                <w:szCs w:val="21"/>
                <w:highlight w:val="none"/>
              </w:rPr>
            </w:pPr>
          </w:p>
        </w:tc>
        <w:tc>
          <w:tcPr>
            <w:tcW w:w="1088"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0" w:type="dxa"/>
          </w:tcPr>
          <w:p>
            <w:pPr>
              <w:spacing w:line="440" w:lineRule="exact"/>
              <w:jc w:val="center"/>
              <w:rPr>
                <w:color w:val="auto"/>
                <w:szCs w:val="21"/>
                <w:highlight w:val="none"/>
              </w:rPr>
            </w:pPr>
          </w:p>
        </w:tc>
        <w:tc>
          <w:tcPr>
            <w:tcW w:w="709" w:type="dxa"/>
          </w:tcPr>
          <w:p>
            <w:pPr>
              <w:spacing w:line="440" w:lineRule="exact"/>
              <w:jc w:val="center"/>
              <w:rPr>
                <w:color w:val="auto"/>
                <w:szCs w:val="21"/>
                <w:highlight w:val="none"/>
              </w:rPr>
            </w:pPr>
          </w:p>
        </w:tc>
        <w:tc>
          <w:tcPr>
            <w:tcW w:w="851" w:type="dxa"/>
          </w:tcPr>
          <w:p>
            <w:pPr>
              <w:spacing w:line="440" w:lineRule="exact"/>
              <w:jc w:val="center"/>
              <w:rPr>
                <w:color w:val="auto"/>
                <w:szCs w:val="21"/>
                <w:highlight w:val="none"/>
              </w:rPr>
            </w:pPr>
          </w:p>
        </w:tc>
        <w:tc>
          <w:tcPr>
            <w:tcW w:w="1180" w:type="dxa"/>
          </w:tcPr>
          <w:p>
            <w:pPr>
              <w:spacing w:line="440" w:lineRule="exact"/>
              <w:jc w:val="center"/>
              <w:rPr>
                <w:color w:val="auto"/>
                <w:szCs w:val="21"/>
                <w:highlight w:val="none"/>
              </w:rPr>
            </w:pPr>
          </w:p>
        </w:tc>
        <w:tc>
          <w:tcPr>
            <w:tcW w:w="1021" w:type="dxa"/>
          </w:tcPr>
          <w:p>
            <w:pPr>
              <w:spacing w:line="440" w:lineRule="exact"/>
              <w:jc w:val="center"/>
              <w:rPr>
                <w:color w:val="auto"/>
                <w:szCs w:val="21"/>
                <w:highlight w:val="none"/>
              </w:rPr>
            </w:pPr>
          </w:p>
        </w:tc>
        <w:tc>
          <w:tcPr>
            <w:tcW w:w="903" w:type="dxa"/>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60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75"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8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18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2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903"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60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75"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8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18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2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903"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60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75"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8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18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2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903"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60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75"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8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18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2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903"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60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75"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8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18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2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903"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60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75"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8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18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2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903"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60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75"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88"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709"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85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180"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1021"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c>
          <w:tcPr>
            <w:tcW w:w="903" w:type="dxa"/>
            <w:tcBorders>
              <w:top w:val="single" w:color="auto" w:sz="4" w:space="0"/>
              <w:left w:val="single" w:color="auto" w:sz="4" w:space="0"/>
              <w:bottom w:val="single" w:color="auto" w:sz="4" w:space="0"/>
              <w:right w:val="single" w:color="auto" w:sz="4" w:space="0"/>
            </w:tcBorders>
          </w:tcPr>
          <w:p>
            <w:pPr>
              <w:spacing w:line="440" w:lineRule="exact"/>
              <w:jc w:val="center"/>
              <w:rPr>
                <w:color w:val="auto"/>
                <w:szCs w:val="21"/>
                <w:highlight w:val="none"/>
              </w:rPr>
            </w:pPr>
          </w:p>
        </w:tc>
      </w:tr>
    </w:tbl>
    <w:p>
      <w:pPr>
        <w:widowControl/>
        <w:jc w:val="left"/>
        <w:rPr>
          <w:rFonts w:hAnsi="宋体"/>
          <w:b/>
          <w:color w:val="auto"/>
          <w:sz w:val="32"/>
          <w:szCs w:val="32"/>
          <w:highlight w:val="none"/>
        </w:rPr>
      </w:pPr>
      <w:r>
        <w:rPr>
          <w:rFonts w:hint="eastAsia" w:hAnsi="宋体"/>
          <w:b/>
          <w:color w:val="auto"/>
          <w:sz w:val="32"/>
          <w:szCs w:val="32"/>
          <w:highlight w:val="none"/>
        </w:rPr>
        <w:t>相关证明材料：</w:t>
      </w:r>
    </w:p>
    <w:p>
      <w:pPr>
        <w:pStyle w:val="45"/>
        <w:widowControl/>
        <w:numPr>
          <w:ilvl w:val="0"/>
          <w:numId w:val="26"/>
        </w:numPr>
        <w:ind w:firstLineChars="0"/>
        <w:jc w:val="left"/>
        <w:rPr>
          <w:rFonts w:hAnsi="宋体"/>
          <w:color w:val="auto"/>
          <w:szCs w:val="21"/>
          <w:highlight w:val="none"/>
        </w:rPr>
      </w:pPr>
      <w:r>
        <w:rPr>
          <w:rFonts w:hint="eastAsia" w:hAnsi="宋体"/>
          <w:color w:val="auto"/>
          <w:szCs w:val="21"/>
          <w:highlight w:val="none"/>
        </w:rPr>
        <w:t>身份证复印件</w:t>
      </w:r>
    </w:p>
    <w:p>
      <w:pPr>
        <w:pStyle w:val="45"/>
        <w:numPr>
          <w:ilvl w:val="0"/>
          <w:numId w:val="26"/>
        </w:numPr>
        <w:topLinePunct/>
        <w:spacing w:line="440" w:lineRule="exact"/>
        <w:ind w:firstLineChars="0"/>
        <w:jc w:val="left"/>
        <w:rPr>
          <w:rFonts w:hAnsi="宋体"/>
          <w:color w:val="auto"/>
          <w:szCs w:val="21"/>
          <w:highlight w:val="none"/>
        </w:rPr>
      </w:pPr>
      <w:r>
        <w:rPr>
          <w:rFonts w:hint="eastAsia" w:hAnsi="宋体"/>
          <w:color w:val="auto"/>
          <w:szCs w:val="21"/>
          <w:highlight w:val="none"/>
        </w:rPr>
        <w:t>学历证明复印件</w:t>
      </w:r>
    </w:p>
    <w:p>
      <w:pPr>
        <w:pStyle w:val="45"/>
        <w:numPr>
          <w:ilvl w:val="0"/>
          <w:numId w:val="26"/>
        </w:numPr>
        <w:topLinePunct/>
        <w:spacing w:line="440" w:lineRule="exact"/>
        <w:ind w:firstLineChars="0"/>
        <w:jc w:val="left"/>
        <w:rPr>
          <w:rFonts w:hAnsi="宋体"/>
          <w:color w:val="auto"/>
          <w:szCs w:val="21"/>
          <w:highlight w:val="none"/>
        </w:rPr>
      </w:pPr>
      <w:r>
        <w:rPr>
          <w:rFonts w:hint="eastAsia" w:hAnsi="宋体"/>
          <w:color w:val="auto"/>
          <w:szCs w:val="21"/>
          <w:highlight w:val="none"/>
        </w:rPr>
        <w:t>职称证明复印件（如有）</w:t>
      </w:r>
    </w:p>
    <w:p>
      <w:pPr>
        <w:pStyle w:val="45"/>
        <w:topLinePunct/>
        <w:spacing w:line="440" w:lineRule="exact"/>
        <w:ind w:left="360" w:firstLine="0" w:firstLineChars="0"/>
        <w:jc w:val="left"/>
        <w:rPr>
          <w:rFonts w:ascii="黑体"/>
          <w:color w:val="auto"/>
          <w:sz w:val="24"/>
          <w:highlight w:val="none"/>
        </w:rPr>
      </w:pPr>
    </w:p>
    <w:p>
      <w:pPr>
        <w:pStyle w:val="45"/>
        <w:topLinePunct/>
        <w:spacing w:line="440" w:lineRule="exact"/>
        <w:ind w:left="360" w:firstLine="0" w:firstLineChars="0"/>
        <w:jc w:val="center"/>
        <w:rPr>
          <w:rFonts w:ascii="宋体" w:hAnsi="宋体"/>
          <w:bCs/>
          <w:color w:val="auto"/>
          <w:sz w:val="24"/>
          <w:highlight w:val="none"/>
        </w:rPr>
      </w:pPr>
    </w:p>
    <w:p>
      <w:pPr>
        <w:pStyle w:val="45"/>
        <w:topLinePunct/>
        <w:spacing w:line="440" w:lineRule="exact"/>
        <w:ind w:left="360" w:firstLine="0" w:firstLineChars="0"/>
        <w:jc w:val="center"/>
        <w:rPr>
          <w:rFonts w:ascii="宋体" w:hAnsi="宋体"/>
          <w:bCs/>
          <w:color w:val="auto"/>
          <w:sz w:val="24"/>
          <w:highlight w:val="none"/>
        </w:rPr>
      </w:pPr>
    </w:p>
    <w:p>
      <w:pPr>
        <w:pStyle w:val="45"/>
        <w:topLinePunct/>
        <w:spacing w:line="440" w:lineRule="exact"/>
        <w:ind w:left="360" w:firstLine="0" w:firstLineChars="0"/>
        <w:jc w:val="center"/>
        <w:rPr>
          <w:rFonts w:ascii="宋体" w:hAnsi="宋体"/>
          <w:bCs/>
          <w:color w:val="auto"/>
          <w:sz w:val="24"/>
          <w:highlight w:val="none"/>
        </w:rPr>
      </w:pPr>
    </w:p>
    <w:p>
      <w:pPr>
        <w:pStyle w:val="45"/>
        <w:topLinePunct/>
        <w:spacing w:line="440" w:lineRule="exact"/>
        <w:ind w:left="360" w:firstLine="0" w:firstLineChars="0"/>
        <w:jc w:val="center"/>
        <w:rPr>
          <w:rFonts w:ascii="宋体" w:hAnsi="宋体"/>
          <w:bCs/>
          <w:color w:val="auto"/>
          <w:sz w:val="24"/>
          <w:highlight w:val="none"/>
        </w:rPr>
      </w:pPr>
    </w:p>
    <w:p>
      <w:pPr>
        <w:pStyle w:val="45"/>
        <w:topLinePunct/>
        <w:spacing w:line="440" w:lineRule="exact"/>
        <w:ind w:left="360" w:firstLine="0" w:firstLineChars="0"/>
        <w:jc w:val="center"/>
        <w:rPr>
          <w:rFonts w:ascii="黑体"/>
          <w:color w:val="auto"/>
          <w:sz w:val="24"/>
          <w:highlight w:val="none"/>
        </w:rPr>
      </w:pPr>
      <w:r>
        <w:rPr>
          <w:rFonts w:ascii="宋体" w:hAnsi="宋体"/>
          <w:bCs/>
          <w:color w:val="auto"/>
          <w:sz w:val="24"/>
          <w:highlight w:val="none"/>
        </w:rPr>
        <w:t>附表</w:t>
      </w:r>
      <w:r>
        <w:rPr>
          <w:rFonts w:hint="eastAsia" w:ascii="宋体" w:hAnsi="宋体"/>
          <w:bCs/>
          <w:color w:val="auto"/>
          <w:sz w:val="24"/>
          <w:highlight w:val="none"/>
        </w:rPr>
        <w:t>2</w:t>
      </w:r>
      <w:r>
        <w:rPr>
          <w:rFonts w:ascii="宋体" w:hAnsi="宋体"/>
          <w:bCs/>
          <w:color w:val="auto"/>
          <w:sz w:val="24"/>
          <w:highlight w:val="none"/>
        </w:rPr>
        <w:t>：</w:t>
      </w:r>
      <w:r>
        <w:rPr>
          <w:rFonts w:hint="eastAsia" w:ascii="宋体" w:hAnsi="宋体"/>
          <w:bCs/>
          <w:color w:val="auto"/>
          <w:sz w:val="24"/>
          <w:highlight w:val="none"/>
        </w:rPr>
        <w:t>项目负责人</w:t>
      </w:r>
      <w:r>
        <w:rPr>
          <w:rFonts w:ascii="宋体" w:hAnsi="宋体"/>
          <w:bCs/>
          <w:color w:val="auto"/>
          <w:sz w:val="24"/>
          <w:highlight w:val="none"/>
        </w:rPr>
        <w:t>简历表</w:t>
      </w:r>
    </w:p>
    <w:tbl>
      <w:tblPr>
        <w:tblStyle w:val="37"/>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6"/>
        <w:gridCol w:w="359"/>
        <w:gridCol w:w="720"/>
        <w:gridCol w:w="927"/>
        <w:gridCol w:w="1065"/>
        <w:gridCol w:w="708"/>
        <w:gridCol w:w="1261"/>
        <w:gridCol w:w="161"/>
        <w:gridCol w:w="2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6" w:type="dxa"/>
            <w:vAlign w:val="center"/>
          </w:tcPr>
          <w:p>
            <w:pPr>
              <w:spacing w:line="440" w:lineRule="exact"/>
              <w:jc w:val="center"/>
              <w:rPr>
                <w:rFonts w:ascii="宋体" w:hAnsi="宋体"/>
                <w:color w:val="auto"/>
                <w:szCs w:val="21"/>
                <w:highlight w:val="none"/>
              </w:rPr>
            </w:pPr>
            <w:r>
              <w:rPr>
                <w:rFonts w:ascii="宋体" w:hAnsi="宋体"/>
                <w:color w:val="auto"/>
                <w:szCs w:val="21"/>
                <w:highlight w:val="none"/>
              </w:rPr>
              <w:t>姓  名</w:t>
            </w:r>
          </w:p>
        </w:tc>
        <w:tc>
          <w:tcPr>
            <w:tcW w:w="1079" w:type="dxa"/>
            <w:gridSpan w:val="2"/>
            <w:vAlign w:val="center"/>
          </w:tcPr>
          <w:p>
            <w:pPr>
              <w:spacing w:line="440" w:lineRule="exact"/>
              <w:jc w:val="center"/>
              <w:rPr>
                <w:rFonts w:ascii="宋体" w:hAnsi="宋体"/>
                <w:color w:val="auto"/>
                <w:szCs w:val="21"/>
                <w:highlight w:val="none"/>
              </w:rPr>
            </w:pPr>
          </w:p>
        </w:tc>
        <w:tc>
          <w:tcPr>
            <w:tcW w:w="927" w:type="dxa"/>
            <w:vAlign w:val="center"/>
          </w:tcPr>
          <w:p>
            <w:pPr>
              <w:spacing w:line="440" w:lineRule="exact"/>
              <w:jc w:val="center"/>
              <w:rPr>
                <w:rFonts w:ascii="宋体" w:hAnsi="宋体"/>
                <w:color w:val="auto"/>
                <w:szCs w:val="21"/>
                <w:highlight w:val="none"/>
              </w:rPr>
            </w:pPr>
            <w:r>
              <w:rPr>
                <w:rFonts w:ascii="宋体" w:hAnsi="宋体"/>
                <w:color w:val="auto"/>
                <w:szCs w:val="21"/>
                <w:highlight w:val="none"/>
              </w:rPr>
              <w:t>年 龄</w:t>
            </w:r>
          </w:p>
        </w:tc>
        <w:tc>
          <w:tcPr>
            <w:tcW w:w="1065" w:type="dxa"/>
            <w:vAlign w:val="center"/>
          </w:tcPr>
          <w:p>
            <w:pPr>
              <w:spacing w:line="440" w:lineRule="exact"/>
              <w:jc w:val="center"/>
              <w:rPr>
                <w:rFonts w:ascii="宋体" w:hAnsi="宋体"/>
                <w:color w:val="auto"/>
                <w:szCs w:val="21"/>
                <w:highlight w:val="none"/>
              </w:rPr>
            </w:pPr>
          </w:p>
        </w:tc>
        <w:tc>
          <w:tcPr>
            <w:tcW w:w="2130" w:type="dxa"/>
            <w:gridSpan w:val="3"/>
            <w:vAlign w:val="center"/>
          </w:tcPr>
          <w:p>
            <w:pPr>
              <w:spacing w:line="440" w:lineRule="exact"/>
              <w:jc w:val="center"/>
              <w:rPr>
                <w:rFonts w:ascii="宋体" w:hAnsi="宋体"/>
                <w:color w:val="auto"/>
                <w:szCs w:val="21"/>
                <w:highlight w:val="none"/>
              </w:rPr>
            </w:pPr>
            <w:r>
              <w:rPr>
                <w:rFonts w:ascii="宋体" w:hAnsi="宋体"/>
                <w:color w:val="auto"/>
                <w:szCs w:val="21"/>
                <w:highlight w:val="none"/>
              </w:rPr>
              <w:t>学历</w:t>
            </w:r>
          </w:p>
        </w:tc>
        <w:tc>
          <w:tcPr>
            <w:tcW w:w="2135" w:type="dxa"/>
            <w:vAlign w:val="center"/>
          </w:tcPr>
          <w:p>
            <w:pPr>
              <w:spacing w:line="440" w:lineRule="exact"/>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86" w:type="dxa"/>
            <w:vAlign w:val="center"/>
          </w:tcPr>
          <w:p>
            <w:pPr>
              <w:spacing w:line="440" w:lineRule="exact"/>
              <w:jc w:val="center"/>
              <w:rPr>
                <w:rFonts w:ascii="宋体" w:hAnsi="宋体"/>
                <w:color w:val="auto"/>
                <w:szCs w:val="21"/>
                <w:highlight w:val="none"/>
              </w:rPr>
            </w:pPr>
            <w:r>
              <w:rPr>
                <w:rFonts w:ascii="宋体" w:hAnsi="宋体"/>
                <w:color w:val="auto"/>
                <w:szCs w:val="21"/>
                <w:highlight w:val="none"/>
              </w:rPr>
              <w:t>职  称</w:t>
            </w:r>
          </w:p>
        </w:tc>
        <w:tc>
          <w:tcPr>
            <w:tcW w:w="1079" w:type="dxa"/>
            <w:gridSpan w:val="2"/>
            <w:vAlign w:val="center"/>
          </w:tcPr>
          <w:p>
            <w:pPr>
              <w:spacing w:line="440" w:lineRule="exact"/>
              <w:jc w:val="center"/>
              <w:rPr>
                <w:rFonts w:ascii="宋体" w:hAnsi="宋体"/>
                <w:color w:val="auto"/>
                <w:szCs w:val="21"/>
                <w:highlight w:val="none"/>
              </w:rPr>
            </w:pPr>
          </w:p>
        </w:tc>
        <w:tc>
          <w:tcPr>
            <w:tcW w:w="927" w:type="dxa"/>
            <w:vAlign w:val="center"/>
          </w:tcPr>
          <w:p>
            <w:pPr>
              <w:spacing w:line="440" w:lineRule="exact"/>
              <w:jc w:val="center"/>
              <w:rPr>
                <w:rFonts w:ascii="宋体" w:hAnsi="宋体"/>
                <w:color w:val="auto"/>
                <w:szCs w:val="21"/>
                <w:highlight w:val="none"/>
              </w:rPr>
            </w:pPr>
            <w:r>
              <w:rPr>
                <w:rFonts w:ascii="宋体" w:hAnsi="宋体"/>
                <w:color w:val="auto"/>
                <w:szCs w:val="21"/>
                <w:highlight w:val="none"/>
              </w:rPr>
              <w:t>职 务</w:t>
            </w:r>
          </w:p>
        </w:tc>
        <w:tc>
          <w:tcPr>
            <w:tcW w:w="1065" w:type="dxa"/>
            <w:vAlign w:val="center"/>
          </w:tcPr>
          <w:p>
            <w:pPr>
              <w:spacing w:line="440" w:lineRule="exact"/>
              <w:jc w:val="center"/>
              <w:rPr>
                <w:rFonts w:ascii="宋体" w:hAnsi="宋体"/>
                <w:color w:val="auto"/>
                <w:szCs w:val="21"/>
                <w:highlight w:val="none"/>
              </w:rPr>
            </w:pPr>
          </w:p>
        </w:tc>
        <w:tc>
          <w:tcPr>
            <w:tcW w:w="2130" w:type="dxa"/>
            <w:gridSpan w:val="3"/>
            <w:vAlign w:val="center"/>
          </w:tcPr>
          <w:p>
            <w:pPr>
              <w:spacing w:line="440" w:lineRule="exact"/>
              <w:jc w:val="center"/>
              <w:rPr>
                <w:rFonts w:ascii="宋体" w:hAnsi="宋体"/>
                <w:color w:val="auto"/>
                <w:szCs w:val="21"/>
                <w:highlight w:val="none"/>
              </w:rPr>
            </w:pPr>
            <w:r>
              <w:rPr>
                <w:rFonts w:ascii="宋体" w:hAnsi="宋体"/>
                <w:color w:val="auto"/>
                <w:szCs w:val="21"/>
                <w:highlight w:val="none"/>
              </w:rPr>
              <w:t>拟在本合同任职</w:t>
            </w:r>
          </w:p>
        </w:tc>
        <w:tc>
          <w:tcPr>
            <w:tcW w:w="2135" w:type="dxa"/>
            <w:vAlign w:val="center"/>
          </w:tcPr>
          <w:p>
            <w:pPr>
              <w:spacing w:line="440" w:lineRule="exact"/>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6" w:type="dxa"/>
            <w:vAlign w:val="center"/>
          </w:tcPr>
          <w:p>
            <w:pPr>
              <w:spacing w:line="440" w:lineRule="exact"/>
              <w:rPr>
                <w:rFonts w:ascii="宋体" w:hAnsi="宋体"/>
                <w:color w:val="auto"/>
                <w:szCs w:val="21"/>
                <w:highlight w:val="none"/>
              </w:rPr>
            </w:pPr>
            <w:r>
              <w:rPr>
                <w:rFonts w:ascii="宋体" w:hAnsi="宋体"/>
                <w:color w:val="auto"/>
                <w:szCs w:val="21"/>
                <w:highlight w:val="none"/>
              </w:rPr>
              <w:t>毕业学校</w:t>
            </w:r>
          </w:p>
        </w:tc>
        <w:tc>
          <w:tcPr>
            <w:tcW w:w="7336" w:type="dxa"/>
            <w:gridSpan w:val="8"/>
          </w:tcPr>
          <w:p>
            <w:pPr>
              <w:spacing w:line="440" w:lineRule="exact"/>
              <w:rPr>
                <w:rFonts w:ascii="宋体" w:hAnsi="宋体"/>
                <w:color w:val="auto"/>
                <w:szCs w:val="21"/>
                <w:highlight w:val="none"/>
              </w:rPr>
            </w:pPr>
            <w:r>
              <w:rPr>
                <w:rFonts w:ascii="宋体" w:hAnsi="宋体"/>
                <w:color w:val="auto"/>
                <w:szCs w:val="21"/>
                <w:highlight w:val="none"/>
              </w:rPr>
              <w:t xml:space="preserve">      年毕业于            学校        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86" w:type="dxa"/>
            <w:vAlign w:val="center"/>
          </w:tcPr>
          <w:p>
            <w:pPr>
              <w:spacing w:line="440" w:lineRule="exact"/>
              <w:rPr>
                <w:rFonts w:ascii="宋体" w:hAnsi="宋体"/>
                <w:color w:val="auto"/>
                <w:szCs w:val="21"/>
                <w:highlight w:val="none"/>
              </w:rPr>
            </w:pPr>
            <w:r>
              <w:rPr>
                <w:rFonts w:hint="eastAsia"/>
                <w:color w:val="auto"/>
                <w:szCs w:val="21"/>
                <w:highlight w:val="none"/>
              </w:rPr>
              <w:t>同类项目经验（年限）</w:t>
            </w:r>
          </w:p>
        </w:tc>
        <w:tc>
          <w:tcPr>
            <w:tcW w:w="7336" w:type="dxa"/>
            <w:gridSpan w:val="8"/>
          </w:tcPr>
          <w:p>
            <w:pPr>
              <w:spacing w:line="440" w:lineRule="exact"/>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9"/>
            <w:vAlign w:val="center"/>
          </w:tcPr>
          <w:p>
            <w:pPr>
              <w:spacing w:line="440" w:lineRule="exact"/>
              <w:rPr>
                <w:rFonts w:ascii="宋体" w:hAnsi="宋体"/>
                <w:color w:val="auto"/>
                <w:szCs w:val="21"/>
                <w:highlight w:val="none"/>
              </w:rPr>
            </w:pPr>
            <w:r>
              <w:rPr>
                <w:rFonts w:ascii="宋体" w:hAnsi="宋体"/>
                <w:color w:val="auto"/>
                <w:szCs w:val="21"/>
                <w:highlight w:val="none"/>
              </w:rPr>
              <w:t>主要工作经历</w:t>
            </w:r>
          </w:p>
          <w:p>
            <w:pPr>
              <w:spacing w:line="440" w:lineRule="exact"/>
              <w:rPr>
                <w:rFonts w:ascii="宋体" w:hAnsi="宋体"/>
                <w:color w:val="auto"/>
                <w:szCs w:val="21"/>
                <w:highlight w:val="none"/>
              </w:rPr>
            </w:pPr>
          </w:p>
          <w:p>
            <w:pPr>
              <w:spacing w:line="440" w:lineRule="exact"/>
              <w:rPr>
                <w:rFonts w:ascii="宋体" w:hAnsi="宋体"/>
                <w:color w:val="auto"/>
                <w:szCs w:val="21"/>
                <w:highlight w:val="none"/>
              </w:rPr>
            </w:pPr>
          </w:p>
          <w:p>
            <w:pPr>
              <w:spacing w:line="440" w:lineRule="exact"/>
              <w:rPr>
                <w:rFonts w:ascii="宋体" w:hAnsi="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545" w:type="dxa"/>
            <w:gridSpan w:val="2"/>
            <w:vAlign w:val="center"/>
          </w:tcPr>
          <w:p>
            <w:pPr>
              <w:spacing w:line="440" w:lineRule="exact"/>
              <w:jc w:val="center"/>
              <w:rPr>
                <w:rFonts w:ascii="宋体" w:hAnsi="宋体"/>
                <w:color w:val="auto"/>
                <w:szCs w:val="21"/>
                <w:highlight w:val="none"/>
              </w:rPr>
            </w:pPr>
            <w:r>
              <w:rPr>
                <w:rFonts w:ascii="宋体" w:hAnsi="宋体"/>
                <w:color w:val="auto"/>
                <w:szCs w:val="21"/>
                <w:highlight w:val="none"/>
              </w:rPr>
              <w:t>时  间</w:t>
            </w:r>
          </w:p>
        </w:tc>
        <w:tc>
          <w:tcPr>
            <w:tcW w:w="3420" w:type="dxa"/>
            <w:gridSpan w:val="4"/>
            <w:vAlign w:val="center"/>
          </w:tcPr>
          <w:p>
            <w:pPr>
              <w:spacing w:line="440" w:lineRule="exact"/>
              <w:jc w:val="center"/>
              <w:rPr>
                <w:rFonts w:ascii="宋体" w:hAnsi="宋体"/>
                <w:color w:val="auto"/>
                <w:szCs w:val="21"/>
                <w:highlight w:val="none"/>
              </w:rPr>
            </w:pPr>
            <w:r>
              <w:rPr>
                <w:rFonts w:ascii="宋体" w:hAnsi="宋体"/>
                <w:color w:val="auto"/>
                <w:szCs w:val="21"/>
                <w:highlight w:val="none"/>
              </w:rPr>
              <w:t>参加过的类似项目</w:t>
            </w:r>
          </w:p>
        </w:tc>
        <w:tc>
          <w:tcPr>
            <w:tcW w:w="1261" w:type="dxa"/>
            <w:vAlign w:val="center"/>
          </w:tcPr>
          <w:p>
            <w:pPr>
              <w:spacing w:line="440" w:lineRule="exact"/>
              <w:jc w:val="center"/>
              <w:rPr>
                <w:rFonts w:ascii="宋体" w:hAnsi="宋体"/>
                <w:color w:val="auto"/>
                <w:szCs w:val="21"/>
                <w:highlight w:val="none"/>
              </w:rPr>
            </w:pPr>
            <w:r>
              <w:rPr>
                <w:rFonts w:ascii="宋体" w:hAnsi="宋体"/>
                <w:color w:val="auto"/>
                <w:szCs w:val="21"/>
                <w:highlight w:val="none"/>
              </w:rPr>
              <w:t>担任职务</w:t>
            </w:r>
          </w:p>
        </w:tc>
        <w:tc>
          <w:tcPr>
            <w:tcW w:w="2296" w:type="dxa"/>
            <w:gridSpan w:val="2"/>
            <w:vAlign w:val="center"/>
          </w:tcPr>
          <w:p>
            <w:pPr>
              <w:spacing w:line="440" w:lineRule="exact"/>
              <w:jc w:val="center"/>
              <w:rPr>
                <w:rFonts w:ascii="宋体" w:hAnsi="宋体"/>
                <w:color w:val="auto"/>
                <w:szCs w:val="21"/>
                <w:highlight w:val="none"/>
              </w:rPr>
            </w:pPr>
            <w:r>
              <w:rPr>
                <w:rFonts w:ascii="宋体" w:hAnsi="宋体"/>
                <w:color w:val="auto"/>
                <w:szCs w:val="21"/>
                <w:highlight w:val="none"/>
              </w:rPr>
              <w:t>发包人及联系电话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exact"/>
          <w:jc w:val="center"/>
        </w:trPr>
        <w:tc>
          <w:tcPr>
            <w:tcW w:w="1545" w:type="dxa"/>
            <w:gridSpan w:val="2"/>
          </w:tcPr>
          <w:p>
            <w:pPr>
              <w:spacing w:line="440" w:lineRule="exact"/>
              <w:rPr>
                <w:rFonts w:eastAsia="黑体"/>
                <w:color w:val="auto"/>
                <w:szCs w:val="21"/>
                <w:highlight w:val="none"/>
              </w:rPr>
            </w:pPr>
          </w:p>
        </w:tc>
        <w:tc>
          <w:tcPr>
            <w:tcW w:w="3420" w:type="dxa"/>
            <w:gridSpan w:val="4"/>
          </w:tcPr>
          <w:p>
            <w:pPr>
              <w:spacing w:line="440" w:lineRule="exact"/>
              <w:rPr>
                <w:rFonts w:eastAsia="黑体"/>
                <w:color w:val="auto"/>
                <w:szCs w:val="21"/>
                <w:highlight w:val="none"/>
              </w:rPr>
            </w:pPr>
          </w:p>
        </w:tc>
        <w:tc>
          <w:tcPr>
            <w:tcW w:w="1261" w:type="dxa"/>
          </w:tcPr>
          <w:p>
            <w:pPr>
              <w:spacing w:line="440" w:lineRule="exact"/>
              <w:rPr>
                <w:rFonts w:eastAsia="黑体"/>
                <w:color w:val="auto"/>
                <w:szCs w:val="21"/>
                <w:highlight w:val="none"/>
              </w:rPr>
            </w:pPr>
          </w:p>
        </w:tc>
        <w:tc>
          <w:tcPr>
            <w:tcW w:w="2296" w:type="dxa"/>
            <w:gridSpan w:val="2"/>
          </w:tcPr>
          <w:p>
            <w:pPr>
              <w:spacing w:line="440" w:lineRule="exact"/>
              <w:rPr>
                <w:rFonts w:eastAsia="黑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gridSpan w:val="2"/>
          </w:tcPr>
          <w:p>
            <w:pPr>
              <w:spacing w:line="440" w:lineRule="exact"/>
              <w:rPr>
                <w:rFonts w:eastAsia="黑体"/>
                <w:color w:val="auto"/>
                <w:szCs w:val="21"/>
                <w:highlight w:val="none"/>
              </w:rPr>
            </w:pPr>
          </w:p>
        </w:tc>
        <w:tc>
          <w:tcPr>
            <w:tcW w:w="3420" w:type="dxa"/>
            <w:gridSpan w:val="4"/>
          </w:tcPr>
          <w:p>
            <w:pPr>
              <w:spacing w:line="440" w:lineRule="exact"/>
              <w:rPr>
                <w:rFonts w:eastAsia="黑体"/>
                <w:color w:val="auto"/>
                <w:szCs w:val="21"/>
                <w:highlight w:val="none"/>
              </w:rPr>
            </w:pPr>
          </w:p>
        </w:tc>
        <w:tc>
          <w:tcPr>
            <w:tcW w:w="1261" w:type="dxa"/>
          </w:tcPr>
          <w:p>
            <w:pPr>
              <w:spacing w:line="440" w:lineRule="exact"/>
              <w:rPr>
                <w:rFonts w:eastAsia="黑体"/>
                <w:color w:val="auto"/>
                <w:szCs w:val="21"/>
                <w:highlight w:val="none"/>
              </w:rPr>
            </w:pPr>
          </w:p>
        </w:tc>
        <w:tc>
          <w:tcPr>
            <w:tcW w:w="2296" w:type="dxa"/>
            <w:gridSpan w:val="2"/>
          </w:tcPr>
          <w:p>
            <w:pPr>
              <w:spacing w:line="440" w:lineRule="exact"/>
              <w:rPr>
                <w:rFonts w:eastAsia="黑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gridSpan w:val="2"/>
          </w:tcPr>
          <w:p>
            <w:pPr>
              <w:spacing w:line="440" w:lineRule="exact"/>
              <w:rPr>
                <w:rFonts w:eastAsia="黑体"/>
                <w:color w:val="auto"/>
                <w:szCs w:val="21"/>
                <w:highlight w:val="none"/>
              </w:rPr>
            </w:pPr>
          </w:p>
        </w:tc>
        <w:tc>
          <w:tcPr>
            <w:tcW w:w="3420" w:type="dxa"/>
            <w:gridSpan w:val="4"/>
          </w:tcPr>
          <w:p>
            <w:pPr>
              <w:spacing w:line="440" w:lineRule="exact"/>
              <w:rPr>
                <w:rFonts w:eastAsia="黑体"/>
                <w:color w:val="auto"/>
                <w:szCs w:val="21"/>
                <w:highlight w:val="none"/>
              </w:rPr>
            </w:pPr>
          </w:p>
        </w:tc>
        <w:tc>
          <w:tcPr>
            <w:tcW w:w="1261" w:type="dxa"/>
          </w:tcPr>
          <w:p>
            <w:pPr>
              <w:spacing w:line="440" w:lineRule="exact"/>
              <w:rPr>
                <w:rFonts w:eastAsia="黑体"/>
                <w:color w:val="auto"/>
                <w:szCs w:val="21"/>
                <w:highlight w:val="none"/>
              </w:rPr>
            </w:pPr>
          </w:p>
        </w:tc>
        <w:tc>
          <w:tcPr>
            <w:tcW w:w="2296" w:type="dxa"/>
            <w:gridSpan w:val="2"/>
          </w:tcPr>
          <w:p>
            <w:pPr>
              <w:spacing w:line="440" w:lineRule="exact"/>
              <w:rPr>
                <w:rFonts w:eastAsia="黑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gridSpan w:val="2"/>
          </w:tcPr>
          <w:p>
            <w:pPr>
              <w:spacing w:line="440" w:lineRule="exact"/>
              <w:rPr>
                <w:rFonts w:eastAsia="黑体"/>
                <w:color w:val="auto"/>
                <w:szCs w:val="21"/>
                <w:highlight w:val="none"/>
              </w:rPr>
            </w:pPr>
          </w:p>
        </w:tc>
        <w:tc>
          <w:tcPr>
            <w:tcW w:w="3420" w:type="dxa"/>
            <w:gridSpan w:val="4"/>
          </w:tcPr>
          <w:p>
            <w:pPr>
              <w:spacing w:line="440" w:lineRule="exact"/>
              <w:rPr>
                <w:rFonts w:eastAsia="黑体"/>
                <w:color w:val="auto"/>
                <w:szCs w:val="21"/>
                <w:highlight w:val="none"/>
              </w:rPr>
            </w:pPr>
          </w:p>
        </w:tc>
        <w:tc>
          <w:tcPr>
            <w:tcW w:w="1261" w:type="dxa"/>
          </w:tcPr>
          <w:p>
            <w:pPr>
              <w:spacing w:line="440" w:lineRule="exact"/>
              <w:rPr>
                <w:rFonts w:eastAsia="黑体"/>
                <w:color w:val="auto"/>
                <w:szCs w:val="21"/>
                <w:highlight w:val="none"/>
              </w:rPr>
            </w:pPr>
          </w:p>
        </w:tc>
        <w:tc>
          <w:tcPr>
            <w:tcW w:w="2296" w:type="dxa"/>
            <w:gridSpan w:val="2"/>
          </w:tcPr>
          <w:p>
            <w:pPr>
              <w:spacing w:line="440" w:lineRule="exact"/>
              <w:rPr>
                <w:rFonts w:eastAsia="黑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gridSpan w:val="2"/>
          </w:tcPr>
          <w:p>
            <w:pPr>
              <w:spacing w:line="440" w:lineRule="exact"/>
              <w:rPr>
                <w:rFonts w:eastAsia="黑体"/>
                <w:color w:val="auto"/>
                <w:szCs w:val="21"/>
                <w:highlight w:val="none"/>
              </w:rPr>
            </w:pPr>
          </w:p>
        </w:tc>
        <w:tc>
          <w:tcPr>
            <w:tcW w:w="3420" w:type="dxa"/>
            <w:gridSpan w:val="4"/>
          </w:tcPr>
          <w:p>
            <w:pPr>
              <w:spacing w:line="440" w:lineRule="exact"/>
              <w:rPr>
                <w:rFonts w:eastAsia="黑体"/>
                <w:color w:val="auto"/>
                <w:szCs w:val="21"/>
                <w:highlight w:val="none"/>
              </w:rPr>
            </w:pPr>
          </w:p>
        </w:tc>
        <w:tc>
          <w:tcPr>
            <w:tcW w:w="1261" w:type="dxa"/>
          </w:tcPr>
          <w:p>
            <w:pPr>
              <w:spacing w:line="440" w:lineRule="exact"/>
              <w:rPr>
                <w:rFonts w:eastAsia="黑体"/>
                <w:color w:val="auto"/>
                <w:szCs w:val="21"/>
                <w:highlight w:val="none"/>
              </w:rPr>
            </w:pPr>
          </w:p>
        </w:tc>
        <w:tc>
          <w:tcPr>
            <w:tcW w:w="2296" w:type="dxa"/>
            <w:gridSpan w:val="2"/>
          </w:tcPr>
          <w:p>
            <w:pPr>
              <w:spacing w:line="440" w:lineRule="exact"/>
              <w:rPr>
                <w:rFonts w:eastAsia="黑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exact"/>
          <w:jc w:val="center"/>
        </w:trPr>
        <w:tc>
          <w:tcPr>
            <w:tcW w:w="1545" w:type="dxa"/>
            <w:gridSpan w:val="2"/>
          </w:tcPr>
          <w:p>
            <w:pPr>
              <w:spacing w:line="440" w:lineRule="exact"/>
              <w:rPr>
                <w:rFonts w:eastAsia="黑体"/>
                <w:color w:val="auto"/>
                <w:szCs w:val="21"/>
                <w:highlight w:val="none"/>
              </w:rPr>
            </w:pPr>
          </w:p>
        </w:tc>
        <w:tc>
          <w:tcPr>
            <w:tcW w:w="3420" w:type="dxa"/>
            <w:gridSpan w:val="4"/>
          </w:tcPr>
          <w:p>
            <w:pPr>
              <w:spacing w:line="440" w:lineRule="exact"/>
              <w:rPr>
                <w:rFonts w:eastAsia="黑体"/>
                <w:color w:val="auto"/>
                <w:szCs w:val="21"/>
                <w:highlight w:val="none"/>
              </w:rPr>
            </w:pPr>
          </w:p>
        </w:tc>
        <w:tc>
          <w:tcPr>
            <w:tcW w:w="1261" w:type="dxa"/>
          </w:tcPr>
          <w:p>
            <w:pPr>
              <w:spacing w:line="440" w:lineRule="exact"/>
              <w:rPr>
                <w:rFonts w:eastAsia="黑体"/>
                <w:color w:val="auto"/>
                <w:szCs w:val="21"/>
                <w:highlight w:val="none"/>
              </w:rPr>
            </w:pPr>
          </w:p>
        </w:tc>
        <w:tc>
          <w:tcPr>
            <w:tcW w:w="2296" w:type="dxa"/>
            <w:gridSpan w:val="2"/>
          </w:tcPr>
          <w:p>
            <w:pPr>
              <w:spacing w:line="440" w:lineRule="exact"/>
              <w:rPr>
                <w:rFonts w:eastAsia="黑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545" w:type="dxa"/>
            <w:gridSpan w:val="2"/>
          </w:tcPr>
          <w:p>
            <w:pPr>
              <w:spacing w:line="440" w:lineRule="exact"/>
              <w:rPr>
                <w:rFonts w:eastAsia="黑体"/>
                <w:color w:val="auto"/>
                <w:szCs w:val="21"/>
                <w:highlight w:val="none"/>
              </w:rPr>
            </w:pPr>
          </w:p>
        </w:tc>
        <w:tc>
          <w:tcPr>
            <w:tcW w:w="3420" w:type="dxa"/>
            <w:gridSpan w:val="4"/>
          </w:tcPr>
          <w:p>
            <w:pPr>
              <w:spacing w:line="440" w:lineRule="exact"/>
              <w:rPr>
                <w:rFonts w:eastAsia="黑体"/>
                <w:color w:val="auto"/>
                <w:szCs w:val="21"/>
                <w:highlight w:val="none"/>
              </w:rPr>
            </w:pPr>
          </w:p>
        </w:tc>
        <w:tc>
          <w:tcPr>
            <w:tcW w:w="1261" w:type="dxa"/>
          </w:tcPr>
          <w:p>
            <w:pPr>
              <w:spacing w:line="440" w:lineRule="exact"/>
              <w:rPr>
                <w:rFonts w:eastAsia="黑体"/>
                <w:color w:val="auto"/>
                <w:szCs w:val="21"/>
                <w:highlight w:val="none"/>
              </w:rPr>
            </w:pPr>
          </w:p>
        </w:tc>
        <w:tc>
          <w:tcPr>
            <w:tcW w:w="2296" w:type="dxa"/>
            <w:gridSpan w:val="2"/>
          </w:tcPr>
          <w:p>
            <w:pPr>
              <w:spacing w:line="440" w:lineRule="exact"/>
              <w:rPr>
                <w:rFonts w:eastAsia="黑体"/>
                <w:color w:val="auto"/>
                <w:szCs w:val="21"/>
                <w:highlight w:val="none"/>
              </w:rPr>
            </w:pPr>
          </w:p>
        </w:tc>
      </w:tr>
    </w:tbl>
    <w:p>
      <w:pPr>
        <w:spacing w:line="440" w:lineRule="exact"/>
        <w:rPr>
          <w:color w:val="auto"/>
          <w:szCs w:val="21"/>
          <w:highlight w:val="none"/>
        </w:rPr>
      </w:pPr>
      <w:r>
        <w:rPr>
          <w:rFonts w:hint="eastAsia"/>
          <w:color w:val="auto"/>
          <w:szCs w:val="21"/>
          <w:highlight w:val="none"/>
        </w:rPr>
        <w:t>注：须附资格证书、身份证、职称证、学历证、</w:t>
      </w:r>
      <w:r>
        <w:rPr>
          <w:rFonts w:hint="eastAsia"/>
          <w:color w:val="auto"/>
          <w:highlight w:val="none"/>
        </w:rPr>
        <w:t>社保证明</w:t>
      </w:r>
      <w:r>
        <w:rPr>
          <w:rFonts w:hint="eastAsia"/>
          <w:color w:val="auto"/>
          <w:szCs w:val="21"/>
          <w:highlight w:val="none"/>
        </w:rPr>
        <w:t>复印件，管理过的项目业绩须附合同协议书复印件等证明文件。</w:t>
      </w:r>
    </w:p>
    <w:p>
      <w:pPr>
        <w:spacing w:line="440" w:lineRule="exact"/>
        <w:rPr>
          <w:rFonts w:ascii="宋体" w:hAnsi="宋体"/>
          <w:bCs/>
          <w:color w:val="auto"/>
          <w:szCs w:val="21"/>
          <w:highlight w:val="none"/>
        </w:rPr>
      </w:pPr>
      <w:r>
        <w:rPr>
          <w:rFonts w:hint="eastAsia" w:ascii="宋体" w:hAnsi="宋体"/>
          <w:bCs/>
          <w:color w:val="auto"/>
          <w:szCs w:val="21"/>
          <w:highlight w:val="none"/>
        </w:rPr>
        <w:t>配备多名项目负责人、项目主要管理人员时，可以分别填写。</w:t>
      </w:r>
    </w:p>
    <w:p>
      <w:pPr>
        <w:widowControl/>
        <w:jc w:val="left"/>
        <w:rPr>
          <w:rFonts w:hAnsi="宋体"/>
          <w:b/>
          <w:color w:val="auto"/>
          <w:sz w:val="32"/>
          <w:szCs w:val="32"/>
          <w:highlight w:val="none"/>
        </w:rPr>
      </w:pPr>
      <w:r>
        <w:rPr>
          <w:rFonts w:hint="eastAsia" w:hAnsi="宋体"/>
          <w:b/>
          <w:color w:val="auto"/>
          <w:sz w:val="32"/>
          <w:szCs w:val="32"/>
          <w:highlight w:val="none"/>
        </w:rPr>
        <w:t>相关证明材料：</w:t>
      </w:r>
    </w:p>
    <w:p>
      <w:pPr>
        <w:pStyle w:val="45"/>
        <w:widowControl/>
        <w:numPr>
          <w:ilvl w:val="0"/>
          <w:numId w:val="27"/>
        </w:numPr>
        <w:ind w:firstLineChars="0"/>
        <w:jc w:val="left"/>
        <w:rPr>
          <w:rFonts w:hAnsi="宋体"/>
          <w:color w:val="auto"/>
          <w:szCs w:val="21"/>
          <w:highlight w:val="none"/>
        </w:rPr>
      </w:pPr>
      <w:r>
        <w:rPr>
          <w:rFonts w:hint="eastAsia" w:hAnsi="宋体"/>
          <w:color w:val="auto"/>
          <w:szCs w:val="21"/>
          <w:highlight w:val="none"/>
        </w:rPr>
        <w:t>身份证复印件</w:t>
      </w:r>
    </w:p>
    <w:p>
      <w:pPr>
        <w:pStyle w:val="45"/>
        <w:numPr>
          <w:ilvl w:val="0"/>
          <w:numId w:val="27"/>
        </w:numPr>
        <w:topLinePunct/>
        <w:spacing w:line="440" w:lineRule="exact"/>
        <w:ind w:firstLineChars="0"/>
        <w:jc w:val="left"/>
        <w:rPr>
          <w:rFonts w:hAnsi="宋体"/>
          <w:color w:val="auto"/>
          <w:szCs w:val="21"/>
          <w:highlight w:val="none"/>
        </w:rPr>
      </w:pPr>
      <w:r>
        <w:rPr>
          <w:rFonts w:hint="eastAsia" w:hAnsi="宋体"/>
          <w:color w:val="auto"/>
          <w:szCs w:val="21"/>
          <w:highlight w:val="none"/>
        </w:rPr>
        <w:t>学历证明复印件</w:t>
      </w:r>
    </w:p>
    <w:p>
      <w:pPr>
        <w:pStyle w:val="45"/>
        <w:numPr>
          <w:ilvl w:val="0"/>
          <w:numId w:val="27"/>
        </w:numPr>
        <w:topLinePunct/>
        <w:spacing w:line="440" w:lineRule="exact"/>
        <w:ind w:firstLineChars="0"/>
        <w:jc w:val="left"/>
        <w:rPr>
          <w:rFonts w:hAnsi="宋体"/>
          <w:color w:val="auto"/>
          <w:szCs w:val="21"/>
          <w:highlight w:val="none"/>
        </w:rPr>
      </w:pPr>
      <w:r>
        <w:rPr>
          <w:rFonts w:hint="eastAsia" w:hAnsi="宋体"/>
          <w:color w:val="auto"/>
          <w:szCs w:val="21"/>
          <w:highlight w:val="none"/>
        </w:rPr>
        <w:t>职称证明复印件（如有）</w:t>
      </w:r>
    </w:p>
    <w:p>
      <w:pPr>
        <w:pStyle w:val="45"/>
        <w:numPr>
          <w:ilvl w:val="0"/>
          <w:numId w:val="27"/>
        </w:numPr>
        <w:topLinePunct/>
        <w:spacing w:line="440" w:lineRule="exact"/>
        <w:ind w:firstLineChars="0"/>
        <w:jc w:val="left"/>
        <w:rPr>
          <w:color w:val="auto"/>
          <w:sz w:val="20"/>
          <w:highlight w:val="none"/>
        </w:rPr>
      </w:pPr>
      <w:r>
        <w:rPr>
          <w:rFonts w:hint="eastAsia"/>
          <w:color w:val="auto"/>
          <w:szCs w:val="21"/>
          <w:highlight w:val="none"/>
        </w:rPr>
        <w:t>社保证明</w:t>
      </w:r>
    </w:p>
    <w:p>
      <w:pPr>
        <w:pStyle w:val="45"/>
        <w:numPr>
          <w:ilvl w:val="0"/>
          <w:numId w:val="27"/>
        </w:numPr>
        <w:topLinePunct/>
        <w:spacing w:line="480" w:lineRule="auto"/>
        <w:ind w:firstLineChars="0"/>
        <w:jc w:val="left"/>
        <w:rPr>
          <w:color w:val="auto"/>
          <w:highlight w:val="none"/>
        </w:rPr>
      </w:pPr>
      <w:r>
        <w:rPr>
          <w:rFonts w:hint="eastAsia"/>
          <w:color w:val="auto"/>
          <w:szCs w:val="21"/>
          <w:highlight w:val="none"/>
        </w:rPr>
        <w:t>管理过的项目业绩证明材料</w:t>
      </w:r>
    </w:p>
    <w:p>
      <w:pPr>
        <w:rPr>
          <w:rFonts w:ascii="宋体" w:hAnsi="宋体"/>
          <w:color w:val="auto"/>
          <w:highlight w:val="none"/>
        </w:rPr>
      </w:pPr>
    </w:p>
    <w:p>
      <w:pPr>
        <w:numPr>
          <w:ilvl w:val="0"/>
          <w:numId w:val="28"/>
        </w:numPr>
        <w:topLinePunct/>
        <w:spacing w:line="440" w:lineRule="exact"/>
        <w:ind w:left="849" w:leftChars="202" w:hanging="425"/>
        <w:jc w:val="left"/>
        <w:rPr>
          <w:rFonts w:ascii="宋体" w:hAnsi="宋体"/>
          <w:color w:val="auto"/>
          <w:highlight w:val="none"/>
        </w:rPr>
        <w:sectPr>
          <w:pgSz w:w="11906" w:h="16838"/>
          <w:pgMar w:top="1440" w:right="1797" w:bottom="1440" w:left="1797" w:header="851" w:footer="992" w:gutter="0"/>
          <w:cols w:space="425" w:num="1"/>
          <w:docGrid w:type="lines" w:linePitch="312" w:charSpace="0"/>
        </w:sectPr>
      </w:pP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920" w:name="_Toc3244"/>
      <w:bookmarkStart w:id="921" w:name="_Toc17203056"/>
      <w:bookmarkStart w:id="922" w:name="_Toc17202856"/>
      <w:bookmarkStart w:id="923" w:name="_Toc17203571"/>
      <w:r>
        <w:rPr>
          <w:rFonts w:hint="eastAsia" w:ascii="宋体" w:hAnsi="宋体"/>
          <w:color w:val="auto"/>
          <w:sz w:val="28"/>
          <w:szCs w:val="24"/>
          <w:highlight w:val="none"/>
        </w:rPr>
        <w:t>项目实施方案</w:t>
      </w:r>
      <w:bookmarkEnd w:id="920"/>
      <w:bookmarkEnd w:id="921"/>
      <w:bookmarkEnd w:id="922"/>
      <w:bookmarkEnd w:id="923"/>
    </w:p>
    <w:p>
      <w:pPr>
        <w:rPr>
          <w:rFonts w:ascii="宋体" w:hAnsi="宋体"/>
          <w:color w:val="auto"/>
          <w:highlight w:val="none"/>
        </w:rPr>
      </w:pPr>
      <w:r>
        <w:rPr>
          <w:rFonts w:hint="eastAsia"/>
          <w:color w:val="auto"/>
          <w:szCs w:val="21"/>
          <w:highlight w:val="none"/>
        </w:rPr>
        <w:t>参选人应根据第五章“项目技术和服务要求”中的要求制定项目实施方案。参选方可以根据实际情况增加内容，但不得擅自减少有关内容。格式自拟。</w:t>
      </w:r>
    </w:p>
    <w:p>
      <w:pPr>
        <w:rPr>
          <w:rFonts w:ascii="宋体" w:hAnsi="宋体"/>
          <w:color w:val="auto"/>
          <w:highlight w:val="none"/>
        </w:rPr>
      </w:pPr>
    </w:p>
    <w:p>
      <w:pPr>
        <w:rPr>
          <w:rFonts w:ascii="宋体" w:hAnsi="宋体"/>
          <w:color w:val="auto"/>
          <w:highlight w:val="none"/>
        </w:rPr>
      </w:pPr>
    </w:p>
    <w:p>
      <w:pPr>
        <w:widowControl/>
        <w:jc w:val="left"/>
        <w:rPr>
          <w:rFonts w:ascii="宋体" w:hAnsi="宋体"/>
          <w:color w:val="auto"/>
          <w:highlight w:val="none"/>
        </w:rPr>
      </w:pPr>
      <w:r>
        <w:rPr>
          <w:rFonts w:ascii="宋体" w:hAnsi="宋体"/>
          <w:color w:val="auto"/>
          <w:highlight w:val="none"/>
        </w:rPr>
        <w:br w:type="page"/>
      </w:r>
    </w:p>
    <w:p>
      <w:pPr>
        <w:rPr>
          <w:rFonts w:ascii="宋体" w:hAnsi="宋体"/>
          <w:color w:val="auto"/>
          <w:highlight w:val="none"/>
        </w:rPr>
      </w:pP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924" w:name="_Toc17122"/>
      <w:r>
        <w:rPr>
          <w:rFonts w:hint="eastAsia" w:ascii="宋体" w:hAnsi="宋体"/>
          <w:color w:val="auto"/>
          <w:sz w:val="28"/>
          <w:szCs w:val="24"/>
          <w:highlight w:val="none"/>
        </w:rPr>
        <w:t>供应商承诺书</w:t>
      </w:r>
      <w:bookmarkEnd w:id="924"/>
    </w:p>
    <w:p>
      <w:pPr>
        <w:rPr>
          <w:color w:val="auto"/>
          <w:highlight w:val="none"/>
        </w:rPr>
      </w:pPr>
    </w:p>
    <w:p>
      <w:pPr>
        <w:pStyle w:val="90"/>
        <w:spacing w:line="360" w:lineRule="atLeast"/>
        <w:jc w:val="center"/>
        <w:rPr>
          <w:rFonts w:asciiTheme="minorEastAsia" w:hAnsiTheme="minorEastAsia" w:eastAsiaTheme="minorEastAsia"/>
          <w:b/>
          <w:bCs/>
          <w:color w:val="auto"/>
          <w:sz w:val="24"/>
          <w:highlight w:val="none"/>
        </w:rPr>
      </w:pPr>
      <w:r>
        <w:rPr>
          <w:rFonts w:hint="eastAsia" w:asciiTheme="minorEastAsia" w:hAnsiTheme="minorEastAsia" w:eastAsiaTheme="minorEastAsia"/>
          <w:b/>
          <w:bCs/>
          <w:color w:val="auto"/>
          <w:sz w:val="24"/>
          <w:highlight w:val="none"/>
        </w:rPr>
        <w:t>供应商承诺书</w:t>
      </w:r>
    </w:p>
    <w:p>
      <w:pPr>
        <w:pStyle w:val="90"/>
        <w:spacing w:line="360" w:lineRule="atLeast"/>
        <w:jc w:val="center"/>
        <w:rPr>
          <w:rFonts w:asciiTheme="minorEastAsia" w:hAnsiTheme="minorEastAsia" w:eastAsiaTheme="minorEastAsia"/>
          <w:b/>
          <w:bCs/>
          <w:color w:val="auto"/>
          <w:sz w:val="24"/>
          <w:highlight w:val="none"/>
        </w:rPr>
      </w:pPr>
    </w:p>
    <w:p>
      <w:pPr>
        <w:pStyle w:val="90"/>
        <w:spacing w:line="360" w:lineRule="atLeast"/>
        <w:jc w:val="center"/>
        <w:rPr>
          <w:rFonts w:asciiTheme="minorEastAsia" w:hAnsiTheme="minorEastAsia" w:eastAsiaTheme="minorEastAsia"/>
          <w:b/>
          <w:bCs/>
          <w:color w:val="auto"/>
          <w:sz w:val="24"/>
          <w:highlight w:val="none"/>
        </w:rPr>
      </w:pPr>
      <w:r>
        <w:rPr>
          <w:rFonts w:hint="eastAsia" w:asciiTheme="minorEastAsia" w:hAnsiTheme="minorEastAsia" w:eastAsiaTheme="minorEastAsia"/>
          <w:b/>
          <w:bCs/>
          <w:color w:val="auto"/>
          <w:sz w:val="24"/>
          <w:highlight w:val="none"/>
        </w:rPr>
        <w:t>[根据规定使用本承诺书的项目，应将本承诺书作为采购合同的附件]</w:t>
      </w:r>
    </w:p>
    <w:p>
      <w:pPr>
        <w:pStyle w:val="90"/>
        <w:spacing w:line="360" w:lineRule="atLeast"/>
        <w:jc w:val="center"/>
        <w:rPr>
          <w:rFonts w:asciiTheme="minorEastAsia" w:hAnsiTheme="minorEastAsia" w:eastAsiaTheme="minorEastAsia"/>
          <w:b/>
          <w:bCs/>
          <w:color w:val="auto"/>
          <w:sz w:val="24"/>
          <w:highlight w:val="none"/>
        </w:rPr>
      </w:pPr>
    </w:p>
    <w:p>
      <w:pPr>
        <w:pStyle w:val="90"/>
        <w:snapToGrid w:val="0"/>
        <w:spacing w:line="440" w:lineRule="exact"/>
        <w:rPr>
          <w:rFonts w:asciiTheme="minorEastAsia" w:hAnsiTheme="minorEastAsia" w:eastAsiaTheme="minorEastAsia"/>
          <w:color w:val="auto"/>
          <w:szCs w:val="21"/>
          <w:highlight w:val="none"/>
        </w:rPr>
      </w:pPr>
      <w:r>
        <w:rPr>
          <w:rFonts w:hint="eastAsia" w:asciiTheme="minorEastAsia" w:hAnsiTheme="minorEastAsia" w:eastAsiaTheme="minorEastAsia"/>
          <w:b/>
          <w:bCs/>
          <w:color w:val="auto"/>
          <w:szCs w:val="21"/>
          <w:highlight w:val="none"/>
        </w:rPr>
        <w:t>中国电信</w:t>
      </w:r>
      <w:bookmarkStart w:id="925" w:name="文字6"/>
      <w:r>
        <w:rPr>
          <w:rFonts w:asciiTheme="minorEastAsia" w:hAnsiTheme="minorEastAsia" w:eastAsiaTheme="minorEastAsia"/>
          <w:b/>
          <w:bCs/>
          <w:color w:val="auto"/>
          <w:szCs w:val="21"/>
          <w:highlight w:val="none"/>
        </w:rPr>
        <w:t>[  ]</w:t>
      </w:r>
      <w:r>
        <w:rPr>
          <w:rFonts w:hint="eastAsia" w:asciiTheme="minorEastAsia" w:hAnsiTheme="minorEastAsia" w:eastAsiaTheme="minorEastAsia"/>
          <w:b/>
          <w:bCs/>
          <w:color w:val="auto"/>
          <w:szCs w:val="21"/>
          <w:highlight w:val="none"/>
        </w:rPr>
        <w:t>公司</w:t>
      </w:r>
      <w:bookmarkEnd w:id="925"/>
      <w:r>
        <w:rPr>
          <w:rFonts w:hint="eastAsia" w:asciiTheme="minorEastAsia" w:hAnsiTheme="minorEastAsia" w:eastAsiaTheme="minorEastAsia"/>
          <w:color w:val="auto"/>
          <w:szCs w:val="21"/>
          <w:highlight w:val="none"/>
        </w:rPr>
        <w:t>：</w:t>
      </w:r>
      <w:r>
        <w:rPr>
          <w:rFonts w:asciiTheme="minorEastAsia" w:hAnsiTheme="minorEastAsia" w:eastAsiaTheme="minorEastAsia"/>
          <w:color w:val="auto"/>
          <w:szCs w:val="21"/>
          <w:highlight w:val="none"/>
        </w:rPr>
        <w:t xml:space="preserve"> </w:t>
      </w:r>
    </w:p>
    <w:p>
      <w:pPr>
        <w:pStyle w:val="90"/>
        <w:snapToGrid w:val="0"/>
        <w:spacing w:line="440" w:lineRule="exact"/>
        <w:ind w:firstLine="411" w:firstLineChars="196"/>
        <w:rPr>
          <w:rFonts w:asciiTheme="minorEastAsia" w:hAnsiTheme="minorEastAsia" w:eastAsiaTheme="minorEastAsia"/>
          <w:color w:val="auto"/>
          <w:kern w:val="0"/>
          <w:szCs w:val="21"/>
          <w:highlight w:val="none"/>
        </w:rPr>
      </w:pPr>
      <w:r>
        <w:rPr>
          <w:rFonts w:hint="eastAsia" w:asciiTheme="minorEastAsia" w:hAnsiTheme="minorEastAsia" w:eastAsiaTheme="minorEastAsia"/>
          <w:color w:val="auto"/>
          <w:kern w:val="0"/>
          <w:szCs w:val="21"/>
          <w:highlight w:val="none"/>
        </w:rPr>
        <w:t>本单位作为贵公司的设备和/或产品和/或服务</w:t>
      </w:r>
      <w:r>
        <w:rPr>
          <w:rFonts w:asciiTheme="minorEastAsia" w:hAnsiTheme="minorEastAsia" w:eastAsiaTheme="minorEastAsia"/>
          <w:color w:val="auto"/>
          <w:kern w:val="0"/>
          <w:szCs w:val="21"/>
          <w:highlight w:val="none"/>
        </w:rPr>
        <w:t>提供商，保证遵守</w:t>
      </w:r>
      <w:r>
        <w:rPr>
          <w:rFonts w:hint="eastAsia" w:asciiTheme="minorEastAsia" w:hAnsiTheme="minorEastAsia" w:eastAsiaTheme="minorEastAsia"/>
          <w:color w:val="auto"/>
          <w:kern w:val="0"/>
          <w:szCs w:val="21"/>
          <w:highlight w:val="none"/>
        </w:rPr>
        <w:t>中华人民共和国</w:t>
      </w:r>
      <w:r>
        <w:rPr>
          <w:rFonts w:asciiTheme="minorEastAsia" w:hAnsiTheme="minorEastAsia" w:eastAsiaTheme="minorEastAsia"/>
          <w:color w:val="auto"/>
          <w:kern w:val="0"/>
          <w:szCs w:val="21"/>
          <w:highlight w:val="none"/>
        </w:rPr>
        <w:t>有关法律法规，</w:t>
      </w:r>
      <w:r>
        <w:rPr>
          <w:rFonts w:hint="eastAsia" w:asciiTheme="minorEastAsia" w:hAnsiTheme="minorEastAsia" w:eastAsiaTheme="minorEastAsia"/>
          <w:color w:val="auto"/>
          <w:kern w:val="0"/>
          <w:szCs w:val="21"/>
          <w:highlight w:val="none"/>
        </w:rPr>
        <w:t>郑重承诺遵守本承诺书，</w:t>
      </w:r>
      <w:r>
        <w:rPr>
          <w:rFonts w:hint="eastAsia" w:asciiTheme="minorEastAsia" w:hAnsiTheme="minorEastAsia" w:eastAsiaTheme="minorEastAsia"/>
          <w:color w:val="auto"/>
          <w:szCs w:val="21"/>
          <w:highlight w:val="none"/>
        </w:rPr>
        <w:t>如有违反本承诺书的行为，本单位承担由此带来的一切法律责任</w:t>
      </w:r>
      <w:r>
        <w:rPr>
          <w:rFonts w:hint="eastAsia" w:asciiTheme="minorEastAsia" w:hAnsiTheme="minorEastAsia" w:eastAsiaTheme="minorEastAsia"/>
          <w:color w:val="auto"/>
          <w:kern w:val="0"/>
          <w:szCs w:val="21"/>
          <w:highlight w:val="none"/>
        </w:rPr>
        <w:t>：</w:t>
      </w:r>
    </w:p>
    <w:p>
      <w:pPr>
        <w:pStyle w:val="78"/>
        <w:numPr>
          <w:ilvl w:val="0"/>
          <w:numId w:val="29"/>
        </w:numPr>
        <w:snapToGrid w:val="0"/>
        <w:spacing w:line="440" w:lineRule="exact"/>
        <w:ind w:left="0" w:firstLine="371" w:firstLineChars="177"/>
        <w:rPr>
          <w:rFonts w:asciiTheme="minorEastAsia" w:hAnsiTheme="minorEastAsia" w:eastAsiaTheme="minorEastAsia"/>
          <w:color w:val="auto"/>
          <w:szCs w:val="21"/>
          <w:highlight w:val="none"/>
        </w:rPr>
      </w:pPr>
      <w:r>
        <w:rPr>
          <w:rFonts w:hint="eastAsia" w:asciiTheme="minorEastAsia" w:hAnsiTheme="minorEastAsia" w:eastAsiaTheme="minorEastAsia"/>
          <w:color w:val="auto"/>
          <w:szCs w:val="21"/>
          <w:highlight w:val="none"/>
        </w:rPr>
        <w:t>本单位承诺遵守《中华人民共和国网络安全法》《全国人民代表大会常务委员会关于加强网络信息保护的决定》《中华人民共和国电信条例》《中华人民共和国计算机信息系统安全保护条例》《网络安全审查办法》《计算机信息网络国际联网安全保护管理办法》</w:t>
      </w:r>
      <w:r>
        <w:rPr>
          <w:rFonts w:asciiTheme="minorEastAsia" w:hAnsiTheme="minorEastAsia" w:eastAsiaTheme="minorEastAsia"/>
          <w:color w:val="auto"/>
          <w:szCs w:val="21"/>
          <w:highlight w:val="none"/>
        </w:rPr>
        <w:t>《互联网信息服务管理办法》</w:t>
      </w:r>
      <w:r>
        <w:rPr>
          <w:rFonts w:hint="eastAsia" w:asciiTheme="minorEastAsia" w:hAnsiTheme="minorEastAsia" w:eastAsiaTheme="minorEastAsia"/>
          <w:color w:val="auto"/>
          <w:szCs w:val="21"/>
          <w:highlight w:val="none"/>
        </w:rPr>
        <w:t>《非经营性互联网信息服务备案管理办法》《移动互联网应用程序信息服务管理规定》《电信和互联网用户个人信息保护规定》和《公共互联网网络安全突发事件应急预案》及有关法律、法规、规章和政策文件规定（“相关规定”）</w:t>
      </w:r>
      <w:r>
        <w:rPr>
          <w:rFonts w:hint="eastAsia" w:asciiTheme="minorEastAsia" w:hAnsiTheme="minorEastAsia" w:eastAsiaTheme="minorEastAsia"/>
          <w:color w:val="auto"/>
          <w:kern w:val="0"/>
          <w:szCs w:val="21"/>
          <w:highlight w:val="none"/>
        </w:rPr>
        <w:t>。</w:t>
      </w:r>
    </w:p>
    <w:p>
      <w:pPr>
        <w:pStyle w:val="78"/>
        <w:numPr>
          <w:ilvl w:val="0"/>
          <w:numId w:val="29"/>
        </w:numPr>
        <w:snapToGrid w:val="0"/>
        <w:spacing w:line="440" w:lineRule="exact"/>
        <w:ind w:left="0" w:firstLine="371" w:firstLineChars="177"/>
        <w:rPr>
          <w:rFonts w:asciiTheme="minorEastAsia" w:hAnsiTheme="minorEastAsia" w:eastAsiaTheme="minorEastAsia"/>
          <w:color w:val="auto"/>
          <w:kern w:val="0"/>
          <w:szCs w:val="21"/>
          <w:highlight w:val="none"/>
        </w:rPr>
      </w:pPr>
      <w:r>
        <w:rPr>
          <w:rFonts w:hint="eastAsia" w:asciiTheme="minorEastAsia" w:hAnsiTheme="minorEastAsia" w:eastAsiaTheme="minorEastAsia"/>
          <w:color w:val="auto"/>
          <w:szCs w:val="21"/>
          <w:highlight w:val="none"/>
        </w:rPr>
        <w:t>本单位保证不利用销售给贵公司的设备和/或产品和/或服务通过信息通信网络（包括但不限于固定网、移动网、互联网，下同）从事危害中华人民共和国安全、泄露中华人民共和国秘密等活动，</w:t>
      </w:r>
      <w:r>
        <w:rPr>
          <w:rFonts w:hint="eastAsia" w:asciiTheme="minorEastAsia" w:hAnsiTheme="minorEastAsia" w:eastAsiaTheme="minorEastAsia"/>
          <w:color w:val="auto"/>
          <w:kern w:val="0"/>
          <w:szCs w:val="21"/>
          <w:highlight w:val="none"/>
        </w:rPr>
        <w:t>不从事任何危害信息通信网络安全的活动，</w:t>
      </w:r>
      <w:r>
        <w:rPr>
          <w:rFonts w:hint="eastAsia" w:asciiTheme="minorEastAsia" w:hAnsiTheme="minorEastAsia" w:eastAsiaTheme="minorEastAsia"/>
          <w:color w:val="auto"/>
          <w:szCs w:val="21"/>
          <w:highlight w:val="none"/>
        </w:rPr>
        <w:t>不从事侵犯他人的合法权益的活动</w:t>
      </w:r>
      <w:r>
        <w:rPr>
          <w:rFonts w:hint="eastAsia" w:asciiTheme="minorEastAsia" w:hAnsiTheme="minorEastAsia" w:eastAsiaTheme="minorEastAsia"/>
          <w:color w:val="auto"/>
          <w:kern w:val="0"/>
          <w:szCs w:val="21"/>
          <w:highlight w:val="none"/>
        </w:rPr>
        <w:t>，包括但不限于：</w:t>
      </w:r>
    </w:p>
    <w:p>
      <w:pPr>
        <w:pStyle w:val="90"/>
        <w:snapToGrid w:val="0"/>
        <w:spacing w:line="440" w:lineRule="exact"/>
        <w:ind w:firstLine="371" w:firstLineChars="177"/>
        <w:rPr>
          <w:rFonts w:asciiTheme="minorEastAsia" w:hAnsiTheme="minorEastAsia" w:eastAsiaTheme="minorEastAsia"/>
          <w:color w:val="auto"/>
          <w:kern w:val="0"/>
          <w:szCs w:val="21"/>
          <w:highlight w:val="none"/>
        </w:rPr>
      </w:pPr>
      <w:r>
        <w:rPr>
          <w:rFonts w:asciiTheme="minorEastAsia" w:hAnsiTheme="minorEastAsia" w:eastAsiaTheme="minorEastAsia"/>
          <w:color w:val="auto"/>
          <w:kern w:val="0"/>
          <w:szCs w:val="21"/>
          <w:highlight w:val="none"/>
        </w:rPr>
        <w:t>1、未经允许，进入信息</w:t>
      </w:r>
      <w:r>
        <w:rPr>
          <w:rFonts w:hint="eastAsia" w:asciiTheme="minorEastAsia" w:hAnsiTheme="minorEastAsia" w:eastAsiaTheme="minorEastAsia"/>
          <w:color w:val="auto"/>
          <w:kern w:val="0"/>
          <w:szCs w:val="21"/>
          <w:highlight w:val="none"/>
        </w:rPr>
        <w:t>通信</w:t>
      </w:r>
      <w:r>
        <w:rPr>
          <w:rFonts w:asciiTheme="minorEastAsia" w:hAnsiTheme="minorEastAsia" w:eastAsiaTheme="minorEastAsia"/>
          <w:color w:val="auto"/>
          <w:kern w:val="0"/>
          <w:szCs w:val="21"/>
          <w:highlight w:val="none"/>
        </w:rPr>
        <w:t>网络或者使用信息</w:t>
      </w:r>
      <w:r>
        <w:rPr>
          <w:rFonts w:hint="eastAsia" w:asciiTheme="minorEastAsia" w:hAnsiTheme="minorEastAsia" w:eastAsiaTheme="minorEastAsia"/>
          <w:color w:val="auto"/>
          <w:kern w:val="0"/>
          <w:szCs w:val="21"/>
          <w:highlight w:val="none"/>
        </w:rPr>
        <w:t>通信</w:t>
      </w:r>
      <w:r>
        <w:rPr>
          <w:rFonts w:asciiTheme="minorEastAsia" w:hAnsiTheme="minorEastAsia" w:eastAsiaTheme="minorEastAsia"/>
          <w:color w:val="auto"/>
          <w:kern w:val="0"/>
          <w:szCs w:val="21"/>
          <w:highlight w:val="none"/>
        </w:rPr>
        <w:t>网络资源的</w:t>
      </w:r>
      <w:r>
        <w:rPr>
          <w:rFonts w:hint="eastAsia" w:asciiTheme="minorEastAsia" w:hAnsiTheme="minorEastAsia" w:eastAsiaTheme="minorEastAsia"/>
          <w:color w:val="auto"/>
          <w:kern w:val="0"/>
          <w:szCs w:val="21"/>
          <w:highlight w:val="none"/>
        </w:rPr>
        <w:t>；</w:t>
      </w:r>
    </w:p>
    <w:p>
      <w:pPr>
        <w:pStyle w:val="90"/>
        <w:snapToGrid w:val="0"/>
        <w:spacing w:line="440" w:lineRule="exact"/>
        <w:ind w:firstLine="371" w:firstLineChars="177"/>
        <w:rPr>
          <w:rFonts w:asciiTheme="minorEastAsia" w:hAnsiTheme="minorEastAsia" w:eastAsiaTheme="minorEastAsia"/>
          <w:color w:val="auto"/>
          <w:kern w:val="0"/>
          <w:szCs w:val="21"/>
          <w:highlight w:val="none"/>
        </w:rPr>
      </w:pPr>
      <w:r>
        <w:rPr>
          <w:rFonts w:asciiTheme="minorEastAsia" w:hAnsiTheme="minorEastAsia" w:eastAsiaTheme="minorEastAsia"/>
          <w:color w:val="auto"/>
          <w:kern w:val="0"/>
          <w:szCs w:val="21"/>
          <w:highlight w:val="none"/>
        </w:rPr>
        <w:t>2、未经允许，对信息</w:t>
      </w:r>
      <w:r>
        <w:rPr>
          <w:rFonts w:hint="eastAsia" w:asciiTheme="minorEastAsia" w:hAnsiTheme="minorEastAsia" w:eastAsiaTheme="minorEastAsia"/>
          <w:color w:val="auto"/>
          <w:kern w:val="0"/>
          <w:szCs w:val="21"/>
          <w:highlight w:val="none"/>
        </w:rPr>
        <w:t>通信</w:t>
      </w:r>
      <w:r>
        <w:rPr>
          <w:rFonts w:asciiTheme="minorEastAsia" w:hAnsiTheme="minorEastAsia" w:eastAsiaTheme="minorEastAsia"/>
          <w:color w:val="auto"/>
          <w:kern w:val="0"/>
          <w:szCs w:val="21"/>
          <w:highlight w:val="none"/>
        </w:rPr>
        <w:t>网络功能进行删除、修改或者增加的</w:t>
      </w:r>
      <w:r>
        <w:rPr>
          <w:rFonts w:hint="eastAsia" w:asciiTheme="minorEastAsia" w:hAnsiTheme="minorEastAsia" w:eastAsiaTheme="minorEastAsia"/>
          <w:color w:val="auto"/>
          <w:kern w:val="0"/>
          <w:szCs w:val="21"/>
          <w:highlight w:val="none"/>
        </w:rPr>
        <w:t>；</w:t>
      </w:r>
    </w:p>
    <w:p>
      <w:pPr>
        <w:pStyle w:val="90"/>
        <w:snapToGrid w:val="0"/>
        <w:spacing w:line="440" w:lineRule="exact"/>
        <w:ind w:firstLine="371" w:firstLineChars="177"/>
        <w:rPr>
          <w:rFonts w:asciiTheme="minorEastAsia" w:hAnsiTheme="minorEastAsia" w:eastAsiaTheme="minorEastAsia"/>
          <w:color w:val="auto"/>
          <w:kern w:val="0"/>
          <w:szCs w:val="21"/>
          <w:highlight w:val="none"/>
        </w:rPr>
      </w:pPr>
      <w:r>
        <w:rPr>
          <w:rFonts w:asciiTheme="minorEastAsia" w:hAnsiTheme="minorEastAsia" w:eastAsiaTheme="minorEastAsia"/>
          <w:color w:val="auto"/>
          <w:kern w:val="0"/>
          <w:szCs w:val="21"/>
          <w:highlight w:val="none"/>
        </w:rPr>
        <w:t>3、未经允许，对信息</w:t>
      </w:r>
      <w:r>
        <w:rPr>
          <w:rFonts w:hint="eastAsia" w:asciiTheme="minorEastAsia" w:hAnsiTheme="minorEastAsia" w:eastAsiaTheme="minorEastAsia"/>
          <w:color w:val="auto"/>
          <w:kern w:val="0"/>
          <w:szCs w:val="21"/>
          <w:highlight w:val="none"/>
        </w:rPr>
        <w:t>通信</w:t>
      </w:r>
      <w:r>
        <w:rPr>
          <w:rFonts w:asciiTheme="minorEastAsia" w:hAnsiTheme="minorEastAsia" w:eastAsiaTheme="minorEastAsia"/>
          <w:color w:val="auto"/>
          <w:kern w:val="0"/>
          <w:szCs w:val="21"/>
          <w:highlight w:val="none"/>
        </w:rPr>
        <w:t>网络中存储或者传输的数据和应用程序进行删除、修改或者增加的</w:t>
      </w:r>
      <w:r>
        <w:rPr>
          <w:rFonts w:hint="eastAsia" w:asciiTheme="minorEastAsia" w:hAnsiTheme="minorEastAsia" w:eastAsiaTheme="minorEastAsia"/>
          <w:color w:val="auto"/>
          <w:kern w:val="0"/>
          <w:szCs w:val="21"/>
          <w:highlight w:val="none"/>
        </w:rPr>
        <w:t>；</w:t>
      </w:r>
    </w:p>
    <w:p>
      <w:pPr>
        <w:pStyle w:val="90"/>
        <w:snapToGrid w:val="0"/>
        <w:spacing w:line="440" w:lineRule="exact"/>
        <w:ind w:firstLine="371" w:firstLineChars="177"/>
        <w:rPr>
          <w:rFonts w:asciiTheme="minorEastAsia" w:hAnsiTheme="minorEastAsia" w:eastAsiaTheme="minorEastAsia"/>
          <w:color w:val="auto"/>
          <w:kern w:val="0"/>
          <w:szCs w:val="21"/>
          <w:highlight w:val="none"/>
        </w:rPr>
      </w:pPr>
      <w:r>
        <w:rPr>
          <w:rFonts w:asciiTheme="minorEastAsia" w:hAnsiTheme="minorEastAsia" w:eastAsiaTheme="minorEastAsia"/>
          <w:color w:val="auto"/>
          <w:kern w:val="0"/>
          <w:szCs w:val="21"/>
          <w:highlight w:val="none"/>
        </w:rPr>
        <w:t>4、任意制作、传播计算机病毒等破坏性程序的</w:t>
      </w:r>
      <w:r>
        <w:rPr>
          <w:rFonts w:hint="eastAsia" w:asciiTheme="minorEastAsia" w:hAnsiTheme="minorEastAsia" w:eastAsiaTheme="minorEastAsia"/>
          <w:color w:val="auto"/>
          <w:kern w:val="0"/>
          <w:szCs w:val="21"/>
          <w:highlight w:val="none"/>
        </w:rPr>
        <w:t>；</w:t>
      </w:r>
    </w:p>
    <w:p>
      <w:pPr>
        <w:pStyle w:val="90"/>
        <w:snapToGrid w:val="0"/>
        <w:spacing w:line="440" w:lineRule="exact"/>
        <w:ind w:firstLine="371" w:firstLineChars="177"/>
        <w:rPr>
          <w:rFonts w:asciiTheme="minorEastAsia" w:hAnsiTheme="minorEastAsia" w:eastAsiaTheme="minorEastAsia"/>
          <w:color w:val="auto"/>
          <w:kern w:val="0"/>
          <w:szCs w:val="21"/>
          <w:highlight w:val="none"/>
        </w:rPr>
      </w:pPr>
      <w:r>
        <w:rPr>
          <w:rFonts w:hint="eastAsia" w:asciiTheme="minorEastAsia" w:hAnsiTheme="minorEastAsia" w:eastAsiaTheme="minorEastAsia"/>
          <w:color w:val="auto"/>
          <w:kern w:val="0"/>
          <w:szCs w:val="21"/>
          <w:highlight w:val="none"/>
        </w:rPr>
        <w:t>5</w:t>
      </w:r>
      <w:r>
        <w:rPr>
          <w:rFonts w:asciiTheme="minorEastAsia" w:hAnsiTheme="minorEastAsia" w:eastAsiaTheme="minorEastAsia"/>
          <w:color w:val="auto"/>
          <w:kern w:val="0"/>
          <w:szCs w:val="21"/>
          <w:highlight w:val="none"/>
        </w:rPr>
        <w:t>、其他危害信息</w:t>
      </w:r>
      <w:r>
        <w:rPr>
          <w:rFonts w:hint="eastAsia" w:asciiTheme="minorEastAsia" w:hAnsiTheme="minorEastAsia" w:eastAsiaTheme="minorEastAsia"/>
          <w:color w:val="auto"/>
          <w:kern w:val="0"/>
          <w:szCs w:val="21"/>
          <w:highlight w:val="none"/>
        </w:rPr>
        <w:t>通信</w:t>
      </w:r>
      <w:r>
        <w:rPr>
          <w:rFonts w:asciiTheme="minorEastAsia" w:hAnsiTheme="minorEastAsia" w:eastAsiaTheme="minorEastAsia"/>
          <w:color w:val="auto"/>
          <w:kern w:val="0"/>
          <w:szCs w:val="21"/>
          <w:highlight w:val="none"/>
        </w:rPr>
        <w:t>网络安全的。</w:t>
      </w:r>
    </w:p>
    <w:p>
      <w:pPr>
        <w:pStyle w:val="78"/>
        <w:numPr>
          <w:ilvl w:val="0"/>
          <w:numId w:val="29"/>
        </w:numPr>
        <w:snapToGrid w:val="0"/>
        <w:spacing w:line="440" w:lineRule="exact"/>
        <w:ind w:left="0" w:firstLine="371" w:firstLineChars="177"/>
        <w:rPr>
          <w:rFonts w:asciiTheme="minorEastAsia" w:hAnsiTheme="minorEastAsia" w:eastAsiaTheme="minorEastAsia"/>
          <w:color w:val="auto"/>
          <w:szCs w:val="21"/>
          <w:highlight w:val="none"/>
        </w:rPr>
      </w:pPr>
      <w:r>
        <w:rPr>
          <w:rFonts w:hint="eastAsia" w:asciiTheme="minorEastAsia" w:hAnsiTheme="minorEastAsia" w:eastAsiaTheme="minorEastAsia"/>
          <w:color w:val="auto"/>
          <w:szCs w:val="21"/>
          <w:highlight w:val="none"/>
        </w:rPr>
        <w:t>本单位承诺不会</w:t>
      </w:r>
      <w:r>
        <w:rPr>
          <w:rFonts w:hint="eastAsia" w:asciiTheme="minorEastAsia" w:hAnsiTheme="minorEastAsia" w:eastAsiaTheme="minorEastAsia"/>
          <w:color w:val="auto"/>
          <w:kern w:val="0"/>
          <w:szCs w:val="21"/>
          <w:highlight w:val="none"/>
        </w:rPr>
        <w:t>利用销售给贵公司的设备和/或产品</w:t>
      </w:r>
      <w:r>
        <w:rPr>
          <w:rFonts w:hint="eastAsia" w:asciiTheme="minorEastAsia" w:hAnsiTheme="minorEastAsia" w:eastAsiaTheme="minorEastAsia"/>
          <w:color w:val="auto"/>
          <w:szCs w:val="21"/>
          <w:highlight w:val="none"/>
        </w:rPr>
        <w:t>和/或服务</w:t>
      </w:r>
      <w:r>
        <w:rPr>
          <w:rFonts w:hint="eastAsia" w:asciiTheme="minorEastAsia" w:hAnsiTheme="minorEastAsia" w:eastAsiaTheme="minorEastAsia"/>
          <w:color w:val="auto"/>
          <w:kern w:val="0"/>
          <w:szCs w:val="21"/>
          <w:highlight w:val="none"/>
        </w:rPr>
        <w:t>非法进行包括但不限于获取、传输、发送信息数据等活动；</w:t>
      </w:r>
      <w:r>
        <w:rPr>
          <w:rFonts w:hint="eastAsia" w:asciiTheme="minorEastAsia" w:hAnsiTheme="minorEastAsia" w:eastAsiaTheme="minorEastAsia"/>
          <w:color w:val="auto"/>
          <w:szCs w:val="21"/>
          <w:highlight w:val="none"/>
        </w:rPr>
        <w:t>本单位承诺不会向非法获取、传输、发送信息数据等行为提供便利。</w:t>
      </w:r>
    </w:p>
    <w:p>
      <w:pPr>
        <w:pStyle w:val="78"/>
        <w:numPr>
          <w:ilvl w:val="0"/>
          <w:numId w:val="29"/>
        </w:numPr>
        <w:snapToGrid w:val="0"/>
        <w:spacing w:line="440" w:lineRule="exact"/>
        <w:ind w:left="0" w:firstLine="371" w:firstLineChars="177"/>
        <w:rPr>
          <w:rFonts w:asciiTheme="minorEastAsia" w:hAnsiTheme="minorEastAsia" w:eastAsiaTheme="minorEastAsia"/>
          <w:color w:val="auto"/>
          <w:kern w:val="0"/>
          <w:szCs w:val="21"/>
          <w:highlight w:val="none"/>
        </w:rPr>
      </w:pPr>
      <w:r>
        <w:rPr>
          <w:rFonts w:hint="eastAsia" w:asciiTheme="minorEastAsia" w:hAnsiTheme="minorEastAsia" w:eastAsiaTheme="minorEastAsia"/>
          <w:color w:val="auto"/>
          <w:kern w:val="0"/>
          <w:szCs w:val="21"/>
          <w:highlight w:val="none"/>
        </w:rPr>
        <w:t>本单位承诺不进行法律、法规、政府监管规定等禁止的行为，包括但不限于：</w:t>
      </w:r>
    </w:p>
    <w:p>
      <w:pPr>
        <w:pStyle w:val="90"/>
        <w:snapToGrid w:val="0"/>
        <w:spacing w:line="440" w:lineRule="exact"/>
        <w:ind w:firstLine="371" w:firstLineChars="177"/>
        <w:rPr>
          <w:rFonts w:asciiTheme="minorEastAsia" w:hAnsiTheme="minorEastAsia" w:eastAsiaTheme="minorEastAsia"/>
          <w:color w:val="auto"/>
          <w:kern w:val="0"/>
          <w:szCs w:val="21"/>
          <w:highlight w:val="none"/>
        </w:rPr>
      </w:pPr>
      <w:r>
        <w:rPr>
          <w:rFonts w:asciiTheme="minorEastAsia" w:hAnsiTheme="minorEastAsia" w:eastAsiaTheme="minorEastAsia"/>
          <w:color w:val="auto"/>
          <w:kern w:val="0"/>
          <w:szCs w:val="21"/>
          <w:highlight w:val="none"/>
        </w:rPr>
        <w:t>1、所提供或接入的设备未取得入网许可，或可能影响网络安全或网络服务质量的；</w:t>
      </w:r>
    </w:p>
    <w:p>
      <w:pPr>
        <w:pStyle w:val="90"/>
        <w:snapToGrid w:val="0"/>
        <w:spacing w:line="440" w:lineRule="exact"/>
        <w:ind w:firstLine="371" w:firstLineChars="177"/>
        <w:rPr>
          <w:rFonts w:asciiTheme="minorEastAsia" w:hAnsiTheme="minorEastAsia" w:eastAsiaTheme="minorEastAsia"/>
          <w:color w:val="auto"/>
          <w:kern w:val="0"/>
          <w:szCs w:val="21"/>
          <w:highlight w:val="none"/>
        </w:rPr>
      </w:pPr>
      <w:r>
        <w:rPr>
          <w:rFonts w:asciiTheme="minorEastAsia" w:hAnsiTheme="minorEastAsia" w:eastAsiaTheme="minorEastAsia"/>
          <w:color w:val="auto"/>
          <w:kern w:val="0"/>
          <w:szCs w:val="21"/>
          <w:highlight w:val="none"/>
        </w:rPr>
        <w:t>2、将工作中获得的账号、密码私自转让、转租或以非法提供给第三方；</w:t>
      </w:r>
    </w:p>
    <w:p>
      <w:pPr>
        <w:pStyle w:val="90"/>
        <w:snapToGrid w:val="0"/>
        <w:spacing w:line="440" w:lineRule="exact"/>
        <w:ind w:firstLine="371" w:firstLineChars="177"/>
        <w:rPr>
          <w:rFonts w:asciiTheme="minorEastAsia" w:hAnsiTheme="minorEastAsia" w:eastAsiaTheme="minorEastAsia"/>
          <w:color w:val="auto"/>
          <w:kern w:val="0"/>
          <w:szCs w:val="21"/>
          <w:highlight w:val="none"/>
        </w:rPr>
      </w:pPr>
      <w:r>
        <w:rPr>
          <w:rFonts w:asciiTheme="minorEastAsia" w:hAnsiTheme="minorEastAsia" w:eastAsiaTheme="minorEastAsia"/>
          <w:color w:val="auto"/>
          <w:kern w:val="0"/>
          <w:szCs w:val="21"/>
          <w:highlight w:val="none"/>
        </w:rPr>
        <w:t>3、对产品、服务存在的安全缺陷、漏洞等风险未立即采取补救措施；</w:t>
      </w:r>
    </w:p>
    <w:p>
      <w:pPr>
        <w:pStyle w:val="90"/>
        <w:snapToGrid w:val="0"/>
        <w:spacing w:line="440" w:lineRule="exact"/>
        <w:ind w:firstLine="371" w:firstLineChars="177"/>
        <w:rPr>
          <w:rFonts w:asciiTheme="minorEastAsia" w:hAnsiTheme="minorEastAsia" w:eastAsiaTheme="minorEastAsia"/>
          <w:color w:val="auto"/>
          <w:kern w:val="0"/>
          <w:szCs w:val="21"/>
          <w:highlight w:val="none"/>
        </w:rPr>
      </w:pPr>
      <w:r>
        <w:rPr>
          <w:rFonts w:asciiTheme="minorEastAsia" w:hAnsiTheme="minorEastAsia" w:eastAsiaTheme="minorEastAsia"/>
          <w:color w:val="auto"/>
          <w:kern w:val="0"/>
          <w:szCs w:val="21"/>
          <w:highlight w:val="none"/>
        </w:rPr>
        <w:t>4、在系统、计算机软件中非法植入后门程序的；</w:t>
      </w:r>
    </w:p>
    <w:p>
      <w:pPr>
        <w:pStyle w:val="90"/>
        <w:snapToGrid w:val="0"/>
        <w:spacing w:line="440" w:lineRule="exact"/>
        <w:ind w:firstLine="371" w:firstLineChars="177"/>
        <w:rPr>
          <w:rFonts w:asciiTheme="minorEastAsia" w:hAnsiTheme="minorEastAsia" w:eastAsiaTheme="minorEastAsia"/>
          <w:color w:val="auto"/>
          <w:kern w:val="0"/>
          <w:szCs w:val="21"/>
          <w:highlight w:val="none"/>
        </w:rPr>
      </w:pPr>
      <w:r>
        <w:rPr>
          <w:rFonts w:asciiTheme="minorEastAsia" w:hAnsiTheme="minorEastAsia" w:eastAsiaTheme="minorEastAsia"/>
          <w:color w:val="auto"/>
          <w:kern w:val="0"/>
          <w:szCs w:val="21"/>
          <w:highlight w:val="none"/>
        </w:rPr>
        <w:t>5、</w:t>
      </w:r>
      <w:r>
        <w:rPr>
          <w:rFonts w:hint="eastAsia" w:asciiTheme="minorEastAsia" w:hAnsiTheme="minorEastAsia" w:eastAsiaTheme="minorEastAsia"/>
          <w:color w:val="auto"/>
          <w:kern w:val="0"/>
          <w:szCs w:val="21"/>
          <w:highlight w:val="none"/>
        </w:rPr>
        <w:t>利用提供产品和服务的便利条件非法获取用户及重要运营数据、非法控制和操纵用户设备；</w:t>
      </w:r>
    </w:p>
    <w:p>
      <w:pPr>
        <w:pStyle w:val="90"/>
        <w:snapToGrid w:val="0"/>
        <w:spacing w:line="440" w:lineRule="exact"/>
        <w:ind w:firstLine="371" w:firstLineChars="177"/>
        <w:rPr>
          <w:rFonts w:asciiTheme="minorEastAsia" w:hAnsiTheme="minorEastAsia" w:eastAsiaTheme="minorEastAsia"/>
          <w:color w:val="auto"/>
          <w:kern w:val="0"/>
          <w:szCs w:val="21"/>
          <w:highlight w:val="none"/>
        </w:rPr>
      </w:pPr>
      <w:r>
        <w:rPr>
          <w:rFonts w:asciiTheme="minorEastAsia" w:hAnsiTheme="minorEastAsia" w:eastAsiaTheme="minorEastAsia"/>
          <w:color w:val="auto"/>
          <w:kern w:val="0"/>
          <w:szCs w:val="21"/>
          <w:highlight w:val="none"/>
        </w:rPr>
        <w:t>6、法律法规规定或甲方依法确定的、可以终止合作的其他情形。</w:t>
      </w:r>
    </w:p>
    <w:p>
      <w:pPr>
        <w:pStyle w:val="78"/>
        <w:numPr>
          <w:ilvl w:val="0"/>
          <w:numId w:val="29"/>
        </w:numPr>
        <w:snapToGrid w:val="0"/>
        <w:spacing w:line="440" w:lineRule="exact"/>
        <w:ind w:left="0" w:firstLine="371" w:firstLineChars="177"/>
        <w:rPr>
          <w:rFonts w:asciiTheme="minorEastAsia" w:hAnsiTheme="minorEastAsia" w:eastAsiaTheme="minorEastAsia"/>
          <w:color w:val="auto"/>
          <w:kern w:val="0"/>
          <w:szCs w:val="21"/>
          <w:highlight w:val="none"/>
        </w:rPr>
      </w:pPr>
      <w:r>
        <w:rPr>
          <w:rFonts w:hint="eastAsia" w:asciiTheme="minorEastAsia" w:hAnsiTheme="minorEastAsia" w:eastAsiaTheme="minorEastAsia"/>
          <w:color w:val="auto"/>
          <w:kern w:val="0"/>
          <w:szCs w:val="21"/>
          <w:highlight w:val="none"/>
        </w:rPr>
        <w:t>本单位销售给贵公司的设备和/或产品</w:t>
      </w:r>
      <w:r>
        <w:rPr>
          <w:rFonts w:hint="eastAsia" w:asciiTheme="minorEastAsia" w:hAnsiTheme="minorEastAsia" w:eastAsiaTheme="minorEastAsia"/>
          <w:color w:val="auto"/>
          <w:szCs w:val="21"/>
          <w:highlight w:val="none"/>
        </w:rPr>
        <w:t>和/或服务</w:t>
      </w:r>
      <w:r>
        <w:rPr>
          <w:rFonts w:hint="eastAsia" w:asciiTheme="minorEastAsia" w:hAnsiTheme="minorEastAsia" w:eastAsiaTheme="minorEastAsia"/>
          <w:color w:val="auto"/>
          <w:kern w:val="0"/>
          <w:szCs w:val="21"/>
          <w:highlight w:val="none"/>
        </w:rPr>
        <w:t>中如存在包括但不限于用于远程收集信息数据、远程控制等用途的后门程序，本单位承诺将在投标文件或商务应答文件中对所销售设备和/或产品和/或服务的后门程序做出明确声明和详细说明，说明材料包括但不限于后门程序的工作原理、操作手册、操作命令及参数列表等内容。</w:t>
      </w:r>
    </w:p>
    <w:p>
      <w:pPr>
        <w:pStyle w:val="78"/>
        <w:numPr>
          <w:ilvl w:val="0"/>
          <w:numId w:val="29"/>
        </w:numPr>
        <w:snapToGrid w:val="0"/>
        <w:spacing w:line="440" w:lineRule="exact"/>
        <w:ind w:left="0" w:firstLine="371" w:firstLineChars="177"/>
        <w:rPr>
          <w:rFonts w:asciiTheme="minorEastAsia" w:hAnsiTheme="minorEastAsia" w:eastAsiaTheme="minorEastAsia"/>
          <w:color w:val="auto"/>
          <w:kern w:val="0"/>
          <w:szCs w:val="21"/>
          <w:highlight w:val="none"/>
        </w:rPr>
      </w:pPr>
      <w:r>
        <w:rPr>
          <w:rFonts w:hint="eastAsia" w:asciiTheme="minorEastAsia" w:hAnsiTheme="minorEastAsia" w:eastAsiaTheme="minorEastAsia"/>
          <w:color w:val="auto"/>
          <w:kern w:val="0"/>
          <w:szCs w:val="21"/>
          <w:highlight w:val="none"/>
        </w:rPr>
        <w:t>本单位承诺对销售给贵公司的设备和/或产品和/或服务存在的安全缺陷、漏洞等风险及时采取补救措施。</w:t>
      </w:r>
    </w:p>
    <w:p>
      <w:pPr>
        <w:pStyle w:val="78"/>
        <w:numPr>
          <w:ilvl w:val="0"/>
          <w:numId w:val="29"/>
        </w:numPr>
        <w:snapToGrid w:val="0"/>
        <w:spacing w:line="440" w:lineRule="exact"/>
        <w:ind w:left="0" w:firstLine="371" w:firstLineChars="177"/>
        <w:rPr>
          <w:rFonts w:asciiTheme="minorEastAsia" w:hAnsiTheme="minorEastAsia" w:eastAsiaTheme="minorEastAsia"/>
          <w:color w:val="auto"/>
          <w:kern w:val="0"/>
          <w:szCs w:val="21"/>
          <w:highlight w:val="none"/>
        </w:rPr>
      </w:pPr>
      <w:r>
        <w:rPr>
          <w:rFonts w:hint="eastAsia" w:asciiTheme="minorEastAsia" w:hAnsiTheme="minorEastAsia" w:eastAsiaTheme="minorEastAsia"/>
          <w:color w:val="auto"/>
          <w:kern w:val="0"/>
          <w:szCs w:val="21"/>
          <w:highlight w:val="none"/>
        </w:rPr>
        <w:t>本单位承诺无正当理由不会中断服务或所销售的产品供应，亦不会中断提供必要的技术支持服务。</w:t>
      </w:r>
    </w:p>
    <w:p>
      <w:pPr>
        <w:pStyle w:val="78"/>
        <w:numPr>
          <w:ilvl w:val="0"/>
          <w:numId w:val="29"/>
        </w:numPr>
        <w:snapToGrid w:val="0"/>
        <w:spacing w:line="440" w:lineRule="exact"/>
        <w:ind w:left="0" w:firstLine="371" w:firstLineChars="177"/>
        <w:rPr>
          <w:rFonts w:asciiTheme="minorEastAsia" w:hAnsiTheme="minorEastAsia" w:eastAsiaTheme="minorEastAsia"/>
          <w:color w:val="auto"/>
          <w:kern w:val="0"/>
          <w:szCs w:val="21"/>
          <w:highlight w:val="none"/>
        </w:rPr>
      </w:pPr>
      <w:r>
        <w:rPr>
          <w:rFonts w:hint="eastAsia" w:asciiTheme="minorEastAsia" w:hAnsiTheme="minorEastAsia" w:eastAsiaTheme="minorEastAsia"/>
          <w:color w:val="auto"/>
          <w:kern w:val="0"/>
          <w:szCs w:val="21"/>
          <w:highlight w:val="none"/>
        </w:rPr>
        <w:t>本单位承诺同意并配合贵公司进行网络安全审查，按要求提供网络安全审查工作需要的材料，严格履行网络安全审查中作出的承诺。</w:t>
      </w:r>
    </w:p>
    <w:p>
      <w:pPr>
        <w:pStyle w:val="78"/>
        <w:numPr>
          <w:ilvl w:val="0"/>
          <w:numId w:val="29"/>
        </w:numPr>
        <w:snapToGrid w:val="0"/>
        <w:spacing w:line="440" w:lineRule="exact"/>
        <w:ind w:left="0" w:firstLine="371" w:firstLineChars="177"/>
        <w:rPr>
          <w:rFonts w:asciiTheme="minorEastAsia" w:hAnsiTheme="minorEastAsia" w:eastAsiaTheme="minorEastAsia"/>
          <w:color w:val="auto"/>
          <w:kern w:val="0"/>
          <w:szCs w:val="21"/>
          <w:highlight w:val="none"/>
        </w:rPr>
      </w:pPr>
      <w:r>
        <w:rPr>
          <w:rFonts w:hint="eastAsia" w:asciiTheme="minorEastAsia" w:hAnsiTheme="minorEastAsia" w:eastAsiaTheme="minorEastAsia"/>
          <w:color w:val="auto"/>
          <w:kern w:val="0"/>
          <w:szCs w:val="21"/>
          <w:highlight w:val="none"/>
        </w:rPr>
        <w:t>如出现任何违反上述承诺的情况，本单位承诺将赔偿贵公司遭受的所有损失并承担相应法律责任；给贵公司造成损失或不良影响的，本单位将负责消除不良影响。</w:t>
      </w:r>
    </w:p>
    <w:p>
      <w:pPr>
        <w:pStyle w:val="78"/>
        <w:numPr>
          <w:ilvl w:val="0"/>
          <w:numId w:val="29"/>
        </w:numPr>
        <w:snapToGrid w:val="0"/>
        <w:spacing w:line="440" w:lineRule="exact"/>
        <w:ind w:left="0" w:firstLine="371" w:firstLineChars="177"/>
        <w:rPr>
          <w:rFonts w:asciiTheme="minorEastAsia" w:hAnsiTheme="minorEastAsia" w:eastAsiaTheme="minorEastAsia"/>
          <w:color w:val="auto"/>
          <w:kern w:val="0"/>
          <w:szCs w:val="21"/>
          <w:highlight w:val="none"/>
        </w:rPr>
      </w:pPr>
      <w:r>
        <w:rPr>
          <w:rFonts w:hint="eastAsia" w:asciiTheme="minorEastAsia" w:hAnsiTheme="minorEastAsia" w:eastAsiaTheme="minorEastAsia"/>
          <w:color w:val="auto"/>
          <w:szCs w:val="21"/>
          <w:highlight w:val="none"/>
        </w:rPr>
        <w:t>本承诺书经本单位签署后生效</w:t>
      </w:r>
      <w:r>
        <w:rPr>
          <w:rFonts w:hint="eastAsia" w:asciiTheme="minorEastAsia" w:hAnsiTheme="minorEastAsia" w:eastAsiaTheme="minorEastAsia"/>
          <w:color w:val="auto"/>
          <w:kern w:val="0"/>
          <w:szCs w:val="21"/>
          <w:highlight w:val="none"/>
        </w:rPr>
        <w:t>。</w:t>
      </w:r>
    </w:p>
    <w:p>
      <w:pPr>
        <w:pStyle w:val="78"/>
        <w:snapToGrid w:val="0"/>
        <w:spacing w:line="440" w:lineRule="exact"/>
        <w:ind w:firstLine="425" w:firstLineChars="0"/>
        <w:rPr>
          <w:rFonts w:asciiTheme="minorEastAsia" w:hAnsiTheme="minorEastAsia" w:eastAsiaTheme="minorEastAsia"/>
          <w:color w:val="auto"/>
          <w:kern w:val="0"/>
          <w:szCs w:val="21"/>
          <w:highlight w:val="none"/>
        </w:rPr>
      </w:pPr>
    </w:p>
    <w:p>
      <w:pPr>
        <w:spacing w:line="440" w:lineRule="exact"/>
        <w:ind w:firstLine="1134" w:firstLineChars="540"/>
        <w:rPr>
          <w:rFonts w:ascii="宋体" w:hAnsi="宋体"/>
          <w:color w:val="auto"/>
          <w:szCs w:val="21"/>
          <w:highlight w:val="none"/>
        </w:rPr>
      </w:pPr>
      <w:r>
        <w:rPr>
          <w:rFonts w:hint="eastAsia" w:ascii="宋体" w:hAnsi="宋体"/>
          <w:color w:val="auto"/>
          <w:szCs w:val="21"/>
          <w:highlight w:val="none"/>
        </w:rPr>
        <w:t>承诺单位：</w:t>
      </w:r>
      <w:r>
        <w:rPr>
          <w:rFonts w:hint="eastAsia" w:ascii="宋体" w:hAnsi="宋体"/>
          <w:color w:val="auto"/>
          <w:szCs w:val="21"/>
          <w:highlight w:val="none"/>
          <w:u w:val="single"/>
        </w:rPr>
        <w:t>　　　　　　　　</w:t>
      </w:r>
      <w:r>
        <w:rPr>
          <w:rFonts w:hint="eastAsia" w:ascii="宋体" w:hAnsi="宋体"/>
          <w:color w:val="auto"/>
          <w:szCs w:val="21"/>
          <w:highlight w:val="none"/>
        </w:rPr>
        <w:t>（盖单位公章）</w:t>
      </w:r>
    </w:p>
    <w:p>
      <w:pPr>
        <w:spacing w:line="440" w:lineRule="exact"/>
        <w:ind w:firstLine="1134" w:firstLineChars="540"/>
        <w:rPr>
          <w:rFonts w:ascii="宋体" w:hAnsi="宋体"/>
          <w:color w:val="auto"/>
          <w:szCs w:val="21"/>
          <w:highlight w:val="none"/>
        </w:rPr>
      </w:pPr>
      <w:r>
        <w:rPr>
          <w:rFonts w:hint="eastAsia" w:ascii="宋体" w:hAnsi="宋体"/>
          <w:color w:val="auto"/>
          <w:szCs w:val="21"/>
          <w:highlight w:val="none"/>
        </w:rPr>
        <w:t>法定代表人/负责人（签字或盖章）</w:t>
      </w:r>
      <w:r>
        <w:rPr>
          <w:rFonts w:ascii="宋体" w:hAnsi="宋体"/>
          <w:color w:val="auto"/>
          <w:szCs w:val="21"/>
          <w:highlight w:val="none"/>
        </w:rPr>
        <w:t>或者其委托代理人</w:t>
      </w:r>
      <w:r>
        <w:rPr>
          <w:rFonts w:hint="eastAsia" w:ascii="宋体" w:hAnsi="宋体"/>
          <w:color w:val="auto"/>
          <w:szCs w:val="21"/>
          <w:highlight w:val="none"/>
        </w:rPr>
        <w:t>（签字）</w:t>
      </w:r>
      <w:r>
        <w:rPr>
          <w:rFonts w:ascii="宋体" w:hAnsi="宋体"/>
          <w:color w:val="auto"/>
          <w:szCs w:val="21"/>
          <w:highlight w:val="none"/>
        </w:rPr>
        <w:t>：</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p>
    <w:p>
      <w:pPr>
        <w:spacing w:line="440" w:lineRule="exact"/>
        <w:ind w:firstLine="1134" w:firstLineChars="540"/>
        <w:rPr>
          <w:rFonts w:ascii="宋体" w:hAnsi="宋体"/>
          <w:color w:val="auto"/>
          <w:szCs w:val="21"/>
          <w:highlight w:val="none"/>
        </w:rPr>
      </w:pPr>
      <w:r>
        <w:rPr>
          <w:rFonts w:hint="eastAsia" w:ascii="宋体" w:hAnsi="宋体"/>
          <w:color w:val="auto"/>
          <w:szCs w:val="21"/>
          <w:highlight w:val="none"/>
        </w:rPr>
        <w:t>日期：XX年 XX月XX日</w:t>
      </w:r>
    </w:p>
    <w:p>
      <w:pPr>
        <w:snapToGrid w:val="0"/>
        <w:spacing w:line="440" w:lineRule="exact"/>
        <w:rPr>
          <w:rFonts w:asciiTheme="minorEastAsia" w:hAnsiTheme="minorEastAsia" w:eastAsiaTheme="minorEastAsia"/>
          <w:color w:val="auto"/>
          <w:szCs w:val="21"/>
          <w:highlight w:val="none"/>
        </w:rPr>
      </w:pPr>
    </w:p>
    <w:p>
      <w:pPr>
        <w:snapToGrid w:val="0"/>
        <w:spacing w:line="440" w:lineRule="exact"/>
        <w:rPr>
          <w:rFonts w:asciiTheme="minorEastAsia" w:hAnsiTheme="minorEastAsia" w:eastAsiaTheme="minorEastAsia"/>
          <w:color w:val="auto"/>
          <w:szCs w:val="21"/>
          <w:highlight w:val="none"/>
        </w:rPr>
      </w:pPr>
      <w:r>
        <w:rPr>
          <w:rFonts w:hint="eastAsia" w:asciiTheme="minorEastAsia" w:hAnsiTheme="minorEastAsia" w:eastAsiaTheme="minorEastAsia"/>
          <w:color w:val="auto"/>
          <w:szCs w:val="21"/>
          <w:highlight w:val="none"/>
        </w:rPr>
        <w:t>编制要求：</w:t>
      </w:r>
    </w:p>
    <w:p>
      <w:pPr>
        <w:snapToGrid w:val="0"/>
        <w:spacing w:line="440" w:lineRule="exact"/>
        <w:rPr>
          <w:rFonts w:asciiTheme="minorEastAsia" w:hAnsiTheme="minorEastAsia" w:eastAsiaTheme="minorEastAsia"/>
          <w:color w:val="auto"/>
          <w:szCs w:val="21"/>
          <w:highlight w:val="none"/>
        </w:rPr>
      </w:pPr>
      <w:r>
        <w:rPr>
          <w:rFonts w:hint="eastAsia" w:asciiTheme="minorEastAsia" w:hAnsiTheme="minorEastAsia" w:eastAsiaTheme="minorEastAsia"/>
          <w:color w:val="auto"/>
          <w:szCs w:val="21"/>
          <w:highlight w:val="none"/>
        </w:rPr>
        <w:t>1.提供本文件原件。</w:t>
      </w:r>
    </w:p>
    <w:p>
      <w:pPr>
        <w:jc w:val="center"/>
        <w:rPr>
          <w:rFonts w:ascii="仿宋_GB2312" w:hAnsi="宋体" w:eastAsia="仿宋_GB2312"/>
          <w:b/>
          <w:bCs/>
          <w:sz w:val="24"/>
          <w:highlight w:val="none"/>
        </w:rPr>
      </w:pPr>
      <w:r>
        <w:rPr>
          <w:color w:val="auto"/>
          <w:highlight w:val="none"/>
        </w:rPr>
        <w:br w:type="page"/>
      </w:r>
      <w:r>
        <w:rPr>
          <w:rFonts w:hint="eastAsia"/>
          <w:color w:val="auto"/>
          <w:highlight w:val="none"/>
          <w:lang w:val="en-US" w:eastAsia="zh-CN"/>
        </w:rPr>
        <w:t xml:space="preserve"> </w:t>
      </w:r>
      <w:r>
        <w:rPr>
          <w:rFonts w:hint="eastAsia" w:ascii="仿宋_GB2312" w:hAnsi="宋体" w:eastAsia="仿宋_GB2312"/>
          <w:b/>
          <w:bCs/>
          <w:sz w:val="24"/>
          <w:highlight w:val="none"/>
        </w:rPr>
        <w:t>网络与信息安全承诺书</w:t>
      </w:r>
    </w:p>
    <w:p>
      <w:pPr>
        <w:pStyle w:val="102"/>
        <w:spacing w:line="360" w:lineRule="exact"/>
        <w:rPr>
          <w:rFonts w:ascii="仿宋_GB2312" w:hAnsi="宋体" w:eastAsia="仿宋_GB2312"/>
          <w:b/>
          <w:bCs/>
          <w:sz w:val="24"/>
          <w:highlight w:val="none"/>
        </w:rPr>
      </w:pPr>
    </w:p>
    <w:p>
      <w:pPr>
        <w:pStyle w:val="102"/>
        <w:spacing w:line="360" w:lineRule="exact"/>
        <w:rPr>
          <w:rFonts w:ascii="仿宋_GB2312" w:hAnsi="宋体" w:eastAsia="仿宋_GB2312"/>
          <w:sz w:val="24"/>
          <w:highlight w:val="none"/>
        </w:rPr>
      </w:pPr>
      <w:r>
        <w:rPr>
          <w:rFonts w:hint="eastAsia" w:ascii="仿宋_GB2312" w:hAnsi="宋体" w:eastAsia="仿宋_GB2312"/>
          <w:b/>
          <w:bCs/>
          <w:sz w:val="24"/>
          <w:highlight w:val="none"/>
        </w:rPr>
        <w:t>中国电信股份有限公司</w:t>
      </w:r>
      <w:r>
        <w:rPr>
          <w:rFonts w:hint="eastAsia" w:ascii="仿宋_GB2312" w:hAnsi="宋体" w:eastAsia="仿宋_GB2312"/>
          <w:b/>
          <w:bCs/>
          <w:sz w:val="24"/>
          <w:highlight w:val="none"/>
        </w:rPr>
        <w:fldChar w:fldCharType="begin">
          <w:ffData>
            <w:name w:val="文字6"/>
            <w:enabled/>
            <w:calcOnExit w:val="0"/>
            <w:textInput/>
          </w:ffData>
        </w:fldChar>
      </w:r>
      <w:r>
        <w:rPr>
          <w:rFonts w:hint="eastAsia" w:ascii="仿宋_GB2312" w:hAnsi="宋体" w:eastAsia="仿宋_GB2312"/>
          <w:b/>
          <w:bCs/>
          <w:sz w:val="24"/>
          <w:highlight w:val="none"/>
        </w:rPr>
        <w:instrText xml:space="preserve"> FORMTEXT </w:instrText>
      </w:r>
      <w:r>
        <w:rPr>
          <w:rFonts w:hint="eastAsia" w:ascii="仿宋_GB2312" w:hAnsi="宋体" w:eastAsia="仿宋_GB2312"/>
          <w:b/>
          <w:bCs/>
          <w:sz w:val="24"/>
          <w:highlight w:val="none"/>
        </w:rPr>
        <w:fldChar w:fldCharType="separate"/>
      </w:r>
      <w:r>
        <w:rPr>
          <w:rFonts w:hint="eastAsia" w:ascii="仿宋_GB2312" w:hAnsi="宋体" w:eastAsia="仿宋_GB2312"/>
          <w:b/>
          <w:bCs/>
          <w:sz w:val="24"/>
          <w:highlight w:val="none"/>
        </w:rPr>
        <w:t>     </w:t>
      </w:r>
      <w:r>
        <w:rPr>
          <w:rFonts w:hint="eastAsia" w:ascii="仿宋_GB2312" w:hAnsi="宋体" w:eastAsia="仿宋_GB2312"/>
          <w:b/>
          <w:bCs/>
          <w:sz w:val="24"/>
          <w:highlight w:val="none"/>
        </w:rPr>
        <w:fldChar w:fldCharType="end"/>
      </w:r>
      <w:r>
        <w:rPr>
          <w:rFonts w:hint="eastAsia" w:ascii="仿宋_GB2312" w:hAnsi="宋体" w:eastAsia="仿宋_GB2312"/>
          <w:sz w:val="24"/>
          <w:highlight w:val="none"/>
        </w:rPr>
        <w:t xml:space="preserve">： </w:t>
      </w:r>
    </w:p>
    <w:p>
      <w:pPr>
        <w:pStyle w:val="102"/>
        <w:spacing w:line="360" w:lineRule="exact"/>
        <w:rPr>
          <w:rFonts w:ascii="仿宋_GB2312" w:hAnsi="宋体" w:eastAsia="仿宋_GB2312"/>
          <w:sz w:val="24"/>
          <w:highlight w:val="none"/>
        </w:rPr>
      </w:pPr>
    </w:p>
    <w:p>
      <w:pPr>
        <w:pStyle w:val="102"/>
        <w:ind w:firstLine="470" w:firstLineChars="196"/>
        <w:rPr>
          <w:rFonts w:ascii="仿宋" w:hAnsi="仿宋" w:eastAsia="仿宋"/>
          <w:kern w:val="0"/>
          <w:sz w:val="24"/>
          <w:highlight w:val="none"/>
        </w:rPr>
      </w:pPr>
      <w:r>
        <w:rPr>
          <w:rFonts w:hint="eastAsia" w:ascii="仿宋" w:hAnsi="仿宋" w:eastAsia="仿宋"/>
          <w:kern w:val="0"/>
          <w:sz w:val="24"/>
          <w:highlight w:val="none"/>
        </w:rPr>
        <w:t>我公司作为与中国电信广东公司合作的(设备供应方/业务合作方/系统集成方/外部支撑方)服务提供商，保证遵守国家有关法律法规，及中国电信广东公司网络与信息安全管理规章制度，郑重承诺遵守本承诺书相关条款：</w:t>
      </w:r>
    </w:p>
    <w:p>
      <w:pPr>
        <w:pStyle w:val="103"/>
        <w:numPr>
          <w:ilvl w:val="0"/>
          <w:numId w:val="30"/>
        </w:numPr>
        <w:ind w:firstLineChars="0"/>
        <w:rPr>
          <w:rFonts w:ascii="仿宋" w:hAnsi="仿宋" w:eastAsia="仿宋"/>
          <w:sz w:val="24"/>
          <w:highlight w:val="none"/>
        </w:rPr>
      </w:pPr>
      <w:r>
        <w:rPr>
          <w:rFonts w:hint="eastAsia" w:ascii="仿宋" w:hAnsi="仿宋" w:eastAsia="仿宋"/>
          <w:kern w:val="0"/>
          <w:sz w:val="24"/>
          <w:highlight w:val="none"/>
        </w:rPr>
        <w:t>我公司承诺遵守《中华人民共和国网络安全法》、《中华人民共和国电信条例》、《全国人民代表大会常务委员会关于加强网络信息保护的决定》以及《中华人民共和国计算机信息系统安全保护条例》、《电信和互联网用户个人信息保护规定》、</w:t>
      </w:r>
      <w:r>
        <w:rPr>
          <w:rFonts w:ascii="仿宋" w:hAnsi="仿宋" w:eastAsia="仿宋"/>
          <w:kern w:val="0"/>
          <w:sz w:val="24"/>
          <w:highlight w:val="none"/>
        </w:rPr>
        <w:t>《公共互联网网络安全突发事件应急预案》</w:t>
      </w:r>
      <w:r>
        <w:rPr>
          <w:rFonts w:hint="eastAsia" w:ascii="仿宋" w:hAnsi="仿宋" w:eastAsia="仿宋"/>
          <w:kern w:val="0"/>
          <w:sz w:val="24"/>
          <w:highlight w:val="none"/>
        </w:rPr>
        <w:t>等有关法律、行政法规和管理规章，严格执行网络与信息安全各项管理规定。</w:t>
      </w:r>
    </w:p>
    <w:p>
      <w:pPr>
        <w:pStyle w:val="103"/>
        <w:numPr>
          <w:ilvl w:val="0"/>
          <w:numId w:val="30"/>
        </w:numPr>
        <w:ind w:firstLineChars="0"/>
        <w:rPr>
          <w:rFonts w:ascii="仿宋" w:hAnsi="仿宋" w:eastAsia="仿宋"/>
          <w:kern w:val="0"/>
          <w:sz w:val="24"/>
          <w:highlight w:val="none"/>
        </w:rPr>
      </w:pPr>
      <w:r>
        <w:rPr>
          <w:rFonts w:hint="eastAsia" w:ascii="仿宋" w:hAnsi="仿宋" w:eastAsia="仿宋"/>
          <w:kern w:val="0"/>
          <w:sz w:val="24"/>
          <w:highlight w:val="none"/>
        </w:rPr>
        <w:t>我公司将落实网络与信息安全责任制，</w:t>
      </w:r>
      <w:r>
        <w:rPr>
          <w:rFonts w:hint="eastAsia" w:ascii="仿宋" w:hAnsi="仿宋" w:eastAsia="仿宋"/>
          <w:sz w:val="24"/>
          <w:highlight w:val="none"/>
        </w:rPr>
        <w:t>设立网络与信息安全责任人和联络人，</w:t>
      </w:r>
      <w:r>
        <w:rPr>
          <w:rFonts w:hint="eastAsia" w:ascii="仿宋" w:hAnsi="仿宋" w:eastAsia="仿宋"/>
          <w:kern w:val="0"/>
          <w:sz w:val="24"/>
          <w:highlight w:val="none"/>
        </w:rPr>
        <w:t>加强从事信息管理人员的安全教育培训工作，定期组织自查自纠，及时发现和处理各种安全漏洞隐患，配合中国电信广东公司开展源代码安全审计，并接受信息安全主管部门的管理、监督和检查，落实各项整改要求。</w:t>
      </w:r>
    </w:p>
    <w:p>
      <w:pPr>
        <w:pStyle w:val="103"/>
        <w:numPr>
          <w:ilvl w:val="0"/>
          <w:numId w:val="30"/>
        </w:numPr>
        <w:ind w:firstLineChars="0"/>
        <w:rPr>
          <w:rFonts w:ascii="仿宋" w:hAnsi="仿宋" w:eastAsia="仿宋"/>
          <w:kern w:val="0"/>
          <w:sz w:val="24"/>
          <w:highlight w:val="none"/>
        </w:rPr>
      </w:pPr>
      <w:r>
        <w:rPr>
          <w:rFonts w:hint="eastAsia" w:ascii="仿宋" w:hAnsi="仿宋" w:eastAsia="仿宋"/>
          <w:kern w:val="0"/>
          <w:sz w:val="24"/>
          <w:highlight w:val="none"/>
        </w:rPr>
        <w:t>我公司承诺不利用中国电信广东公司移动通信网、互联网或相关业务平台从事危害国家安全、泄露国家机密等违法犯罪活动，不从事任何危害计算机信息网络安全的活动，包括但不限于：</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1、未经允许，进入计算机信息网络或者使用计算机信息网络资源的。</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2、未经允许，对计算机信息网络功能进行删除、修改或者增加的。</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3、未经允许，对计算机信息网络中存储或者传输的数据和应用程序进行删除、修改或者增加的。</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4、任意制作、传播计算机病毒等破坏性程序的。</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5、其他危害计算机信息网络安全的。</w:t>
      </w:r>
    </w:p>
    <w:p>
      <w:pPr>
        <w:pStyle w:val="103"/>
        <w:numPr>
          <w:ilvl w:val="0"/>
          <w:numId w:val="30"/>
        </w:numPr>
        <w:ind w:firstLineChars="0"/>
        <w:rPr>
          <w:rFonts w:ascii="仿宋" w:hAnsi="仿宋" w:eastAsia="仿宋"/>
          <w:kern w:val="0"/>
          <w:sz w:val="24"/>
          <w:highlight w:val="none"/>
        </w:rPr>
      </w:pPr>
      <w:r>
        <w:rPr>
          <w:rFonts w:hint="eastAsia" w:ascii="仿宋" w:hAnsi="仿宋" w:eastAsia="仿宋"/>
          <w:kern w:val="0"/>
          <w:sz w:val="24"/>
          <w:highlight w:val="none"/>
        </w:rPr>
        <w:t>我公司承诺不进行法律、行政法规、政府管理规定等禁止的其他行为，包括但不限于：</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1、所提供或接入的设备未取得入网许可，或可能影响网络安全或网络服务质量的；</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2、将工作中获得的账号、密码私自转让、转租或以非法提供给第三方；</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3、对其产品、服务存在的安全缺陷、漏洞等风险未立即采取补救措施；</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4、在系统、计算机软件中非法植入后门程序的；</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5、利用职务之便，私自窃取用户及重要运营数据的；</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6、以及法律法规规定或甲方依法确定的、可以终止合作的其他情形。</w:t>
      </w:r>
    </w:p>
    <w:p>
      <w:pPr>
        <w:pStyle w:val="103"/>
        <w:numPr>
          <w:ilvl w:val="0"/>
          <w:numId w:val="30"/>
        </w:numPr>
        <w:ind w:firstLineChars="0"/>
        <w:rPr>
          <w:rFonts w:ascii="仿宋" w:hAnsi="仿宋" w:eastAsia="仿宋"/>
          <w:kern w:val="0"/>
          <w:sz w:val="24"/>
          <w:highlight w:val="none"/>
        </w:rPr>
      </w:pPr>
      <w:r>
        <w:rPr>
          <w:rFonts w:hint="eastAsia" w:ascii="仿宋" w:hAnsi="仿宋" w:eastAsia="仿宋"/>
          <w:kern w:val="0"/>
          <w:sz w:val="24"/>
          <w:highlight w:val="none"/>
        </w:rPr>
        <w:t>我公司将健全各项网络与信息安全管理制度及落实各项安全保护技术措施，包括但不限于:</w:t>
      </w:r>
    </w:p>
    <w:p>
      <w:pPr>
        <w:pStyle w:val="102"/>
        <w:ind w:left="630" w:leftChars="300" w:firstLine="120" w:firstLineChars="50"/>
        <w:rPr>
          <w:rFonts w:hint="eastAsia" w:ascii="仿宋" w:hAnsi="仿宋" w:eastAsia="仿宋"/>
          <w:kern w:val="0"/>
          <w:sz w:val="24"/>
          <w:highlight w:val="none"/>
        </w:rPr>
      </w:pPr>
      <w:r>
        <w:rPr>
          <w:rFonts w:hint="eastAsia" w:ascii="仿宋" w:hAnsi="仿宋" w:eastAsia="仿宋"/>
          <w:kern w:val="0"/>
          <w:sz w:val="24"/>
          <w:highlight w:val="none"/>
        </w:rPr>
        <w:t>1、工作终端均安装防病毒软件；</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2、工作账号实名，妥善保管密码，不设置弱口令；</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3、更换服务人员时，及时通知甲方停用相关账号权限；</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4、未经甲方授权，不在相关系统中部署无关应用及开放端口服务；</w:t>
      </w:r>
    </w:p>
    <w:p>
      <w:pPr>
        <w:pStyle w:val="102"/>
        <w:ind w:left="630" w:leftChars="300" w:firstLine="120" w:firstLineChars="50"/>
        <w:rPr>
          <w:rFonts w:ascii="仿宋" w:hAnsi="仿宋" w:eastAsia="仿宋"/>
          <w:kern w:val="0"/>
          <w:sz w:val="24"/>
          <w:highlight w:val="none"/>
        </w:rPr>
      </w:pPr>
      <w:r>
        <w:rPr>
          <w:rFonts w:hint="eastAsia" w:ascii="仿宋" w:hAnsi="仿宋" w:eastAsia="仿宋"/>
          <w:kern w:val="0"/>
          <w:sz w:val="24"/>
          <w:highlight w:val="none"/>
        </w:rPr>
        <w:t>5、如实记录关键操作日志，并配合中国电信广东公司开展审计。</w:t>
      </w:r>
    </w:p>
    <w:p>
      <w:pPr>
        <w:pStyle w:val="103"/>
        <w:numPr>
          <w:ilvl w:val="0"/>
          <w:numId w:val="30"/>
        </w:numPr>
        <w:ind w:firstLineChars="0"/>
        <w:rPr>
          <w:rFonts w:ascii="仿宋" w:hAnsi="仿宋" w:eastAsia="仿宋"/>
          <w:kern w:val="0"/>
          <w:sz w:val="24"/>
          <w:highlight w:val="none"/>
        </w:rPr>
      </w:pPr>
      <w:r>
        <w:rPr>
          <w:rFonts w:hint="eastAsia" w:ascii="仿宋" w:hAnsi="仿宋" w:eastAsia="仿宋"/>
          <w:kern w:val="0"/>
          <w:sz w:val="24"/>
          <w:highlight w:val="none"/>
        </w:rPr>
        <w:t>我公司承诺不利用中国电信广东公司通信网络和业务平台制作、查阅、复制和传播违反宪法和法律、妨碍社会治安、破坏国家统一、破坏民族团结、色情、暴力等的信息。不利用中国电信广东公司通信网络和业务平台发布、传播、链接的任何含有下列违法有害信息、低俗信息以及其它不良信息与行为：</w:t>
      </w:r>
    </w:p>
    <w:p>
      <w:pPr>
        <w:pStyle w:val="102"/>
        <w:ind w:left="180"/>
        <w:rPr>
          <w:rFonts w:ascii="仿宋" w:hAnsi="仿宋" w:eastAsia="仿宋"/>
          <w:kern w:val="0"/>
          <w:sz w:val="24"/>
          <w:highlight w:val="none"/>
        </w:rPr>
      </w:pPr>
      <w:r>
        <w:rPr>
          <w:rFonts w:hint="eastAsia" w:ascii="仿宋" w:hAnsi="仿宋" w:eastAsia="仿宋"/>
          <w:kern w:val="0"/>
          <w:sz w:val="24"/>
          <w:highlight w:val="none"/>
        </w:rPr>
        <w:t>（一）违法有害信息</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1、宣扬邪教、封建迷信、淫秽、色情、赌博、暴力、恐怖、凶杀的；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2、煽动抗拒、破坏宪法、法律和行政法规实施的；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3、煽动颠覆国家政权，推翻社会主义制度的；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4、煽动分裂国家，破坏国家统一的；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5、损害国家荣誉和国家利益、危害国家安全，泄露国家秘密的；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6、煽动民族仇恨、民族歧视，破坏民族团结的；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7、宣传恐怖主义、宗教极端主义的；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8、煽动或者组织非法集会、游行、示威、聚众扰乱社会秩序的；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9、捏造或歪曲事实，散布谣言，扰乱社会秩序的；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10、教唆犯罪或传授犯罪方法的；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11、进行传销、非法集资、非法经营等活动的；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12、侮辱、诽谤、诬陷他人的；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13、煽动发起成立非法民间组织或者以非法民间组织名义活动的；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14、进行诈骗或者敲诈勒索的；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15、招嫖或者引诱、介绍他人卖淫的；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16、宣扬吸毒、销售毒品以及制造毒品配方的；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17、窃取或者散布他人隐私的；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18、销售枪支、弹药等违禁物品的；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19、未经著作权权利人授权的；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20、法律、行政法规禁止的其他信息和非法活动。</w:t>
      </w:r>
    </w:p>
    <w:p>
      <w:pPr>
        <w:pStyle w:val="102"/>
        <w:ind w:left="601" w:leftChars="286"/>
        <w:rPr>
          <w:rFonts w:ascii="仿宋" w:hAnsi="仿宋" w:eastAsia="仿宋"/>
          <w:kern w:val="0"/>
          <w:sz w:val="24"/>
          <w:highlight w:val="none"/>
        </w:rPr>
      </w:pPr>
      <w:r>
        <w:rPr>
          <w:rFonts w:hint="eastAsia" w:ascii="仿宋" w:hAnsi="仿宋" w:eastAsia="仿宋"/>
          <w:kern w:val="0"/>
          <w:sz w:val="24"/>
          <w:highlight w:val="none"/>
        </w:rPr>
        <w:t>（二）低俗信息</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1、表现或隐晦表现性行为、令人产生性联想、具有挑逗性或者污辱性的内容；</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2、对人体性部位的直接暴露和描写；</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3、对性行为、性过程、性方式的描述或者带有性暗示、性挑逗的语言；</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4、对性部位描述、暴露，或者只用很小遮盖物的内容；</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5、全身或者隐私部位未着衣物，仅用肢体遮盖隐私部位的内容；</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6、带有侵犯个人隐私性质的走光、偷拍、漏点等内容；</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7、以挑逗性标题吸引点击的；</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8、相关部门禁止传播的色情、低俗小说，音视频内容，包括一些电影的删节片断；</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9、一夜情、换妻、</w:t>
      </w:r>
      <w:r>
        <w:rPr>
          <w:rFonts w:ascii="仿宋" w:hAnsi="仿宋" w:eastAsia="仿宋"/>
          <w:kern w:val="0"/>
          <w:sz w:val="24"/>
          <w:highlight w:val="none"/>
        </w:rPr>
        <w:t>SM</w:t>
      </w:r>
      <w:r>
        <w:rPr>
          <w:rFonts w:hint="eastAsia" w:ascii="仿宋" w:hAnsi="仿宋" w:eastAsia="仿宋"/>
          <w:kern w:val="0"/>
          <w:sz w:val="24"/>
          <w:highlight w:val="none"/>
        </w:rPr>
        <w:t>等不正当交友信息；</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10、情色动漫；</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11、宣扬血腥暴力、恶意谩骂、侮辱他人等内容；</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12、非法的性用品广告和性病治疗广告；</w:t>
      </w:r>
    </w:p>
    <w:p>
      <w:pPr>
        <w:pStyle w:val="102"/>
        <w:ind w:left="601" w:leftChars="286" w:firstLine="120" w:firstLineChars="50"/>
        <w:rPr>
          <w:rFonts w:ascii="仿宋" w:hAnsi="仿宋" w:eastAsia="仿宋"/>
          <w:kern w:val="0"/>
          <w:sz w:val="24"/>
          <w:highlight w:val="none"/>
        </w:rPr>
      </w:pPr>
      <w:r>
        <w:rPr>
          <w:rFonts w:hint="eastAsia" w:ascii="仿宋" w:hAnsi="仿宋" w:eastAsia="仿宋"/>
          <w:kern w:val="0"/>
          <w:sz w:val="24"/>
          <w:highlight w:val="none"/>
        </w:rPr>
        <w:t>13、未经他人允许或者利用</w:t>
      </w:r>
      <w:r>
        <w:rPr>
          <w:rFonts w:ascii="仿宋" w:hAnsi="仿宋" w:eastAsia="仿宋"/>
          <w:kern w:val="0"/>
          <w:sz w:val="24"/>
          <w:highlight w:val="none"/>
        </w:rPr>
        <w:t>“</w:t>
      </w:r>
      <w:r>
        <w:rPr>
          <w:rFonts w:hint="eastAsia" w:ascii="仿宋" w:hAnsi="仿宋" w:eastAsia="仿宋"/>
          <w:kern w:val="0"/>
          <w:sz w:val="24"/>
          <w:highlight w:val="none"/>
        </w:rPr>
        <w:t>人肉搜索</w:t>
      </w:r>
      <w:r>
        <w:rPr>
          <w:rFonts w:ascii="仿宋" w:hAnsi="仿宋" w:eastAsia="仿宋"/>
          <w:kern w:val="0"/>
          <w:sz w:val="24"/>
          <w:highlight w:val="none"/>
        </w:rPr>
        <w:t>”</w:t>
      </w:r>
      <w:r>
        <w:rPr>
          <w:rFonts w:hint="eastAsia" w:ascii="仿宋" w:hAnsi="仿宋" w:eastAsia="仿宋"/>
          <w:kern w:val="0"/>
          <w:sz w:val="24"/>
          <w:highlight w:val="none"/>
        </w:rPr>
        <w:t>恶意传播他人隐私。</w:t>
      </w:r>
    </w:p>
    <w:p>
      <w:pPr>
        <w:pStyle w:val="102"/>
        <w:ind w:left="601" w:leftChars="286"/>
        <w:rPr>
          <w:rFonts w:ascii="仿宋" w:hAnsi="仿宋" w:eastAsia="仿宋"/>
          <w:kern w:val="0"/>
          <w:sz w:val="24"/>
          <w:highlight w:val="none"/>
        </w:rPr>
      </w:pPr>
      <w:r>
        <w:rPr>
          <w:rFonts w:hint="eastAsia" w:ascii="仿宋" w:hAnsi="仿宋" w:eastAsia="仿宋"/>
          <w:kern w:val="0"/>
          <w:sz w:val="24"/>
          <w:highlight w:val="none"/>
        </w:rPr>
        <w:t>（三）不良信息与行为</w:t>
      </w:r>
    </w:p>
    <w:p>
      <w:pPr>
        <w:pStyle w:val="102"/>
        <w:ind w:left="283" w:leftChars="135" w:firstLine="360" w:firstLineChars="150"/>
        <w:rPr>
          <w:rFonts w:ascii="仿宋" w:hAnsi="仿宋" w:eastAsia="仿宋"/>
          <w:kern w:val="0"/>
          <w:sz w:val="24"/>
          <w:highlight w:val="none"/>
        </w:rPr>
      </w:pPr>
      <w:r>
        <w:rPr>
          <w:rFonts w:hint="eastAsia" w:ascii="仿宋" w:hAnsi="仿宋" w:eastAsia="仿宋"/>
          <w:kern w:val="0"/>
          <w:sz w:val="24"/>
          <w:highlight w:val="none"/>
        </w:rPr>
        <w:t>1、未经用户同意向用户发送的商业类、广告类内容的信息与通话行为；</w:t>
      </w:r>
    </w:p>
    <w:p>
      <w:pPr>
        <w:pStyle w:val="102"/>
        <w:ind w:left="283" w:leftChars="135" w:firstLine="360" w:firstLineChars="150"/>
        <w:rPr>
          <w:rFonts w:ascii="仿宋" w:hAnsi="仿宋" w:eastAsia="仿宋"/>
          <w:kern w:val="0"/>
          <w:sz w:val="24"/>
          <w:highlight w:val="none"/>
        </w:rPr>
      </w:pPr>
      <w:r>
        <w:rPr>
          <w:rFonts w:hint="eastAsia" w:ascii="仿宋" w:hAnsi="仿宋" w:eastAsia="仿宋"/>
          <w:kern w:val="0"/>
          <w:sz w:val="24"/>
          <w:highlight w:val="none"/>
        </w:rPr>
        <w:t>2、未经用户同意频繁向用户发送信息与通话，造成用户投诉的行为。</w:t>
      </w:r>
    </w:p>
    <w:p>
      <w:pPr>
        <w:pStyle w:val="103"/>
        <w:numPr>
          <w:ilvl w:val="0"/>
          <w:numId w:val="30"/>
        </w:numPr>
        <w:ind w:firstLineChars="0"/>
        <w:rPr>
          <w:rFonts w:ascii="仿宋" w:hAnsi="仿宋" w:eastAsia="仿宋"/>
          <w:kern w:val="0"/>
          <w:sz w:val="24"/>
          <w:highlight w:val="none"/>
        </w:rPr>
      </w:pPr>
      <w:r>
        <w:rPr>
          <w:rFonts w:hint="eastAsia" w:ascii="仿宋" w:hAnsi="仿宋" w:eastAsia="仿宋"/>
          <w:kern w:val="0"/>
          <w:sz w:val="24"/>
          <w:highlight w:val="none"/>
        </w:rPr>
        <w:t>我公司承诺当计算机信息系统发生重大网络与信息安全事故时，立即采取应急措施，保留有关原始记录，并及时知会贵单位。</w:t>
      </w:r>
    </w:p>
    <w:p>
      <w:pPr>
        <w:pStyle w:val="103"/>
        <w:numPr>
          <w:ilvl w:val="0"/>
          <w:numId w:val="30"/>
        </w:numPr>
        <w:ind w:firstLineChars="0"/>
        <w:rPr>
          <w:rFonts w:ascii="仿宋" w:hAnsi="仿宋" w:eastAsia="仿宋"/>
          <w:kern w:val="0"/>
          <w:sz w:val="24"/>
          <w:highlight w:val="none"/>
        </w:rPr>
      </w:pPr>
      <w:r>
        <w:rPr>
          <w:rFonts w:hint="eastAsia" w:ascii="仿宋" w:hAnsi="仿宋" w:eastAsia="仿宋"/>
          <w:kern w:val="0"/>
          <w:sz w:val="24"/>
          <w:highlight w:val="none"/>
        </w:rPr>
        <w:t>我公司将与本项目的派出服务人员签订此类《网络与信息安全责任承诺书》及《保密协议》，并督促服务人员履行相应责任。在本次合作结束后，我公司承诺采取有效措施督促所有参与的服务人员依照合同约定删除所有工作活动中接触到的保密数据，并书面通知甲方回收相关工作账号。</w:t>
      </w:r>
    </w:p>
    <w:p>
      <w:pPr>
        <w:pStyle w:val="103"/>
        <w:numPr>
          <w:ilvl w:val="0"/>
          <w:numId w:val="30"/>
        </w:numPr>
        <w:ind w:firstLineChars="0"/>
        <w:rPr>
          <w:rFonts w:ascii="仿宋" w:hAnsi="仿宋" w:eastAsia="仿宋"/>
          <w:kern w:val="0"/>
          <w:sz w:val="24"/>
          <w:highlight w:val="none"/>
        </w:rPr>
      </w:pPr>
      <w:r>
        <w:rPr>
          <w:rFonts w:hint="eastAsia" w:ascii="仿宋" w:hAnsi="仿宋" w:eastAsia="仿宋"/>
          <w:kern w:val="0"/>
          <w:sz w:val="24"/>
          <w:highlight w:val="none"/>
        </w:rPr>
        <w:t>我公司郑重承诺遵守本承诺书条款，如有违反，视为我方合同违约,愿意承担合同违约责任，接受有关部门的处理，包括但不限于限期整改、公开曝光、终止合同、纳入信用不良数据库等，并承担相应的法律责任，中国电信股份有限公司__________有权立即停止合作并启动追责流程，所造成的一切责任后果全部由我公司自行承担。</w:t>
      </w:r>
    </w:p>
    <w:p>
      <w:pPr>
        <w:pStyle w:val="103"/>
        <w:numPr>
          <w:ilvl w:val="0"/>
          <w:numId w:val="30"/>
        </w:numPr>
        <w:ind w:firstLineChars="0"/>
        <w:rPr>
          <w:rFonts w:ascii="仿宋" w:hAnsi="仿宋" w:eastAsia="仿宋"/>
          <w:kern w:val="0"/>
          <w:sz w:val="24"/>
          <w:highlight w:val="none"/>
        </w:rPr>
      </w:pPr>
      <w:r>
        <w:rPr>
          <w:rFonts w:hint="eastAsia" w:ascii="仿宋" w:hAnsi="仿宋" w:eastAsia="仿宋"/>
          <w:kern w:val="0"/>
          <w:sz w:val="24"/>
          <w:highlight w:val="none"/>
        </w:rPr>
        <w:t>此承诺书经我方签署盖章后生效，并由中国电信股份有限公司___________负责保管。</w:t>
      </w:r>
    </w:p>
    <w:p>
      <w:pPr>
        <w:pStyle w:val="102"/>
        <w:spacing w:line="360" w:lineRule="auto"/>
        <w:rPr>
          <w:rFonts w:ascii="仿宋" w:hAnsi="仿宋" w:eastAsia="仿宋"/>
          <w:kern w:val="0"/>
          <w:sz w:val="24"/>
          <w:highlight w:val="none"/>
        </w:rPr>
      </w:pPr>
    </w:p>
    <w:p>
      <w:pPr>
        <w:pStyle w:val="102"/>
        <w:spacing w:line="360" w:lineRule="auto"/>
        <w:rPr>
          <w:rFonts w:ascii="仿宋" w:hAnsi="仿宋" w:eastAsia="仿宋"/>
          <w:kern w:val="0"/>
          <w:sz w:val="24"/>
          <w:highlight w:val="none"/>
        </w:rPr>
      </w:pPr>
    </w:p>
    <w:p>
      <w:pPr>
        <w:pStyle w:val="102"/>
        <w:spacing w:line="360" w:lineRule="auto"/>
        <w:ind w:firstLine="3360" w:firstLineChars="1400"/>
        <w:rPr>
          <w:rFonts w:ascii="仿宋" w:hAnsi="仿宋" w:eastAsia="仿宋"/>
          <w:b/>
          <w:kern w:val="0"/>
          <w:sz w:val="24"/>
          <w:highlight w:val="none"/>
        </w:rPr>
      </w:pPr>
      <w:r>
        <w:rPr>
          <w:rFonts w:hint="eastAsia" w:ascii="仿宋" w:hAnsi="仿宋" w:eastAsia="仿宋"/>
          <w:kern w:val="0"/>
          <w:sz w:val="24"/>
          <w:highlight w:val="none"/>
        </w:rPr>
        <w:t>签署承诺书单位（公章）：</w:t>
      </w:r>
    </w:p>
    <w:p>
      <w:pPr>
        <w:pStyle w:val="102"/>
        <w:spacing w:line="360" w:lineRule="auto"/>
        <w:ind w:firstLine="2820" w:firstLineChars="1175"/>
        <w:rPr>
          <w:rFonts w:ascii="仿宋" w:hAnsi="仿宋" w:eastAsia="仿宋"/>
          <w:kern w:val="0"/>
          <w:sz w:val="24"/>
          <w:highlight w:val="none"/>
        </w:rPr>
      </w:pPr>
      <w:r>
        <w:rPr>
          <w:rFonts w:hint="eastAsia" w:ascii="仿宋" w:hAnsi="仿宋" w:eastAsia="仿宋"/>
          <w:kern w:val="0"/>
          <w:sz w:val="24"/>
          <w:highlight w:val="none"/>
        </w:rPr>
        <w:t>法定代表人或其授权代表签字：</w:t>
      </w:r>
    </w:p>
    <w:p>
      <w:pPr>
        <w:pStyle w:val="102"/>
        <w:spacing w:line="360" w:lineRule="auto"/>
        <w:rPr>
          <w:rFonts w:ascii="仿宋" w:hAnsi="仿宋" w:eastAsia="仿宋"/>
          <w:sz w:val="24"/>
          <w:highlight w:val="none"/>
        </w:rPr>
      </w:pPr>
      <w:r>
        <w:rPr>
          <w:rFonts w:hint="eastAsia" w:ascii="仿宋" w:hAnsi="仿宋" w:eastAsia="仿宋"/>
          <w:kern w:val="0"/>
          <w:sz w:val="24"/>
          <w:highlight w:val="none"/>
        </w:rPr>
        <w:t xml:space="preserve">                                         签署日期：</w:t>
      </w:r>
    </w:p>
    <w:p>
      <w:pPr>
        <w:pStyle w:val="2"/>
        <w:rPr>
          <w:highlight w:val="none"/>
        </w:rPr>
      </w:pPr>
    </w:p>
    <w:p>
      <w:pPr>
        <w:rPr>
          <w:color w:val="auto"/>
          <w:highlight w:val="none"/>
        </w:rPr>
      </w:pPr>
    </w:p>
    <w:p>
      <w:pPr>
        <w:pStyle w:val="35"/>
        <w:numPr>
          <w:ilvl w:val="0"/>
          <w:numId w:val="17"/>
        </w:numPr>
        <w:tabs>
          <w:tab w:val="left" w:pos="0"/>
        </w:tabs>
        <w:snapToGrid w:val="0"/>
        <w:spacing w:before="120" w:after="120" w:line="440" w:lineRule="exact"/>
        <w:jc w:val="left"/>
        <w:outlineLvl w:val="1"/>
        <w:rPr>
          <w:rFonts w:ascii="宋体" w:hAnsi="宋体"/>
          <w:color w:val="auto"/>
          <w:sz w:val="28"/>
          <w:szCs w:val="24"/>
          <w:highlight w:val="none"/>
        </w:rPr>
      </w:pPr>
      <w:bookmarkStart w:id="926" w:name="_Toc55835842"/>
      <w:bookmarkEnd w:id="926"/>
      <w:bookmarkStart w:id="927" w:name="_Toc55291853"/>
      <w:bookmarkEnd w:id="927"/>
      <w:bookmarkStart w:id="928" w:name="_Toc17203057"/>
      <w:bookmarkStart w:id="929" w:name="_Toc17202857"/>
      <w:bookmarkStart w:id="930" w:name="_Toc15149"/>
      <w:bookmarkStart w:id="931" w:name="_Toc17203572"/>
      <w:r>
        <w:rPr>
          <w:rFonts w:hint="eastAsia" w:ascii="宋体" w:hAnsi="宋体"/>
          <w:color w:val="auto"/>
          <w:sz w:val="28"/>
          <w:szCs w:val="24"/>
          <w:highlight w:val="none"/>
        </w:rPr>
        <w:t>要求参选人提供的其他文件</w:t>
      </w:r>
      <w:bookmarkEnd w:id="928"/>
      <w:bookmarkEnd w:id="929"/>
      <w:bookmarkEnd w:id="930"/>
      <w:bookmarkEnd w:id="931"/>
    </w:p>
    <w:p>
      <w:pPr>
        <w:rPr>
          <w:rFonts w:ascii="宋体" w:hAnsi="宋体"/>
          <w:color w:val="auto"/>
          <w:szCs w:val="21"/>
          <w:highlight w:val="none"/>
        </w:rPr>
      </w:pPr>
    </w:p>
    <w:p>
      <w:pPr>
        <w:ind w:left="424" w:hanging="424" w:hangingChars="202"/>
        <w:rPr>
          <w:rFonts w:ascii="宋体" w:hAnsi="宋体"/>
          <w:color w:val="auto"/>
          <w:highlight w:val="none"/>
        </w:rPr>
        <w:sectPr>
          <w:pgSz w:w="11906" w:h="16838"/>
          <w:pgMar w:top="1440" w:right="1797" w:bottom="1440" w:left="1797" w:header="851" w:footer="992" w:gutter="0"/>
          <w:cols w:space="425" w:num="1"/>
          <w:docGrid w:type="lines" w:linePitch="312" w:charSpace="0"/>
        </w:sectPr>
      </w:pPr>
    </w:p>
    <w:p>
      <w:pPr>
        <w:pStyle w:val="35"/>
        <w:tabs>
          <w:tab w:val="left" w:pos="588"/>
        </w:tabs>
        <w:snapToGrid w:val="0"/>
        <w:spacing w:before="120" w:after="120" w:line="440" w:lineRule="exact"/>
        <w:jc w:val="left"/>
        <w:outlineLvl w:val="1"/>
        <w:rPr>
          <w:rFonts w:ascii="宋体" w:hAnsi="宋体"/>
          <w:color w:val="auto"/>
          <w:sz w:val="28"/>
          <w:szCs w:val="28"/>
          <w:highlight w:val="none"/>
        </w:rPr>
      </w:pPr>
      <w:bookmarkStart w:id="932" w:name="_Toc17203573"/>
      <w:bookmarkStart w:id="933" w:name="_Toc17203058"/>
      <w:bookmarkStart w:id="934" w:name="_Toc17202858"/>
      <w:bookmarkStart w:id="935" w:name="_Toc28086"/>
      <w:bookmarkStart w:id="936" w:name="_Toc475472693"/>
      <w:r>
        <w:rPr>
          <w:rFonts w:hint="eastAsia" w:ascii="宋体" w:hAnsi="宋体"/>
          <w:color w:val="auto"/>
          <w:sz w:val="28"/>
          <w:szCs w:val="28"/>
          <w:highlight w:val="none"/>
        </w:rPr>
        <w:t>二、报价文件封面</w:t>
      </w:r>
      <w:bookmarkEnd w:id="932"/>
      <w:bookmarkEnd w:id="933"/>
      <w:bookmarkEnd w:id="934"/>
      <w:bookmarkEnd w:id="935"/>
      <w:bookmarkEnd w:id="936"/>
    </w:p>
    <w:p>
      <w:pPr>
        <w:spacing w:after="120" w:line="360" w:lineRule="atLeast"/>
        <w:jc w:val="center"/>
        <w:rPr>
          <w:rFonts w:ascii="宋体" w:hAnsi="宋体" w:cs="宋体"/>
          <w:color w:val="auto"/>
          <w:sz w:val="32"/>
          <w:szCs w:val="32"/>
          <w:highlight w:val="none"/>
          <w:u w:val="single"/>
        </w:rPr>
      </w:pPr>
    </w:p>
    <w:p>
      <w:pPr>
        <w:spacing w:after="120" w:line="360" w:lineRule="atLeast"/>
        <w:jc w:val="center"/>
        <w:rPr>
          <w:rFonts w:ascii="宋体" w:hAnsi="宋体" w:cs="宋体"/>
          <w:color w:val="auto"/>
          <w:sz w:val="32"/>
          <w:szCs w:val="32"/>
          <w:highlight w:val="none"/>
          <w:u w:val="single"/>
        </w:rPr>
      </w:pPr>
    </w:p>
    <w:p>
      <w:pPr>
        <w:spacing w:after="120" w:line="360" w:lineRule="atLeast"/>
        <w:jc w:val="center"/>
        <w:rPr>
          <w:rFonts w:ascii="宋体" w:hAnsi="宋体" w:cs="宋体"/>
          <w:b/>
          <w:color w:val="auto"/>
          <w:sz w:val="30"/>
          <w:szCs w:val="30"/>
          <w:highlight w:val="none"/>
        </w:rPr>
      </w:pPr>
      <w:r>
        <w:rPr>
          <w:rFonts w:hint="eastAsia" w:ascii="宋体" w:hAnsi="宋体"/>
          <w:color w:val="auto"/>
          <w:sz w:val="28"/>
          <w:szCs w:val="28"/>
          <w:highlight w:val="none"/>
          <w:u w:val="single"/>
        </w:rPr>
        <w:t xml:space="preserve">           </w:t>
      </w:r>
      <w:r>
        <w:rPr>
          <w:rFonts w:hint="eastAsia" w:ascii="宋体" w:hAnsi="宋体"/>
          <w:color w:val="auto"/>
          <w:sz w:val="28"/>
          <w:szCs w:val="28"/>
          <w:highlight w:val="none"/>
        </w:rPr>
        <w:t>（项目名称）</w:t>
      </w:r>
      <w:r>
        <w:rPr>
          <w:rFonts w:hint="eastAsia" w:ascii="宋体" w:hAnsi="宋体"/>
          <w:color w:val="auto"/>
          <w:sz w:val="28"/>
          <w:szCs w:val="28"/>
          <w:highlight w:val="none"/>
          <w:u w:val="single"/>
        </w:rPr>
        <w:t xml:space="preserve">            </w:t>
      </w:r>
      <w:r>
        <w:rPr>
          <w:rFonts w:hint="eastAsia" w:ascii="宋体" w:hAnsi="宋体"/>
          <w:color w:val="auto"/>
          <w:sz w:val="28"/>
          <w:szCs w:val="28"/>
          <w:highlight w:val="none"/>
        </w:rPr>
        <w:t>标段比选</w:t>
      </w:r>
    </w:p>
    <w:p>
      <w:pPr>
        <w:jc w:val="center"/>
        <w:rPr>
          <w:rFonts w:ascii="宋体" w:hAnsi="宋体" w:cs="宋体"/>
          <w:color w:val="auto"/>
          <w:sz w:val="28"/>
          <w:szCs w:val="28"/>
          <w:highlight w:val="none"/>
        </w:rPr>
      </w:pPr>
      <w:r>
        <w:rPr>
          <w:rFonts w:hint="eastAsia" w:ascii="宋体" w:hAnsi="宋体" w:cs="宋体"/>
          <w:color w:val="auto"/>
          <w:sz w:val="28"/>
          <w:szCs w:val="28"/>
          <w:highlight w:val="none"/>
        </w:rPr>
        <w:t>比选代理机构编号：</w:t>
      </w:r>
    </w:p>
    <w:p>
      <w:pPr>
        <w:jc w:val="center"/>
        <w:rPr>
          <w:rFonts w:ascii="宋体" w:hAnsi="宋体" w:cs="宋体"/>
          <w:color w:val="auto"/>
          <w:szCs w:val="21"/>
          <w:highlight w:val="none"/>
        </w:rPr>
      </w:pPr>
    </w:p>
    <w:p>
      <w:pPr>
        <w:jc w:val="center"/>
        <w:rPr>
          <w:rFonts w:ascii="宋体" w:hAnsi="宋体" w:cs="宋体"/>
          <w:color w:val="auto"/>
          <w:szCs w:val="21"/>
          <w:highlight w:val="none"/>
        </w:rPr>
      </w:pPr>
    </w:p>
    <w:p>
      <w:pPr>
        <w:jc w:val="center"/>
        <w:rPr>
          <w:rFonts w:ascii="宋体" w:hAnsi="宋体" w:cs="宋体"/>
          <w:color w:val="auto"/>
          <w:szCs w:val="21"/>
          <w:highlight w:val="none"/>
        </w:rPr>
      </w:pPr>
    </w:p>
    <w:p>
      <w:pPr>
        <w:spacing w:after="120"/>
        <w:jc w:val="center"/>
        <w:rPr>
          <w:rFonts w:ascii="宋体" w:hAnsi="宋体" w:cs="宋体"/>
          <w:b/>
          <w:color w:val="auto"/>
          <w:sz w:val="36"/>
          <w:szCs w:val="36"/>
          <w:highlight w:val="none"/>
        </w:rPr>
      </w:pPr>
      <w:r>
        <w:rPr>
          <w:rFonts w:hint="eastAsia" w:ascii="宋体" w:hAnsi="宋体" w:cs="宋体"/>
          <w:b/>
          <w:color w:val="auto"/>
          <w:sz w:val="36"/>
          <w:szCs w:val="36"/>
          <w:highlight w:val="none"/>
        </w:rPr>
        <w:t>参选文件报价文件部分</w:t>
      </w:r>
    </w:p>
    <w:p>
      <w:pPr>
        <w:spacing w:after="120"/>
        <w:jc w:val="center"/>
        <w:rPr>
          <w:rFonts w:ascii="宋体" w:hAnsi="宋体" w:cs="宋体"/>
          <w:b/>
          <w:color w:val="auto"/>
          <w:sz w:val="32"/>
          <w:szCs w:val="32"/>
          <w:highlight w:val="none"/>
        </w:rPr>
      </w:pPr>
    </w:p>
    <w:p>
      <w:pPr>
        <w:spacing w:after="120"/>
        <w:jc w:val="center"/>
        <w:rPr>
          <w:rFonts w:ascii="宋体" w:hAnsi="宋体" w:cs="宋体"/>
          <w:b/>
          <w:color w:val="auto"/>
          <w:sz w:val="32"/>
          <w:szCs w:val="32"/>
          <w:highlight w:val="none"/>
        </w:rPr>
      </w:pPr>
    </w:p>
    <w:p>
      <w:pPr>
        <w:spacing w:after="120"/>
        <w:jc w:val="center"/>
        <w:rPr>
          <w:rFonts w:ascii="宋体" w:hAnsi="宋体" w:cs="宋体"/>
          <w:b/>
          <w:color w:val="auto"/>
          <w:sz w:val="32"/>
          <w:szCs w:val="32"/>
          <w:highlight w:val="none"/>
        </w:rPr>
      </w:pPr>
    </w:p>
    <w:p>
      <w:pPr>
        <w:spacing w:after="120"/>
        <w:jc w:val="center"/>
        <w:rPr>
          <w:rFonts w:ascii="宋体" w:hAnsi="宋体" w:cs="宋体"/>
          <w:b/>
          <w:color w:val="auto"/>
          <w:sz w:val="32"/>
          <w:szCs w:val="32"/>
          <w:highlight w:val="none"/>
        </w:rPr>
      </w:pPr>
    </w:p>
    <w:p>
      <w:pPr>
        <w:spacing w:after="120"/>
        <w:jc w:val="center"/>
        <w:rPr>
          <w:rFonts w:ascii="宋体" w:hAnsi="宋体" w:cs="宋体"/>
          <w:b/>
          <w:color w:val="auto"/>
          <w:sz w:val="32"/>
          <w:szCs w:val="32"/>
          <w:highlight w:val="none"/>
        </w:rPr>
      </w:pPr>
    </w:p>
    <w:p>
      <w:pPr>
        <w:spacing w:after="120"/>
        <w:jc w:val="center"/>
        <w:rPr>
          <w:rFonts w:ascii="宋体" w:hAnsi="宋体" w:cs="宋体"/>
          <w:b/>
          <w:color w:val="auto"/>
          <w:sz w:val="32"/>
          <w:szCs w:val="32"/>
          <w:highlight w:val="none"/>
        </w:rPr>
      </w:pPr>
    </w:p>
    <w:p>
      <w:pPr>
        <w:adjustRightInd w:val="0"/>
        <w:snapToGrid w:val="0"/>
        <w:spacing w:line="440" w:lineRule="exact"/>
        <w:jc w:val="center"/>
        <w:rPr>
          <w:rFonts w:ascii="宋体" w:hAnsi="宋体" w:cs="宋体"/>
          <w:color w:val="auto"/>
          <w:sz w:val="24"/>
          <w:highlight w:val="none"/>
        </w:rPr>
      </w:pPr>
      <w:r>
        <w:rPr>
          <w:rFonts w:hint="eastAsia" w:ascii="宋体" w:hAnsi="宋体" w:cs="宋体"/>
          <w:color w:val="auto"/>
          <w:sz w:val="24"/>
          <w:highlight w:val="none"/>
        </w:rPr>
        <w:t xml:space="preserve">   参选人名称：</w:t>
      </w:r>
      <w:r>
        <w:rPr>
          <w:rFonts w:ascii="宋体" w:hAnsi="宋体" w:cs="宋体"/>
          <w:color w:val="auto"/>
          <w:sz w:val="24"/>
          <w:highlight w:val="none"/>
          <w:u w:val="single"/>
        </w:rPr>
        <w:t xml:space="preserve">                              </w:t>
      </w:r>
      <w:r>
        <w:rPr>
          <w:rFonts w:hint="eastAsia" w:ascii="宋体" w:hAnsi="宋体" w:cs="宋体"/>
          <w:color w:val="auto"/>
          <w:sz w:val="24"/>
          <w:highlight w:val="none"/>
        </w:rPr>
        <w:t>（盖单位公章）</w:t>
      </w:r>
    </w:p>
    <w:p>
      <w:pPr>
        <w:adjustRightInd w:val="0"/>
        <w:snapToGrid w:val="0"/>
        <w:spacing w:line="440" w:lineRule="exact"/>
        <w:ind w:firstLine="1020" w:firstLineChars="425"/>
        <w:rPr>
          <w:rFonts w:ascii="宋体" w:hAnsi="宋体" w:cs="宋体"/>
          <w:color w:val="auto"/>
          <w:sz w:val="24"/>
          <w:highlight w:val="none"/>
        </w:rPr>
      </w:pPr>
    </w:p>
    <w:p>
      <w:pPr>
        <w:adjustRightInd w:val="0"/>
        <w:snapToGrid w:val="0"/>
        <w:spacing w:line="440" w:lineRule="exact"/>
        <w:ind w:firstLine="1020" w:firstLineChars="425"/>
        <w:rPr>
          <w:rFonts w:ascii="宋体" w:hAnsi="宋体" w:cs="宋体"/>
          <w:color w:val="auto"/>
          <w:sz w:val="24"/>
          <w:highlight w:val="none"/>
          <w:u w:val="single"/>
        </w:rPr>
      </w:pPr>
      <w:r>
        <w:rPr>
          <w:rFonts w:hint="eastAsia" w:ascii="宋体" w:hAnsi="宋体" w:cs="宋体"/>
          <w:color w:val="auto"/>
          <w:sz w:val="24"/>
          <w:highlight w:val="none"/>
        </w:rPr>
        <w:t>法定代表人（负责人）</w:t>
      </w:r>
      <w:r>
        <w:rPr>
          <w:rFonts w:ascii="宋体" w:hAnsi="宋体" w:cs="宋体"/>
          <w:color w:val="auto"/>
          <w:sz w:val="24"/>
          <w:highlight w:val="none"/>
        </w:rPr>
        <w:t>或者其委托代理人：</w:t>
      </w:r>
      <w:r>
        <w:rPr>
          <w:rFonts w:ascii="宋体" w:hAnsi="宋体" w:cs="宋体"/>
          <w:color w:val="auto"/>
          <w:sz w:val="24"/>
          <w:highlight w:val="none"/>
          <w:u w:val="single"/>
        </w:rPr>
        <w:t xml:space="preserve">  </w:t>
      </w:r>
      <w:r>
        <w:rPr>
          <w:rFonts w:hint="eastAsia" w:ascii="宋体" w:hAnsi="宋体" w:cs="宋体"/>
          <w:color w:val="auto"/>
          <w:sz w:val="24"/>
          <w:highlight w:val="none"/>
          <w:u w:val="single"/>
        </w:rPr>
        <w:t xml:space="preserve">        </w:t>
      </w:r>
      <w:r>
        <w:rPr>
          <w:rFonts w:ascii="宋体" w:hAnsi="宋体" w:cs="宋体"/>
          <w:color w:val="auto"/>
          <w:sz w:val="24"/>
          <w:highlight w:val="none"/>
          <w:u w:val="single"/>
        </w:rPr>
        <w:t xml:space="preserve">   </w:t>
      </w:r>
      <w:r>
        <w:rPr>
          <w:rFonts w:hint="eastAsia" w:ascii="宋体" w:hAnsi="宋体" w:cs="宋体"/>
          <w:color w:val="auto"/>
          <w:sz w:val="24"/>
          <w:highlight w:val="none"/>
        </w:rPr>
        <w:t>（签字）</w:t>
      </w:r>
    </w:p>
    <w:p>
      <w:pPr>
        <w:adjustRightInd w:val="0"/>
        <w:snapToGrid w:val="0"/>
        <w:spacing w:after="120" w:line="440" w:lineRule="exact"/>
        <w:ind w:firstLine="1200" w:firstLineChars="500"/>
        <w:jc w:val="left"/>
        <w:rPr>
          <w:rFonts w:ascii="宋体" w:hAnsi="宋体" w:cs="宋体"/>
          <w:color w:val="auto"/>
          <w:sz w:val="24"/>
          <w:highlight w:val="none"/>
        </w:rPr>
      </w:pPr>
    </w:p>
    <w:p>
      <w:pPr>
        <w:adjustRightInd w:val="0"/>
        <w:snapToGrid w:val="0"/>
        <w:spacing w:line="440" w:lineRule="exact"/>
        <w:jc w:val="center"/>
        <w:rPr>
          <w:rFonts w:ascii="宋体" w:hAnsi="宋体"/>
          <w:color w:val="auto"/>
          <w:highlight w:val="none"/>
        </w:rPr>
      </w:pPr>
      <w:r>
        <w:rPr>
          <w:rFonts w:ascii="宋体" w:hAnsi="宋体" w:cs="宋体"/>
          <w:color w:val="auto"/>
          <w:sz w:val="24"/>
          <w:highlight w:val="none"/>
          <w:u w:val="single"/>
        </w:rPr>
        <w:t xml:space="preserve">_    __ </w:t>
      </w:r>
      <w:r>
        <w:rPr>
          <w:rFonts w:hint="eastAsia" w:ascii="宋体" w:hAnsi="宋体" w:cs="宋体"/>
          <w:color w:val="auto"/>
          <w:sz w:val="24"/>
          <w:highlight w:val="none"/>
        </w:rPr>
        <w:t>年</w:t>
      </w:r>
      <w:r>
        <w:rPr>
          <w:rFonts w:ascii="宋体" w:hAnsi="宋体" w:cs="宋体"/>
          <w:color w:val="auto"/>
          <w:sz w:val="24"/>
          <w:highlight w:val="none"/>
          <w:u w:val="single"/>
        </w:rPr>
        <w:t>_    __</w:t>
      </w:r>
      <w:r>
        <w:rPr>
          <w:rFonts w:hint="eastAsia" w:ascii="宋体" w:hAnsi="宋体" w:cs="宋体"/>
          <w:color w:val="auto"/>
          <w:sz w:val="24"/>
          <w:highlight w:val="none"/>
        </w:rPr>
        <w:t>月</w:t>
      </w:r>
      <w:r>
        <w:rPr>
          <w:rFonts w:ascii="宋体" w:hAnsi="宋体" w:cs="宋体"/>
          <w:color w:val="auto"/>
          <w:sz w:val="24"/>
          <w:highlight w:val="none"/>
          <w:u w:val="single"/>
        </w:rPr>
        <w:t>_    __</w:t>
      </w:r>
      <w:r>
        <w:rPr>
          <w:rFonts w:hint="eastAsia" w:ascii="宋体" w:hAnsi="宋体" w:cs="宋体"/>
          <w:color w:val="auto"/>
          <w:sz w:val="24"/>
          <w:highlight w:val="none"/>
        </w:rPr>
        <w:t>日</w:t>
      </w:r>
    </w:p>
    <w:p>
      <w:pPr>
        <w:pStyle w:val="35"/>
        <w:tabs>
          <w:tab w:val="left" w:pos="588"/>
        </w:tabs>
        <w:snapToGrid w:val="0"/>
        <w:spacing w:before="120" w:after="120" w:line="440" w:lineRule="exact"/>
        <w:ind w:left="425"/>
        <w:jc w:val="left"/>
        <w:rPr>
          <w:rFonts w:ascii="宋体" w:hAnsi="宋体"/>
          <w:color w:val="auto"/>
          <w:sz w:val="24"/>
          <w:szCs w:val="24"/>
          <w:highlight w:val="none"/>
        </w:rPr>
        <w:sectPr>
          <w:pgSz w:w="11906" w:h="16838"/>
          <w:pgMar w:top="1440" w:right="1797" w:bottom="1440" w:left="1797" w:header="851" w:footer="992" w:gutter="0"/>
          <w:cols w:space="425" w:num="1"/>
          <w:docGrid w:type="lines" w:linePitch="312" w:charSpace="0"/>
        </w:sectPr>
      </w:pPr>
    </w:p>
    <w:p>
      <w:pPr>
        <w:pStyle w:val="35"/>
        <w:numPr>
          <w:ilvl w:val="0"/>
          <w:numId w:val="31"/>
        </w:numPr>
        <w:tabs>
          <w:tab w:val="left" w:pos="0"/>
        </w:tabs>
        <w:snapToGrid w:val="0"/>
        <w:spacing w:before="120" w:after="120" w:line="440" w:lineRule="exact"/>
        <w:jc w:val="left"/>
        <w:outlineLvl w:val="1"/>
        <w:rPr>
          <w:rFonts w:ascii="宋体" w:hAnsi="宋体"/>
          <w:sz w:val="28"/>
          <w:szCs w:val="24"/>
          <w:highlight w:val="none"/>
        </w:rPr>
      </w:pPr>
      <w:bookmarkStart w:id="937" w:name="_Toc17203059"/>
      <w:bookmarkStart w:id="938" w:name="_Toc447265349"/>
      <w:bookmarkStart w:id="939" w:name="_Toc69914110"/>
      <w:bookmarkStart w:id="940" w:name="_Toc447265635"/>
      <w:bookmarkStart w:id="941" w:name="_Toc17202859"/>
      <w:bookmarkStart w:id="942" w:name="_Toc17203574"/>
      <w:bookmarkStart w:id="943" w:name="_Toc475472694"/>
      <w:r>
        <w:rPr>
          <w:rFonts w:hint="eastAsia" w:ascii="宋体" w:hAnsi="宋体"/>
          <w:sz w:val="28"/>
          <w:szCs w:val="24"/>
          <w:highlight w:val="none"/>
        </w:rPr>
        <w:t>参选一览表</w:t>
      </w:r>
      <w:bookmarkEnd w:id="937"/>
      <w:bookmarkEnd w:id="938"/>
      <w:bookmarkEnd w:id="939"/>
      <w:bookmarkEnd w:id="940"/>
      <w:bookmarkEnd w:id="941"/>
      <w:bookmarkEnd w:id="942"/>
      <w:bookmarkEnd w:id="943"/>
      <w:r>
        <w:rPr>
          <w:rFonts w:hint="eastAsia" w:ascii="宋体" w:hAnsi="宋体"/>
          <w:sz w:val="28"/>
          <w:szCs w:val="24"/>
          <w:highlight w:val="none"/>
          <w:lang w:eastAsia="zh-CN"/>
        </w:rPr>
        <w:t>（</w:t>
      </w:r>
      <w:r>
        <w:rPr>
          <w:rFonts w:hint="eastAsia" w:ascii="宋体" w:hAnsi="宋体"/>
          <w:sz w:val="28"/>
          <w:szCs w:val="24"/>
          <w:highlight w:val="none"/>
          <w:lang w:val="en-US" w:eastAsia="zh-CN"/>
        </w:rPr>
        <w:t>标段一</w:t>
      </w:r>
      <w:r>
        <w:rPr>
          <w:rFonts w:hint="eastAsia" w:ascii="宋体" w:hAnsi="宋体"/>
          <w:sz w:val="28"/>
          <w:szCs w:val="24"/>
          <w:highlight w:val="none"/>
          <w:lang w:eastAsia="zh-CN"/>
        </w:rPr>
        <w:t>）</w:t>
      </w:r>
    </w:p>
    <w:p>
      <w:pPr>
        <w:jc w:val="center"/>
        <w:rPr>
          <w:rFonts w:ascii="宋体" w:hAnsi="宋体" w:cs="宋体"/>
          <w:b/>
          <w:sz w:val="24"/>
          <w:highlight w:val="none"/>
        </w:rPr>
      </w:pPr>
      <w:r>
        <w:rPr>
          <w:rFonts w:hint="eastAsia" w:ascii="宋体" w:hAnsi="宋体" w:cs="宋体"/>
          <w:b/>
          <w:sz w:val="24"/>
          <w:highlight w:val="none"/>
        </w:rPr>
        <w:t>参选一览表</w:t>
      </w:r>
    </w:p>
    <w:p>
      <w:pPr>
        <w:widowControl/>
        <w:rPr>
          <w:rFonts w:ascii="宋体" w:hAnsi="宋体" w:cs="宋体"/>
          <w:szCs w:val="21"/>
          <w:highlight w:val="none"/>
        </w:rPr>
      </w:pPr>
    </w:p>
    <w:p>
      <w:pPr>
        <w:rPr>
          <w:rFonts w:ascii="宋体" w:hAnsi="宋体" w:cs="宋体"/>
          <w:szCs w:val="21"/>
          <w:highlight w:val="none"/>
        </w:rPr>
      </w:pPr>
      <w:r>
        <w:rPr>
          <w:rFonts w:hint="eastAsia" w:ascii="宋体" w:hAnsi="宋体" w:cs="宋体"/>
          <w:szCs w:val="21"/>
          <w:highlight w:val="none"/>
        </w:rPr>
        <w:t>项目名称：___________________   比选代理机构编号</w:t>
      </w:r>
      <w:r>
        <w:rPr>
          <w:rFonts w:ascii="宋体" w:hAnsi="宋体" w:cs="宋体"/>
          <w:szCs w:val="21"/>
          <w:highlight w:val="none"/>
        </w:rPr>
        <w:t>：</w:t>
      </w:r>
    </w:p>
    <w:tbl>
      <w:tblPr>
        <w:tblStyle w:val="37"/>
        <w:tblW w:w="851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3420"/>
        <w:gridCol w:w="43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7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ascii="宋体" w:hAnsi="宋体" w:cs="宋体"/>
                <w:szCs w:val="21"/>
                <w:highlight w:val="none"/>
              </w:rPr>
            </w:pPr>
            <w:r>
              <w:rPr>
                <w:rFonts w:hint="eastAsia" w:ascii="宋体" w:hAnsi="宋体" w:cs="宋体"/>
                <w:szCs w:val="21"/>
                <w:highlight w:val="none"/>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ascii="宋体" w:hAnsi="宋体" w:cs="宋体"/>
                <w:szCs w:val="21"/>
                <w:highlight w:val="none"/>
              </w:rPr>
            </w:pPr>
            <w:r>
              <w:rPr>
                <w:rFonts w:hint="eastAsia" w:ascii="宋体" w:hAnsi="宋体" w:cs="宋体"/>
                <w:szCs w:val="21"/>
                <w:highlight w:val="none"/>
              </w:rPr>
              <w:t>项目</w:t>
            </w:r>
          </w:p>
        </w:tc>
        <w:tc>
          <w:tcPr>
            <w:tcW w:w="4371"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ascii="宋体" w:hAnsi="宋体" w:cs="宋体"/>
                <w:szCs w:val="21"/>
                <w:highlight w:val="none"/>
              </w:rPr>
            </w:pPr>
            <w:r>
              <w:rPr>
                <w:rFonts w:hint="eastAsia" w:ascii="宋体" w:hAnsi="宋体" w:cs="宋体"/>
                <w:szCs w:val="21"/>
                <w:highlight w:val="none"/>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3" w:hRule="atLeast"/>
        </w:trPr>
        <w:tc>
          <w:tcPr>
            <w:tcW w:w="720" w:type="dxa"/>
            <w:tcBorders>
              <w:top w:val="single" w:color="auto" w:sz="4" w:space="0"/>
              <w:left w:val="single" w:color="auto" w:sz="4" w:space="0"/>
              <w:bottom w:val="single" w:color="auto" w:sz="4" w:space="0"/>
              <w:right w:val="single" w:color="auto" w:sz="4" w:space="0"/>
            </w:tcBorders>
            <w:shd w:val="clear" w:color="auto" w:fill="auto"/>
            <w:vAlign w:val="center"/>
          </w:tcPr>
          <w:p>
            <w:pPr>
              <w:numPr>
                <w:ilvl w:val="0"/>
                <w:numId w:val="32"/>
              </w:numPr>
              <w:adjustRightInd w:val="0"/>
              <w:snapToGrid w:val="0"/>
              <w:jc w:val="center"/>
              <w:rPr>
                <w:rFonts w:ascii="宋体" w:hAnsi="宋体" w:cs="宋体"/>
                <w:szCs w:val="21"/>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hint="eastAsia" w:ascii="宋体" w:hAnsi="宋体" w:eastAsia="宋体" w:cs="宋体"/>
                <w:szCs w:val="21"/>
                <w:highlight w:val="none"/>
                <w:lang w:eastAsia="zh-CN"/>
              </w:rPr>
            </w:pPr>
            <w:r>
              <w:rPr>
                <w:rFonts w:hint="eastAsia" w:ascii="宋体" w:hAnsi="宋体" w:cs="宋体"/>
                <w:szCs w:val="21"/>
                <w:highlight w:val="none"/>
              </w:rPr>
              <w:t>参选</w:t>
            </w:r>
            <w:r>
              <w:rPr>
                <w:rFonts w:hint="eastAsia" w:ascii="宋体" w:hAnsi="宋体" w:cs="宋体"/>
                <w:szCs w:val="21"/>
                <w:highlight w:val="none"/>
                <w:lang w:val="en-US" w:eastAsia="zh-CN"/>
              </w:rPr>
              <w:t>总报价（不含税）</w:t>
            </w:r>
          </w:p>
        </w:tc>
        <w:tc>
          <w:tcPr>
            <w:tcW w:w="4371"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hint="eastAsia" w:ascii="宋体" w:hAnsi="宋体" w:eastAsia="宋体" w:cs="宋体"/>
                <w:szCs w:val="21"/>
                <w:highlight w:val="none"/>
                <w:u w:val="single"/>
                <w:lang w:eastAsia="zh-CN"/>
              </w:rPr>
            </w:pPr>
            <w:r>
              <w:rPr>
                <w:rFonts w:hAnsi="宋体"/>
                <w:bCs/>
                <w:szCs w:val="21"/>
                <w:highlight w:val="none"/>
                <w:u w:val="single"/>
              </w:rPr>
              <w:t xml:space="preserve">        </w:t>
            </w:r>
            <w:r>
              <w:rPr>
                <w:rFonts w:hint="eastAsia" w:hAnsi="宋体"/>
                <w:bCs/>
                <w:szCs w:val="21"/>
                <w:highlight w:val="none"/>
                <w:lang w:val="en-US" w:eastAsia="zh-CN"/>
              </w:rPr>
              <w:t>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3" w:hRule="atLeast"/>
        </w:trPr>
        <w:tc>
          <w:tcPr>
            <w:tcW w:w="720" w:type="dxa"/>
            <w:tcBorders>
              <w:top w:val="single" w:color="auto" w:sz="4" w:space="0"/>
              <w:left w:val="single" w:color="auto" w:sz="4" w:space="0"/>
              <w:bottom w:val="single" w:color="auto" w:sz="4" w:space="0"/>
              <w:right w:val="single" w:color="auto" w:sz="4" w:space="0"/>
            </w:tcBorders>
            <w:shd w:val="clear" w:color="auto" w:fill="auto"/>
            <w:vAlign w:val="center"/>
          </w:tcPr>
          <w:p>
            <w:pPr>
              <w:numPr>
                <w:ilvl w:val="0"/>
                <w:numId w:val="32"/>
              </w:numPr>
              <w:adjustRightInd w:val="0"/>
              <w:snapToGrid w:val="0"/>
              <w:jc w:val="center"/>
              <w:rPr>
                <w:rFonts w:ascii="宋体" w:hAnsi="宋体" w:cs="宋体"/>
                <w:szCs w:val="21"/>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hint="eastAsia" w:ascii="宋体" w:hAnsi="宋体" w:cs="宋体"/>
                <w:szCs w:val="21"/>
                <w:highlight w:val="none"/>
              </w:rPr>
            </w:pPr>
            <w:r>
              <w:rPr>
                <w:rFonts w:hint="eastAsia" w:ascii="宋体" w:hAnsi="宋体" w:cs="宋体"/>
                <w:szCs w:val="21"/>
                <w:highlight w:val="none"/>
              </w:rPr>
              <w:t>参选</w:t>
            </w:r>
            <w:r>
              <w:rPr>
                <w:rFonts w:hint="eastAsia" w:ascii="宋体" w:hAnsi="宋体" w:cs="宋体"/>
                <w:szCs w:val="21"/>
                <w:highlight w:val="none"/>
                <w:lang w:val="en-US" w:eastAsia="zh-CN"/>
              </w:rPr>
              <w:t>总报价（含税）</w:t>
            </w:r>
          </w:p>
        </w:tc>
        <w:tc>
          <w:tcPr>
            <w:tcW w:w="4371"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hAnsi="宋体"/>
                <w:bCs/>
                <w:szCs w:val="21"/>
                <w:highlight w:val="none"/>
                <w:u w:val="single"/>
              </w:rPr>
            </w:pPr>
            <w:r>
              <w:rPr>
                <w:rFonts w:hAnsi="宋体"/>
                <w:bCs/>
                <w:szCs w:val="21"/>
                <w:highlight w:val="none"/>
                <w:u w:val="single"/>
              </w:rPr>
              <w:t xml:space="preserve">        </w:t>
            </w:r>
            <w:r>
              <w:rPr>
                <w:rFonts w:hint="eastAsia" w:hAnsi="宋体"/>
                <w:bCs/>
                <w:szCs w:val="21"/>
                <w:highlight w:val="none"/>
                <w:lang w:val="en-US" w:eastAsia="zh-CN"/>
              </w:rPr>
              <w:t>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7" w:hRule="atLeast"/>
        </w:trPr>
        <w:tc>
          <w:tcPr>
            <w:tcW w:w="720" w:type="dxa"/>
            <w:tcBorders>
              <w:top w:val="single" w:color="auto" w:sz="4" w:space="0"/>
              <w:left w:val="single" w:color="auto" w:sz="4" w:space="0"/>
              <w:bottom w:val="single" w:color="auto" w:sz="4" w:space="0"/>
              <w:right w:val="single" w:color="auto" w:sz="4" w:space="0"/>
            </w:tcBorders>
            <w:shd w:val="clear" w:color="auto" w:fill="auto"/>
            <w:vAlign w:val="center"/>
          </w:tcPr>
          <w:p>
            <w:pPr>
              <w:numPr>
                <w:ilvl w:val="0"/>
                <w:numId w:val="32"/>
              </w:numPr>
              <w:adjustRightInd w:val="0"/>
              <w:snapToGrid w:val="0"/>
              <w:jc w:val="center"/>
              <w:rPr>
                <w:rFonts w:ascii="宋体" w:hAnsi="宋体" w:cs="宋体"/>
                <w:szCs w:val="21"/>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rFonts w:ascii="宋体" w:hAnsi="宋体" w:cs="宋体"/>
                <w:szCs w:val="21"/>
                <w:highlight w:val="none"/>
              </w:rPr>
            </w:pPr>
            <w:r>
              <w:rPr>
                <w:rFonts w:hint="eastAsia" w:ascii="宋体" w:hAnsi="宋体" w:cs="宋体"/>
                <w:szCs w:val="21"/>
                <w:highlight w:val="none"/>
              </w:rPr>
              <w:t>发票种类</w:t>
            </w:r>
          </w:p>
        </w:tc>
        <w:tc>
          <w:tcPr>
            <w:tcW w:w="4371"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rFonts w:ascii="宋体" w:hAnsi="宋体" w:cs="宋体"/>
                <w:szCs w:val="21"/>
                <w:highlight w:val="none"/>
              </w:rPr>
            </w:pPr>
            <w:r>
              <w:rPr>
                <w:rFonts w:hint="eastAsia" w:ascii="宋体" w:hAnsi="宋体" w:cs="宋体"/>
                <w:szCs w:val="21"/>
                <w:highlight w:val="none"/>
              </w:rPr>
              <w:t>增值税专用发票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7" w:hRule="atLeast"/>
        </w:trPr>
        <w:tc>
          <w:tcPr>
            <w:tcW w:w="720" w:type="dxa"/>
            <w:tcBorders>
              <w:top w:val="single" w:color="auto" w:sz="4" w:space="0"/>
              <w:left w:val="single" w:color="auto" w:sz="4" w:space="0"/>
              <w:bottom w:val="single" w:color="auto" w:sz="4" w:space="0"/>
              <w:right w:val="single" w:color="auto" w:sz="4" w:space="0"/>
            </w:tcBorders>
            <w:shd w:val="clear" w:color="auto" w:fill="auto"/>
            <w:vAlign w:val="center"/>
          </w:tcPr>
          <w:p>
            <w:pPr>
              <w:numPr>
                <w:ilvl w:val="0"/>
                <w:numId w:val="32"/>
              </w:numPr>
              <w:adjustRightInd w:val="0"/>
              <w:snapToGrid w:val="0"/>
              <w:jc w:val="center"/>
              <w:rPr>
                <w:rFonts w:ascii="宋体" w:hAnsi="宋体" w:cs="宋体"/>
                <w:szCs w:val="21"/>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rFonts w:hint="eastAsia" w:ascii="宋体" w:hAnsi="宋体" w:eastAsia="宋体" w:cs="宋体"/>
                <w:szCs w:val="21"/>
                <w:highlight w:val="none"/>
                <w:lang w:val="en-US" w:eastAsia="zh-CN"/>
              </w:rPr>
            </w:pPr>
            <w:r>
              <w:rPr>
                <w:rFonts w:hint="eastAsia" w:ascii="宋体" w:hAnsi="宋体" w:cs="宋体"/>
                <w:szCs w:val="21"/>
                <w:highlight w:val="none"/>
                <w:lang w:val="en-US" w:eastAsia="zh-CN"/>
              </w:rPr>
              <w:t>增值税税率</w:t>
            </w:r>
          </w:p>
        </w:tc>
        <w:tc>
          <w:tcPr>
            <w:tcW w:w="4371"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rFonts w:hint="default" w:ascii="宋体" w:hAnsi="宋体" w:eastAsia="宋体" w:cs="宋体"/>
                <w:szCs w:val="21"/>
                <w:highlight w:val="none"/>
                <w:lang w:val="en-US" w:eastAsia="zh-CN"/>
              </w:rPr>
            </w:pPr>
            <w:r>
              <w:rPr>
                <w:rFonts w:hint="eastAsia" w:hAnsi="宋体"/>
                <w:bCs/>
                <w:szCs w:val="21"/>
                <w:highlight w:val="none"/>
                <w:u w:val="single"/>
                <w:lang w:val="en-US" w:eastAsia="zh-CN"/>
              </w:rPr>
              <w:t>6</w:t>
            </w:r>
            <w:r>
              <w:rPr>
                <w:rFonts w:hint="eastAsia" w:ascii="宋体" w:hAnsi="宋体" w:cs="宋体"/>
                <w:szCs w:val="21"/>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8511"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left"/>
              <w:rPr>
                <w:rFonts w:ascii="宋体" w:hAnsi="宋体" w:cs="宋体"/>
                <w:szCs w:val="21"/>
                <w:highlight w:val="none"/>
              </w:rPr>
            </w:pPr>
            <w:r>
              <w:rPr>
                <w:rFonts w:hint="eastAsia" w:ascii="宋体" w:hAnsi="宋体" w:cs="宋体"/>
                <w:szCs w:val="21"/>
                <w:highlight w:val="none"/>
              </w:rPr>
              <w:t>备注：</w:t>
            </w:r>
          </w:p>
        </w:tc>
      </w:tr>
    </w:tbl>
    <w:p>
      <w:pPr>
        <w:jc w:val="left"/>
        <w:rPr>
          <w:rFonts w:ascii="宋体" w:hAnsi="宋体" w:cs="宋体"/>
          <w:bCs/>
          <w:szCs w:val="21"/>
          <w:highlight w:val="none"/>
        </w:rPr>
      </w:pPr>
    </w:p>
    <w:p>
      <w:pPr>
        <w:spacing w:line="360" w:lineRule="auto"/>
        <w:ind w:left="630" w:hanging="630" w:hangingChars="300"/>
        <w:rPr>
          <w:rFonts w:ascii="宋体" w:hAnsi="宋体" w:cs="宋体"/>
          <w:bCs/>
          <w:szCs w:val="21"/>
          <w:highlight w:val="none"/>
        </w:rPr>
      </w:pPr>
      <w:r>
        <w:rPr>
          <w:rFonts w:hint="eastAsia" w:ascii="宋体" w:hAnsi="宋体" w:cs="宋体"/>
          <w:bCs/>
          <w:szCs w:val="21"/>
          <w:highlight w:val="none"/>
        </w:rPr>
        <w:t>注：</w:t>
      </w:r>
    </w:p>
    <w:p>
      <w:pPr>
        <w:pStyle w:val="104"/>
        <w:numPr>
          <w:ilvl w:val="3"/>
          <w:numId w:val="32"/>
        </w:numPr>
        <w:spacing w:line="360" w:lineRule="auto"/>
        <w:ind w:firstLineChars="0"/>
        <w:rPr>
          <w:rFonts w:ascii="宋体" w:hAnsi="宋体" w:cs="宋体"/>
          <w:bCs/>
          <w:szCs w:val="21"/>
          <w:highlight w:val="none"/>
        </w:rPr>
      </w:pPr>
      <w:r>
        <w:rPr>
          <w:rFonts w:hint="eastAsia" w:ascii="宋体" w:hAnsi="宋体" w:cs="宋体"/>
          <w:bCs/>
          <w:szCs w:val="21"/>
          <w:highlight w:val="none"/>
        </w:rPr>
        <w:t>参选人根据技术规范的相关要求及服务内容，对第五章项目技术和服务要求报</w:t>
      </w:r>
      <w:r>
        <w:rPr>
          <w:rFonts w:hint="eastAsia" w:ascii="宋体" w:hAnsi="宋体" w:cs="宋体"/>
          <w:szCs w:val="21"/>
          <w:highlight w:val="none"/>
          <w:lang w:val="en-US" w:eastAsia="zh-CN"/>
        </w:rPr>
        <w:t>价</w:t>
      </w:r>
      <w:r>
        <w:rPr>
          <w:rFonts w:hint="eastAsia" w:ascii="宋体" w:hAnsi="宋体" w:cs="宋体"/>
          <w:bCs/>
          <w:szCs w:val="21"/>
          <w:highlight w:val="none"/>
        </w:rPr>
        <w:t>，</w:t>
      </w:r>
      <w:r>
        <w:rPr>
          <w:rFonts w:hint="eastAsia" w:ascii="宋体" w:hAnsi="宋体" w:cs="宋体"/>
          <w:b/>
          <w:bCs w:val="0"/>
          <w:szCs w:val="21"/>
          <w:highlight w:val="none"/>
        </w:rPr>
        <w:t>标段一：参选总报价（含税）不得超过1293150.00元</w:t>
      </w:r>
      <w:r>
        <w:rPr>
          <w:rFonts w:hint="eastAsia" w:ascii="宋体" w:hAnsi="宋体" w:cs="宋体"/>
          <w:bCs/>
          <w:szCs w:val="21"/>
          <w:highlight w:val="none"/>
        </w:rPr>
        <w:t>。参选</w:t>
      </w:r>
      <w:r>
        <w:rPr>
          <w:rFonts w:hint="eastAsia" w:ascii="宋体" w:hAnsi="宋体" w:cs="宋体"/>
          <w:bCs/>
          <w:szCs w:val="21"/>
          <w:highlight w:val="none"/>
          <w:lang w:val="en-US" w:eastAsia="zh-CN"/>
        </w:rPr>
        <w:t>报价</w:t>
      </w:r>
      <w:r>
        <w:rPr>
          <w:rFonts w:hint="eastAsia" w:ascii="宋体" w:hAnsi="宋体" w:cs="宋体"/>
          <w:bCs/>
          <w:szCs w:val="21"/>
          <w:highlight w:val="none"/>
        </w:rPr>
        <w:t>不得</w:t>
      </w:r>
      <w:r>
        <w:rPr>
          <w:rFonts w:hint="eastAsia" w:ascii="宋体" w:hAnsi="宋体" w:cs="宋体"/>
          <w:bCs/>
          <w:szCs w:val="21"/>
          <w:highlight w:val="none"/>
          <w:lang w:val="en-US" w:eastAsia="zh-CN"/>
        </w:rPr>
        <w:t>高于最高限价</w:t>
      </w:r>
      <w:r>
        <w:rPr>
          <w:rFonts w:hint="eastAsia" w:ascii="宋体" w:hAnsi="宋体" w:cs="宋体"/>
          <w:bCs/>
          <w:szCs w:val="21"/>
          <w:highlight w:val="none"/>
        </w:rPr>
        <w:t>。参选人参选报价高于最高参选限价的其参选将被否决。</w:t>
      </w:r>
    </w:p>
    <w:p>
      <w:pPr>
        <w:pStyle w:val="104"/>
        <w:numPr>
          <w:ilvl w:val="3"/>
          <w:numId w:val="32"/>
        </w:numPr>
        <w:spacing w:line="360" w:lineRule="auto"/>
        <w:ind w:firstLineChars="0"/>
        <w:rPr>
          <w:rFonts w:ascii="宋体" w:hAnsi="宋体" w:cs="宋体"/>
          <w:bCs/>
          <w:szCs w:val="21"/>
          <w:highlight w:val="none"/>
        </w:rPr>
      </w:pPr>
      <w:r>
        <w:rPr>
          <w:rFonts w:hint="eastAsia" w:ascii="宋体" w:hAnsi="宋体" w:cs="宋体"/>
          <w:bCs/>
          <w:szCs w:val="21"/>
          <w:highlight w:val="none"/>
        </w:rPr>
        <w:t>报价包含货物及其附件的设计、采购、制造、检测、试验、运输、装卸、保险、现场仓储、税费以及安装、验收、培训、技术服务、质保期保障的维修保养服务、不可预见等完成本比选内容所需的一切费用；</w:t>
      </w:r>
    </w:p>
    <w:p>
      <w:pPr>
        <w:pStyle w:val="104"/>
        <w:numPr>
          <w:ilvl w:val="3"/>
          <w:numId w:val="32"/>
        </w:numPr>
        <w:spacing w:line="360" w:lineRule="auto"/>
        <w:ind w:firstLineChars="0"/>
        <w:rPr>
          <w:rFonts w:ascii="宋体" w:hAnsi="宋体" w:eastAsia="宋体"/>
          <w:bCs/>
          <w:kern w:val="2"/>
          <w:sz w:val="21"/>
          <w:szCs w:val="21"/>
          <w:highlight w:val="none"/>
        </w:rPr>
      </w:pPr>
      <w:r>
        <w:rPr>
          <w:rFonts w:hint="eastAsia" w:ascii="宋体" w:hAnsi="宋体" w:cs="宋体"/>
          <w:bCs/>
          <w:szCs w:val="21"/>
          <w:highlight w:val="none"/>
        </w:rPr>
        <w:t>参选人提供的产品或服务，须不低于比选人及比选人客户的要求，最终由比选人与客户签订的合同及要求确定。如参选人提供的产品或服务不满足比选人或比选人客户的要求，比选人有权终止合同，并保留追究违约及赔偿的权利。</w:t>
      </w:r>
    </w:p>
    <w:p>
      <w:pPr>
        <w:pStyle w:val="6"/>
        <w:snapToGrid w:val="0"/>
        <w:spacing w:line="440" w:lineRule="exact"/>
        <w:ind w:firstLine="2408" w:firstLineChars="1147"/>
        <w:rPr>
          <w:rFonts w:ascii="宋体" w:hAnsi="宋体" w:eastAsia="宋体"/>
          <w:bCs/>
          <w:kern w:val="2"/>
          <w:sz w:val="21"/>
          <w:szCs w:val="21"/>
          <w:highlight w:val="none"/>
        </w:rPr>
      </w:pPr>
    </w:p>
    <w:p>
      <w:pPr>
        <w:pStyle w:val="6"/>
        <w:snapToGrid w:val="0"/>
        <w:spacing w:line="440" w:lineRule="exact"/>
        <w:ind w:firstLine="2408" w:firstLineChars="1147"/>
        <w:rPr>
          <w:rFonts w:ascii="宋体" w:hAnsi="宋体" w:eastAsia="宋体"/>
          <w:bCs/>
          <w:kern w:val="2"/>
          <w:sz w:val="21"/>
          <w:szCs w:val="21"/>
          <w:highlight w:val="none"/>
          <w:u w:val="single"/>
        </w:rPr>
      </w:pPr>
      <w:r>
        <w:rPr>
          <w:rFonts w:hint="eastAsia" w:ascii="宋体" w:hAnsi="宋体" w:eastAsia="宋体"/>
          <w:bCs/>
          <w:kern w:val="2"/>
          <w:sz w:val="21"/>
          <w:szCs w:val="21"/>
          <w:highlight w:val="none"/>
        </w:rPr>
        <w:t>参选人：（盖单位公章）</w:t>
      </w:r>
    </w:p>
    <w:p>
      <w:pPr>
        <w:pStyle w:val="6"/>
        <w:snapToGrid w:val="0"/>
        <w:spacing w:line="440" w:lineRule="exact"/>
        <w:ind w:firstLine="2408" w:firstLineChars="1147"/>
        <w:rPr>
          <w:rFonts w:ascii="宋体" w:hAnsi="宋体" w:eastAsia="宋体"/>
          <w:bCs/>
          <w:kern w:val="2"/>
          <w:sz w:val="21"/>
          <w:szCs w:val="21"/>
          <w:highlight w:val="none"/>
          <w:u w:val="single"/>
        </w:rPr>
      </w:pPr>
      <w:r>
        <w:rPr>
          <w:rFonts w:hint="eastAsia" w:ascii="宋体" w:hAnsi="宋体" w:eastAsia="宋体"/>
          <w:bCs/>
          <w:kern w:val="2"/>
          <w:sz w:val="21"/>
          <w:szCs w:val="21"/>
          <w:highlight w:val="none"/>
        </w:rPr>
        <w:t>法定代表人（负责人）或者其委托代理人：（签字）</w:t>
      </w:r>
    </w:p>
    <w:p>
      <w:pPr>
        <w:pStyle w:val="6"/>
        <w:snapToGrid w:val="0"/>
        <w:spacing w:line="440" w:lineRule="exact"/>
        <w:ind w:firstLine="2408" w:firstLineChars="1147"/>
        <w:rPr>
          <w:rFonts w:hint="eastAsia" w:ascii="宋体" w:hAnsi="宋体" w:eastAsia="宋体"/>
          <w:bCs/>
          <w:kern w:val="2"/>
          <w:sz w:val="21"/>
          <w:szCs w:val="21"/>
          <w:highlight w:val="none"/>
        </w:rPr>
      </w:pPr>
      <w:r>
        <w:rPr>
          <w:rFonts w:hint="eastAsia" w:ascii="宋体" w:hAnsi="宋体" w:eastAsia="宋体"/>
          <w:bCs/>
          <w:kern w:val="2"/>
          <w:sz w:val="21"/>
          <w:szCs w:val="21"/>
          <w:highlight w:val="none"/>
        </w:rPr>
        <w:t>日期：XX年XX月XX日</w:t>
      </w:r>
    </w:p>
    <w:p>
      <w:pPr>
        <w:pStyle w:val="6"/>
        <w:snapToGrid w:val="0"/>
        <w:spacing w:line="440" w:lineRule="exact"/>
        <w:ind w:firstLine="2408" w:firstLineChars="1147"/>
        <w:rPr>
          <w:rFonts w:hint="eastAsia" w:ascii="宋体" w:hAnsi="宋体" w:eastAsia="宋体"/>
          <w:bCs/>
          <w:kern w:val="2"/>
          <w:sz w:val="21"/>
          <w:szCs w:val="21"/>
          <w:highlight w:val="none"/>
        </w:rPr>
      </w:pPr>
    </w:p>
    <w:p>
      <w:pPr>
        <w:pStyle w:val="6"/>
        <w:snapToGrid w:val="0"/>
        <w:spacing w:line="440" w:lineRule="exact"/>
        <w:ind w:firstLine="2408" w:firstLineChars="1147"/>
        <w:rPr>
          <w:rFonts w:hint="eastAsia" w:ascii="宋体" w:hAnsi="宋体" w:eastAsia="宋体"/>
          <w:bCs/>
          <w:kern w:val="2"/>
          <w:sz w:val="21"/>
          <w:szCs w:val="21"/>
          <w:highlight w:val="none"/>
        </w:rPr>
      </w:pPr>
    </w:p>
    <w:p>
      <w:pPr>
        <w:pStyle w:val="6"/>
        <w:snapToGrid w:val="0"/>
        <w:spacing w:line="440" w:lineRule="exact"/>
        <w:ind w:firstLine="2408" w:firstLineChars="1147"/>
        <w:rPr>
          <w:rFonts w:hint="eastAsia" w:ascii="宋体" w:hAnsi="宋体" w:eastAsia="宋体"/>
          <w:bCs/>
          <w:kern w:val="2"/>
          <w:sz w:val="21"/>
          <w:szCs w:val="21"/>
          <w:highlight w:val="none"/>
          <w:lang w:eastAsia="zh-CN"/>
        </w:rPr>
      </w:pPr>
    </w:p>
    <w:p>
      <w:pPr>
        <w:pStyle w:val="35"/>
        <w:numPr>
          <w:ilvl w:val="0"/>
          <w:numId w:val="0"/>
        </w:numPr>
        <w:tabs>
          <w:tab w:val="left" w:pos="0"/>
        </w:tabs>
        <w:snapToGrid w:val="0"/>
        <w:spacing w:before="120" w:after="120" w:line="440" w:lineRule="exact"/>
        <w:ind w:leftChars="0"/>
        <w:jc w:val="left"/>
        <w:outlineLvl w:val="1"/>
        <w:rPr>
          <w:rFonts w:ascii="宋体" w:hAnsi="宋体"/>
          <w:sz w:val="28"/>
          <w:szCs w:val="24"/>
          <w:highlight w:val="none"/>
        </w:rPr>
      </w:pPr>
      <w:r>
        <w:rPr>
          <w:rFonts w:hint="eastAsia" w:ascii="宋体" w:hAnsi="宋体"/>
          <w:sz w:val="28"/>
          <w:szCs w:val="24"/>
          <w:highlight w:val="none"/>
          <w:lang w:val="en-US" w:eastAsia="zh-CN"/>
        </w:rPr>
        <w:t>1.</w:t>
      </w:r>
      <w:r>
        <w:rPr>
          <w:rFonts w:hint="eastAsia" w:ascii="宋体" w:hAnsi="宋体"/>
          <w:sz w:val="28"/>
          <w:szCs w:val="24"/>
          <w:highlight w:val="none"/>
        </w:rPr>
        <w:t>参选一览表</w:t>
      </w:r>
      <w:r>
        <w:rPr>
          <w:rFonts w:hint="eastAsia" w:ascii="宋体" w:hAnsi="宋体"/>
          <w:sz w:val="28"/>
          <w:szCs w:val="24"/>
          <w:highlight w:val="none"/>
          <w:lang w:eastAsia="zh-CN"/>
        </w:rPr>
        <w:t>（</w:t>
      </w:r>
      <w:r>
        <w:rPr>
          <w:rFonts w:hint="eastAsia" w:ascii="宋体" w:hAnsi="宋体"/>
          <w:sz w:val="28"/>
          <w:szCs w:val="24"/>
          <w:highlight w:val="none"/>
          <w:lang w:val="en-US" w:eastAsia="zh-CN"/>
        </w:rPr>
        <w:t>标段二</w:t>
      </w:r>
      <w:r>
        <w:rPr>
          <w:rFonts w:hint="eastAsia" w:ascii="宋体" w:hAnsi="宋体"/>
          <w:sz w:val="28"/>
          <w:szCs w:val="24"/>
          <w:highlight w:val="none"/>
          <w:lang w:eastAsia="zh-CN"/>
        </w:rPr>
        <w:t>）</w:t>
      </w:r>
    </w:p>
    <w:p>
      <w:pPr>
        <w:jc w:val="center"/>
        <w:rPr>
          <w:rFonts w:ascii="宋体" w:hAnsi="宋体" w:cs="宋体"/>
          <w:b/>
          <w:sz w:val="24"/>
          <w:highlight w:val="none"/>
        </w:rPr>
      </w:pPr>
      <w:r>
        <w:rPr>
          <w:rFonts w:hint="eastAsia" w:ascii="宋体" w:hAnsi="宋体" w:cs="宋体"/>
          <w:b/>
          <w:sz w:val="24"/>
          <w:highlight w:val="none"/>
        </w:rPr>
        <w:t>参选一览表</w:t>
      </w:r>
    </w:p>
    <w:p>
      <w:pPr>
        <w:widowControl/>
        <w:rPr>
          <w:rFonts w:ascii="宋体" w:hAnsi="宋体" w:cs="宋体"/>
          <w:szCs w:val="21"/>
          <w:highlight w:val="none"/>
        </w:rPr>
      </w:pPr>
    </w:p>
    <w:p>
      <w:pPr>
        <w:rPr>
          <w:rFonts w:ascii="宋体" w:hAnsi="宋体" w:cs="宋体"/>
          <w:szCs w:val="21"/>
          <w:highlight w:val="none"/>
        </w:rPr>
      </w:pPr>
      <w:r>
        <w:rPr>
          <w:rFonts w:hint="eastAsia" w:ascii="宋体" w:hAnsi="宋体" w:cs="宋体"/>
          <w:szCs w:val="21"/>
          <w:highlight w:val="none"/>
        </w:rPr>
        <w:t>项目名称：___________________   比选代理机构编号</w:t>
      </w:r>
      <w:r>
        <w:rPr>
          <w:rFonts w:ascii="宋体" w:hAnsi="宋体" w:cs="宋体"/>
          <w:szCs w:val="21"/>
          <w:highlight w:val="none"/>
        </w:rPr>
        <w:t>：</w:t>
      </w:r>
    </w:p>
    <w:tbl>
      <w:tblPr>
        <w:tblStyle w:val="37"/>
        <w:tblW w:w="851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3420"/>
        <w:gridCol w:w="43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7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ascii="宋体" w:hAnsi="宋体" w:cs="宋体"/>
                <w:szCs w:val="21"/>
                <w:highlight w:val="none"/>
              </w:rPr>
            </w:pPr>
            <w:r>
              <w:rPr>
                <w:rFonts w:hint="eastAsia" w:ascii="宋体" w:hAnsi="宋体" w:cs="宋体"/>
                <w:szCs w:val="21"/>
                <w:highlight w:val="none"/>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ascii="宋体" w:hAnsi="宋体" w:cs="宋体"/>
                <w:szCs w:val="21"/>
                <w:highlight w:val="none"/>
              </w:rPr>
            </w:pPr>
            <w:r>
              <w:rPr>
                <w:rFonts w:hint="eastAsia" w:ascii="宋体" w:hAnsi="宋体" w:cs="宋体"/>
                <w:szCs w:val="21"/>
                <w:highlight w:val="none"/>
              </w:rPr>
              <w:t>项目</w:t>
            </w:r>
          </w:p>
        </w:tc>
        <w:tc>
          <w:tcPr>
            <w:tcW w:w="4371"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ascii="宋体" w:hAnsi="宋体" w:cs="宋体"/>
                <w:szCs w:val="21"/>
                <w:highlight w:val="none"/>
              </w:rPr>
            </w:pPr>
            <w:r>
              <w:rPr>
                <w:rFonts w:hint="eastAsia" w:ascii="宋体" w:hAnsi="宋体" w:cs="宋体"/>
                <w:szCs w:val="21"/>
                <w:highlight w:val="none"/>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3" w:hRule="atLeast"/>
        </w:trPr>
        <w:tc>
          <w:tcPr>
            <w:tcW w:w="720" w:type="dxa"/>
            <w:tcBorders>
              <w:top w:val="single" w:color="auto" w:sz="4" w:space="0"/>
              <w:left w:val="single" w:color="auto" w:sz="4" w:space="0"/>
              <w:bottom w:val="single" w:color="auto" w:sz="4" w:space="0"/>
              <w:right w:val="single" w:color="auto" w:sz="4" w:space="0"/>
            </w:tcBorders>
            <w:shd w:val="clear" w:color="auto" w:fill="auto"/>
            <w:vAlign w:val="center"/>
          </w:tcPr>
          <w:p>
            <w:pPr>
              <w:numPr>
                <w:ilvl w:val="0"/>
                <w:numId w:val="0"/>
              </w:numPr>
              <w:adjustRightInd w:val="0"/>
              <w:snapToGrid w:val="0"/>
              <w:ind w:leftChars="0"/>
              <w:jc w:val="both"/>
              <w:rPr>
                <w:rFonts w:hint="eastAsia" w:ascii="宋体" w:hAnsi="宋体" w:eastAsia="宋体" w:cs="宋体"/>
                <w:szCs w:val="21"/>
                <w:highlight w:val="none"/>
                <w:lang w:val="en-US" w:eastAsia="zh-CN"/>
              </w:rPr>
            </w:pPr>
            <w:r>
              <w:rPr>
                <w:rFonts w:hint="eastAsia" w:ascii="宋体" w:hAnsi="宋体" w:cs="宋体"/>
                <w:szCs w:val="21"/>
                <w:highlight w:val="none"/>
                <w:lang w:val="en-US" w:eastAsia="zh-CN"/>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hint="eastAsia" w:ascii="宋体" w:hAnsi="宋体" w:eastAsia="宋体" w:cs="宋体"/>
                <w:szCs w:val="21"/>
                <w:highlight w:val="none"/>
                <w:lang w:eastAsia="zh-CN"/>
              </w:rPr>
            </w:pPr>
            <w:r>
              <w:rPr>
                <w:rFonts w:hint="eastAsia" w:ascii="宋体" w:hAnsi="宋体" w:cs="宋体"/>
                <w:szCs w:val="21"/>
                <w:highlight w:val="none"/>
              </w:rPr>
              <w:t>参选</w:t>
            </w:r>
            <w:r>
              <w:rPr>
                <w:rFonts w:hint="eastAsia" w:ascii="宋体" w:hAnsi="宋体" w:cs="宋体"/>
                <w:szCs w:val="21"/>
                <w:highlight w:val="none"/>
                <w:lang w:val="en-US" w:eastAsia="zh-CN"/>
              </w:rPr>
              <w:t>总报价（不含税）</w:t>
            </w:r>
          </w:p>
        </w:tc>
        <w:tc>
          <w:tcPr>
            <w:tcW w:w="4371"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hint="eastAsia" w:ascii="宋体" w:hAnsi="宋体" w:eastAsia="宋体" w:cs="宋体"/>
                <w:szCs w:val="21"/>
                <w:highlight w:val="none"/>
                <w:u w:val="single"/>
                <w:lang w:eastAsia="zh-CN"/>
              </w:rPr>
            </w:pPr>
            <w:r>
              <w:rPr>
                <w:rFonts w:hAnsi="宋体"/>
                <w:bCs/>
                <w:szCs w:val="21"/>
                <w:highlight w:val="none"/>
                <w:u w:val="single"/>
              </w:rPr>
              <w:t xml:space="preserve">        </w:t>
            </w:r>
            <w:r>
              <w:rPr>
                <w:rFonts w:hint="eastAsia" w:hAnsi="宋体"/>
                <w:bCs/>
                <w:szCs w:val="21"/>
                <w:highlight w:val="none"/>
                <w:lang w:val="en-US" w:eastAsia="zh-CN"/>
              </w:rPr>
              <w:t>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3" w:hRule="atLeast"/>
        </w:trPr>
        <w:tc>
          <w:tcPr>
            <w:tcW w:w="720" w:type="dxa"/>
            <w:tcBorders>
              <w:top w:val="single" w:color="auto" w:sz="4" w:space="0"/>
              <w:left w:val="single" w:color="auto" w:sz="4" w:space="0"/>
              <w:bottom w:val="single" w:color="auto" w:sz="4" w:space="0"/>
              <w:right w:val="single" w:color="auto" w:sz="4" w:space="0"/>
            </w:tcBorders>
            <w:shd w:val="clear" w:color="auto" w:fill="auto"/>
            <w:vAlign w:val="center"/>
          </w:tcPr>
          <w:p>
            <w:pPr>
              <w:numPr>
                <w:ilvl w:val="0"/>
                <w:numId w:val="0"/>
              </w:numPr>
              <w:adjustRightInd w:val="0"/>
              <w:snapToGrid w:val="0"/>
              <w:ind w:leftChars="0"/>
              <w:jc w:val="both"/>
              <w:rPr>
                <w:rFonts w:hint="eastAsia" w:ascii="宋体" w:hAnsi="宋体" w:eastAsia="宋体" w:cs="宋体"/>
                <w:szCs w:val="21"/>
                <w:highlight w:val="none"/>
                <w:lang w:val="en-US" w:eastAsia="zh-CN"/>
              </w:rPr>
            </w:pPr>
            <w:r>
              <w:rPr>
                <w:rFonts w:hint="eastAsia" w:ascii="宋体" w:hAnsi="宋体" w:cs="宋体"/>
                <w:szCs w:val="21"/>
                <w:highlight w:val="none"/>
                <w:lang w:val="en-US" w:eastAsia="zh-CN"/>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hint="eastAsia" w:ascii="宋体" w:hAnsi="宋体" w:cs="宋体"/>
                <w:szCs w:val="21"/>
                <w:highlight w:val="none"/>
              </w:rPr>
            </w:pPr>
            <w:r>
              <w:rPr>
                <w:rFonts w:hint="eastAsia" w:ascii="宋体" w:hAnsi="宋体" w:cs="宋体"/>
                <w:szCs w:val="21"/>
                <w:highlight w:val="none"/>
              </w:rPr>
              <w:t>参选</w:t>
            </w:r>
            <w:r>
              <w:rPr>
                <w:rFonts w:hint="eastAsia" w:ascii="宋体" w:hAnsi="宋体" w:cs="宋体"/>
                <w:szCs w:val="21"/>
                <w:highlight w:val="none"/>
                <w:lang w:val="en-US" w:eastAsia="zh-CN"/>
              </w:rPr>
              <w:t>总报价（含税）</w:t>
            </w:r>
          </w:p>
        </w:tc>
        <w:tc>
          <w:tcPr>
            <w:tcW w:w="4371"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center"/>
              <w:rPr>
                <w:rFonts w:hAnsi="宋体"/>
                <w:bCs/>
                <w:szCs w:val="21"/>
                <w:highlight w:val="none"/>
                <w:u w:val="single"/>
              </w:rPr>
            </w:pPr>
            <w:r>
              <w:rPr>
                <w:rFonts w:hAnsi="宋体"/>
                <w:bCs/>
                <w:szCs w:val="21"/>
                <w:highlight w:val="none"/>
                <w:u w:val="single"/>
              </w:rPr>
              <w:t xml:space="preserve">        </w:t>
            </w:r>
            <w:r>
              <w:rPr>
                <w:rFonts w:hint="eastAsia" w:hAnsi="宋体"/>
                <w:bCs/>
                <w:szCs w:val="21"/>
                <w:highlight w:val="none"/>
                <w:lang w:val="en-US" w:eastAsia="zh-CN"/>
              </w:rPr>
              <w:t>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7" w:hRule="atLeast"/>
        </w:trPr>
        <w:tc>
          <w:tcPr>
            <w:tcW w:w="720" w:type="dxa"/>
            <w:tcBorders>
              <w:top w:val="single" w:color="auto" w:sz="4" w:space="0"/>
              <w:left w:val="single" w:color="auto" w:sz="4" w:space="0"/>
              <w:bottom w:val="single" w:color="auto" w:sz="4" w:space="0"/>
              <w:right w:val="single" w:color="auto" w:sz="4" w:space="0"/>
            </w:tcBorders>
            <w:shd w:val="clear" w:color="auto" w:fill="auto"/>
            <w:vAlign w:val="center"/>
          </w:tcPr>
          <w:p>
            <w:pPr>
              <w:numPr>
                <w:ilvl w:val="0"/>
                <w:numId w:val="0"/>
              </w:numPr>
              <w:adjustRightInd w:val="0"/>
              <w:snapToGrid w:val="0"/>
              <w:ind w:leftChars="0"/>
              <w:jc w:val="both"/>
              <w:rPr>
                <w:rFonts w:hint="eastAsia" w:ascii="宋体" w:hAnsi="宋体" w:eastAsia="宋体" w:cs="宋体"/>
                <w:szCs w:val="21"/>
                <w:highlight w:val="none"/>
                <w:lang w:val="en-US" w:eastAsia="zh-CN"/>
              </w:rPr>
            </w:pPr>
            <w:r>
              <w:rPr>
                <w:rFonts w:hint="eastAsia" w:ascii="宋体" w:hAnsi="宋体" w:cs="宋体"/>
                <w:szCs w:val="21"/>
                <w:highlight w:val="none"/>
                <w:lang w:val="en-US" w:eastAsia="zh-CN"/>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rFonts w:ascii="宋体" w:hAnsi="宋体" w:cs="宋体"/>
                <w:szCs w:val="21"/>
                <w:highlight w:val="none"/>
              </w:rPr>
            </w:pPr>
            <w:r>
              <w:rPr>
                <w:rFonts w:hint="eastAsia" w:ascii="宋体" w:hAnsi="宋体" w:cs="宋体"/>
                <w:szCs w:val="21"/>
                <w:highlight w:val="none"/>
              </w:rPr>
              <w:t>发票种类</w:t>
            </w:r>
          </w:p>
        </w:tc>
        <w:tc>
          <w:tcPr>
            <w:tcW w:w="4371"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rFonts w:ascii="宋体" w:hAnsi="宋体" w:cs="宋体"/>
                <w:szCs w:val="21"/>
                <w:highlight w:val="none"/>
              </w:rPr>
            </w:pPr>
            <w:r>
              <w:rPr>
                <w:rFonts w:hint="eastAsia" w:ascii="宋体" w:hAnsi="宋体" w:cs="宋体"/>
                <w:szCs w:val="21"/>
                <w:highlight w:val="none"/>
              </w:rPr>
              <w:t>增值税专用发票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7" w:hRule="atLeast"/>
        </w:trPr>
        <w:tc>
          <w:tcPr>
            <w:tcW w:w="720" w:type="dxa"/>
            <w:tcBorders>
              <w:top w:val="single" w:color="auto" w:sz="4" w:space="0"/>
              <w:left w:val="single" w:color="auto" w:sz="4" w:space="0"/>
              <w:bottom w:val="single" w:color="auto" w:sz="4" w:space="0"/>
              <w:right w:val="single" w:color="auto" w:sz="4" w:space="0"/>
            </w:tcBorders>
            <w:shd w:val="clear" w:color="auto" w:fill="auto"/>
            <w:vAlign w:val="center"/>
          </w:tcPr>
          <w:p>
            <w:pPr>
              <w:numPr>
                <w:ilvl w:val="0"/>
                <w:numId w:val="0"/>
              </w:numPr>
              <w:adjustRightInd w:val="0"/>
              <w:snapToGrid w:val="0"/>
              <w:ind w:leftChars="0"/>
              <w:jc w:val="both"/>
              <w:rPr>
                <w:rFonts w:hint="eastAsia" w:ascii="宋体" w:hAnsi="宋体" w:eastAsia="宋体" w:cs="宋体"/>
                <w:szCs w:val="21"/>
                <w:highlight w:val="none"/>
                <w:lang w:val="en-US" w:eastAsia="zh-CN"/>
              </w:rPr>
            </w:pPr>
            <w:r>
              <w:rPr>
                <w:rFonts w:hint="eastAsia" w:ascii="宋体" w:hAnsi="宋体" w:cs="宋体"/>
                <w:szCs w:val="21"/>
                <w:highlight w:val="none"/>
                <w:lang w:val="en-US" w:eastAsia="zh-CN"/>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rFonts w:hint="eastAsia" w:ascii="宋体" w:hAnsi="宋体" w:cs="宋体"/>
                <w:szCs w:val="21"/>
                <w:highlight w:val="none"/>
              </w:rPr>
            </w:pPr>
            <w:r>
              <w:rPr>
                <w:rFonts w:hint="eastAsia" w:ascii="宋体" w:hAnsi="宋体" w:cs="宋体"/>
                <w:szCs w:val="21"/>
                <w:highlight w:val="none"/>
                <w:lang w:val="en-US" w:eastAsia="zh-CN"/>
              </w:rPr>
              <w:t>增值税税率</w:t>
            </w:r>
          </w:p>
        </w:tc>
        <w:tc>
          <w:tcPr>
            <w:tcW w:w="4371"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rFonts w:hint="eastAsia" w:ascii="宋体" w:hAnsi="宋体" w:cs="宋体"/>
                <w:szCs w:val="21"/>
                <w:highlight w:val="none"/>
              </w:rPr>
            </w:pPr>
            <w:r>
              <w:rPr>
                <w:rFonts w:hint="eastAsia" w:hAnsi="宋体"/>
                <w:bCs/>
                <w:szCs w:val="21"/>
                <w:highlight w:val="none"/>
                <w:u w:val="single"/>
                <w:lang w:val="en-US" w:eastAsia="zh-CN"/>
              </w:rPr>
              <w:t>6</w:t>
            </w:r>
            <w:r>
              <w:rPr>
                <w:rFonts w:hint="eastAsia" w:ascii="宋体" w:hAnsi="宋体" w:cs="宋体"/>
                <w:szCs w:val="21"/>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8511"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afterAutospacing="1"/>
              <w:jc w:val="left"/>
              <w:rPr>
                <w:rFonts w:ascii="宋体" w:hAnsi="宋体" w:cs="宋体"/>
                <w:szCs w:val="21"/>
                <w:highlight w:val="none"/>
              </w:rPr>
            </w:pPr>
            <w:r>
              <w:rPr>
                <w:rFonts w:hint="eastAsia" w:ascii="宋体" w:hAnsi="宋体" w:cs="宋体"/>
                <w:szCs w:val="21"/>
                <w:highlight w:val="none"/>
              </w:rPr>
              <w:t>备注：</w:t>
            </w:r>
          </w:p>
        </w:tc>
      </w:tr>
    </w:tbl>
    <w:p>
      <w:pPr>
        <w:jc w:val="left"/>
        <w:rPr>
          <w:rFonts w:ascii="宋体" w:hAnsi="宋体" w:cs="宋体"/>
          <w:bCs/>
          <w:szCs w:val="21"/>
          <w:highlight w:val="none"/>
        </w:rPr>
      </w:pPr>
    </w:p>
    <w:p>
      <w:pPr>
        <w:spacing w:line="360" w:lineRule="auto"/>
        <w:ind w:left="630" w:hanging="630" w:hangingChars="300"/>
        <w:rPr>
          <w:rFonts w:ascii="宋体" w:hAnsi="宋体" w:cs="宋体"/>
          <w:bCs/>
          <w:szCs w:val="21"/>
          <w:highlight w:val="none"/>
        </w:rPr>
      </w:pPr>
      <w:r>
        <w:rPr>
          <w:rFonts w:hint="eastAsia" w:ascii="宋体" w:hAnsi="宋体" w:cs="宋体"/>
          <w:bCs/>
          <w:szCs w:val="21"/>
          <w:highlight w:val="none"/>
        </w:rPr>
        <w:t>注：</w:t>
      </w:r>
    </w:p>
    <w:p>
      <w:pPr>
        <w:pStyle w:val="104"/>
        <w:numPr>
          <w:ilvl w:val="3"/>
          <w:numId w:val="32"/>
        </w:numPr>
        <w:spacing w:line="360" w:lineRule="auto"/>
        <w:ind w:firstLineChars="0"/>
        <w:rPr>
          <w:rFonts w:ascii="宋体" w:hAnsi="宋体" w:cs="宋体"/>
          <w:bCs/>
          <w:szCs w:val="21"/>
          <w:highlight w:val="none"/>
        </w:rPr>
      </w:pPr>
      <w:r>
        <w:rPr>
          <w:rFonts w:hint="eastAsia" w:ascii="宋体" w:hAnsi="宋体" w:cs="宋体"/>
          <w:bCs/>
          <w:szCs w:val="21"/>
          <w:highlight w:val="none"/>
        </w:rPr>
        <w:t>参选人根据技术规范的相关要求及服务内容，对第五章项目技术和服务要求报</w:t>
      </w:r>
      <w:r>
        <w:rPr>
          <w:rFonts w:hint="eastAsia" w:ascii="宋体" w:hAnsi="宋体" w:cs="宋体"/>
          <w:szCs w:val="21"/>
          <w:highlight w:val="none"/>
          <w:lang w:val="en-US" w:eastAsia="zh-CN"/>
        </w:rPr>
        <w:t>价</w:t>
      </w:r>
      <w:r>
        <w:rPr>
          <w:rFonts w:hint="eastAsia" w:ascii="宋体" w:hAnsi="宋体" w:cs="宋体"/>
          <w:bCs/>
          <w:szCs w:val="21"/>
          <w:highlight w:val="none"/>
        </w:rPr>
        <w:t>，</w:t>
      </w:r>
      <w:r>
        <w:rPr>
          <w:rFonts w:hint="eastAsia" w:ascii="宋体" w:hAnsi="宋体" w:cs="宋体"/>
          <w:b/>
          <w:bCs w:val="0"/>
          <w:szCs w:val="21"/>
          <w:highlight w:val="none"/>
        </w:rPr>
        <w:t>标段二：参选总报价（含税）不得超过</w:t>
      </w:r>
      <w:r>
        <w:rPr>
          <w:rFonts w:hint="eastAsia" w:ascii="宋体" w:hAnsi="宋体"/>
          <w:b/>
          <w:bCs/>
          <w:szCs w:val="21"/>
          <w:highlight w:val="none"/>
          <w:lang w:val="en-US" w:eastAsia="zh-CN"/>
        </w:rPr>
        <w:t>535150.00</w:t>
      </w:r>
      <w:bookmarkStart w:id="981" w:name="_GoBack"/>
      <w:bookmarkEnd w:id="981"/>
      <w:r>
        <w:rPr>
          <w:rFonts w:hint="eastAsia" w:ascii="宋体" w:hAnsi="宋体" w:cs="宋体"/>
          <w:b/>
          <w:bCs w:val="0"/>
          <w:szCs w:val="21"/>
          <w:highlight w:val="none"/>
        </w:rPr>
        <w:t>元。</w:t>
      </w:r>
      <w:r>
        <w:rPr>
          <w:rFonts w:hint="eastAsia" w:ascii="宋体" w:hAnsi="宋体" w:cs="宋体"/>
          <w:bCs/>
          <w:szCs w:val="21"/>
          <w:highlight w:val="none"/>
        </w:rPr>
        <w:t>参选</w:t>
      </w:r>
      <w:r>
        <w:rPr>
          <w:rFonts w:hint="eastAsia" w:ascii="宋体" w:hAnsi="宋体" w:cs="宋体"/>
          <w:bCs/>
          <w:szCs w:val="21"/>
          <w:highlight w:val="none"/>
          <w:lang w:val="en-US" w:eastAsia="zh-CN"/>
        </w:rPr>
        <w:t>报价</w:t>
      </w:r>
      <w:r>
        <w:rPr>
          <w:rFonts w:hint="eastAsia" w:ascii="宋体" w:hAnsi="宋体" w:cs="宋体"/>
          <w:bCs/>
          <w:szCs w:val="21"/>
          <w:highlight w:val="none"/>
        </w:rPr>
        <w:t>不得</w:t>
      </w:r>
      <w:r>
        <w:rPr>
          <w:rFonts w:hint="eastAsia" w:ascii="宋体" w:hAnsi="宋体" w:cs="宋体"/>
          <w:bCs/>
          <w:szCs w:val="21"/>
          <w:highlight w:val="none"/>
          <w:lang w:val="en-US" w:eastAsia="zh-CN"/>
        </w:rPr>
        <w:t>高于最高限价</w:t>
      </w:r>
      <w:r>
        <w:rPr>
          <w:rFonts w:hint="eastAsia" w:ascii="宋体" w:hAnsi="宋体" w:cs="宋体"/>
          <w:bCs/>
          <w:szCs w:val="21"/>
          <w:highlight w:val="none"/>
        </w:rPr>
        <w:t>。参选人参选报价高于最高参选限价的其参选将被否决。</w:t>
      </w:r>
    </w:p>
    <w:p>
      <w:pPr>
        <w:pStyle w:val="104"/>
        <w:numPr>
          <w:ilvl w:val="3"/>
          <w:numId w:val="32"/>
        </w:numPr>
        <w:spacing w:line="360" w:lineRule="auto"/>
        <w:ind w:firstLineChars="0"/>
        <w:rPr>
          <w:rFonts w:ascii="宋体" w:hAnsi="宋体" w:cs="宋体"/>
          <w:bCs/>
          <w:szCs w:val="21"/>
          <w:highlight w:val="none"/>
        </w:rPr>
      </w:pPr>
      <w:r>
        <w:rPr>
          <w:rFonts w:hint="eastAsia" w:ascii="宋体" w:hAnsi="宋体" w:cs="宋体"/>
          <w:bCs/>
          <w:szCs w:val="21"/>
          <w:highlight w:val="none"/>
        </w:rPr>
        <w:t>报价包含货物及其附件的设计、采购、制造、检测、试验、运输、装卸、保险、现场仓储、税费以及安装、验收、培训、技术服务、质保期保障的维修保养服务、不可预见等完成本比选内容所需的一切费用；</w:t>
      </w:r>
    </w:p>
    <w:p>
      <w:pPr>
        <w:pStyle w:val="104"/>
        <w:numPr>
          <w:ilvl w:val="3"/>
          <w:numId w:val="32"/>
        </w:numPr>
        <w:spacing w:line="360" w:lineRule="auto"/>
        <w:ind w:firstLineChars="0"/>
        <w:rPr>
          <w:rFonts w:ascii="宋体" w:hAnsi="宋体" w:eastAsia="宋体"/>
          <w:bCs/>
          <w:kern w:val="2"/>
          <w:sz w:val="21"/>
          <w:szCs w:val="21"/>
          <w:highlight w:val="none"/>
        </w:rPr>
      </w:pPr>
      <w:r>
        <w:rPr>
          <w:rFonts w:hint="eastAsia" w:ascii="宋体" w:hAnsi="宋体" w:cs="宋体"/>
          <w:bCs/>
          <w:szCs w:val="21"/>
          <w:highlight w:val="none"/>
        </w:rPr>
        <w:t>参选人提供的产品或服务，须不低于比选人及比选人客户的要求，最终由比选人与客户签订的合同及要求确定。如参选人提供的产品或服务不满足比选人或比选人客户的要求，比选人有权终止合同，并保留追究违约及赔偿的权利。</w:t>
      </w:r>
    </w:p>
    <w:p>
      <w:pPr>
        <w:pStyle w:val="6"/>
        <w:snapToGrid w:val="0"/>
        <w:spacing w:line="440" w:lineRule="exact"/>
        <w:ind w:firstLine="2408" w:firstLineChars="1147"/>
        <w:rPr>
          <w:rFonts w:ascii="宋体" w:hAnsi="宋体" w:eastAsia="宋体"/>
          <w:bCs/>
          <w:kern w:val="2"/>
          <w:sz w:val="21"/>
          <w:szCs w:val="21"/>
          <w:highlight w:val="none"/>
        </w:rPr>
      </w:pPr>
    </w:p>
    <w:p>
      <w:pPr>
        <w:pStyle w:val="6"/>
        <w:snapToGrid w:val="0"/>
        <w:spacing w:line="440" w:lineRule="exact"/>
        <w:ind w:firstLine="2408" w:firstLineChars="1147"/>
        <w:rPr>
          <w:rFonts w:ascii="宋体" w:hAnsi="宋体" w:eastAsia="宋体"/>
          <w:bCs/>
          <w:kern w:val="2"/>
          <w:sz w:val="21"/>
          <w:szCs w:val="21"/>
          <w:highlight w:val="none"/>
          <w:u w:val="single"/>
        </w:rPr>
      </w:pPr>
      <w:r>
        <w:rPr>
          <w:rFonts w:hint="eastAsia" w:ascii="宋体" w:hAnsi="宋体" w:eastAsia="宋体"/>
          <w:bCs/>
          <w:kern w:val="2"/>
          <w:sz w:val="21"/>
          <w:szCs w:val="21"/>
          <w:highlight w:val="none"/>
        </w:rPr>
        <w:t>参选人：（盖单位公章）</w:t>
      </w:r>
    </w:p>
    <w:p>
      <w:pPr>
        <w:pStyle w:val="6"/>
        <w:snapToGrid w:val="0"/>
        <w:spacing w:line="440" w:lineRule="exact"/>
        <w:ind w:firstLine="2408" w:firstLineChars="1147"/>
        <w:rPr>
          <w:rFonts w:ascii="宋体" w:hAnsi="宋体" w:eastAsia="宋体"/>
          <w:bCs/>
          <w:kern w:val="2"/>
          <w:sz w:val="21"/>
          <w:szCs w:val="21"/>
          <w:highlight w:val="none"/>
          <w:u w:val="single"/>
        </w:rPr>
      </w:pPr>
      <w:r>
        <w:rPr>
          <w:rFonts w:hint="eastAsia" w:ascii="宋体" w:hAnsi="宋体" w:eastAsia="宋体"/>
          <w:bCs/>
          <w:kern w:val="2"/>
          <w:sz w:val="21"/>
          <w:szCs w:val="21"/>
          <w:highlight w:val="none"/>
        </w:rPr>
        <w:t>法定代表人（负责人）或者其委托代理人：（签字）</w:t>
      </w:r>
    </w:p>
    <w:p>
      <w:pPr>
        <w:pStyle w:val="6"/>
        <w:snapToGrid w:val="0"/>
        <w:spacing w:line="440" w:lineRule="exact"/>
        <w:ind w:firstLine="2408" w:firstLineChars="1147"/>
        <w:rPr>
          <w:rFonts w:ascii="宋体" w:hAnsi="宋体" w:eastAsia="宋体"/>
          <w:bCs/>
          <w:kern w:val="2"/>
          <w:sz w:val="21"/>
          <w:szCs w:val="21"/>
          <w:highlight w:val="none"/>
        </w:rPr>
      </w:pPr>
      <w:r>
        <w:rPr>
          <w:rFonts w:hint="eastAsia" w:ascii="宋体" w:hAnsi="宋体" w:eastAsia="宋体"/>
          <w:bCs/>
          <w:kern w:val="2"/>
          <w:sz w:val="21"/>
          <w:szCs w:val="21"/>
          <w:highlight w:val="none"/>
        </w:rPr>
        <w:t>日期：XX年XX月XX日</w:t>
      </w:r>
    </w:p>
    <w:p>
      <w:pPr>
        <w:rPr>
          <w:rFonts w:ascii="宋体" w:hAnsi="宋体" w:cs="宋体"/>
          <w:b/>
          <w:color w:val="auto"/>
          <w:sz w:val="24"/>
          <w:highlight w:val="none"/>
        </w:rPr>
      </w:pPr>
    </w:p>
    <w:p>
      <w:pPr>
        <w:widowControl/>
        <w:rPr>
          <w:rFonts w:ascii="宋体" w:hAnsi="宋体" w:cs="宋体"/>
          <w:color w:val="auto"/>
          <w:szCs w:val="21"/>
          <w:highlight w:val="none"/>
        </w:rPr>
      </w:pPr>
    </w:p>
    <w:p>
      <w:pPr>
        <w:pStyle w:val="35"/>
        <w:numPr>
          <w:ilvl w:val="0"/>
          <w:numId w:val="31"/>
        </w:numPr>
        <w:tabs>
          <w:tab w:val="left" w:pos="0"/>
        </w:tabs>
        <w:snapToGrid w:val="0"/>
        <w:spacing w:before="120" w:after="120" w:line="440" w:lineRule="exact"/>
        <w:jc w:val="left"/>
        <w:outlineLvl w:val="1"/>
        <w:rPr>
          <w:rFonts w:ascii="宋体" w:hAnsi="宋体"/>
          <w:color w:val="auto"/>
          <w:sz w:val="28"/>
          <w:szCs w:val="24"/>
          <w:highlight w:val="none"/>
        </w:rPr>
      </w:pPr>
      <w:bookmarkStart w:id="944" w:name="_Toc7306"/>
      <w:bookmarkStart w:id="945" w:name="_Toc17203060"/>
      <w:bookmarkStart w:id="946" w:name="_Toc17203575"/>
      <w:bookmarkStart w:id="947" w:name="_Toc17202860"/>
      <w:r>
        <w:rPr>
          <w:rFonts w:hint="eastAsia" w:ascii="宋体" w:hAnsi="宋体"/>
          <w:color w:val="auto"/>
          <w:sz w:val="28"/>
          <w:szCs w:val="24"/>
          <w:highlight w:val="none"/>
        </w:rPr>
        <w:t>报价文件（分项报价表）</w:t>
      </w:r>
      <w:bookmarkEnd w:id="944"/>
      <w:bookmarkEnd w:id="945"/>
      <w:bookmarkEnd w:id="946"/>
      <w:bookmarkEnd w:id="947"/>
    </w:p>
    <w:p>
      <w:pPr>
        <w:snapToGrid w:val="0"/>
        <w:spacing w:line="440" w:lineRule="exact"/>
        <w:jc w:val="left"/>
        <w:rPr>
          <w:rFonts w:hint="default" w:ascii="宋体" w:hAnsi="宋体" w:eastAsia="宋体"/>
          <w:color w:val="auto"/>
          <w:szCs w:val="21"/>
          <w:highlight w:val="none"/>
          <w:lang w:val="en-US" w:eastAsia="zh-CN"/>
        </w:rPr>
      </w:pPr>
      <w:r>
        <w:rPr>
          <w:rFonts w:hint="eastAsia" w:ascii="宋体" w:hAnsi="宋体"/>
          <w:color w:val="auto"/>
          <w:highlight w:val="none"/>
          <w:lang w:val="en-US" w:eastAsia="zh-CN"/>
        </w:rPr>
        <w:t>详见附件一：分项报价表（须提供可编辑版excel表放在U盘中）</w:t>
      </w:r>
    </w:p>
    <w:p>
      <w:pPr>
        <w:pStyle w:val="35"/>
        <w:numPr>
          <w:ilvl w:val="0"/>
          <w:numId w:val="31"/>
        </w:numPr>
        <w:tabs>
          <w:tab w:val="left" w:pos="0"/>
        </w:tabs>
        <w:snapToGrid w:val="0"/>
        <w:spacing w:before="120" w:after="120" w:line="440" w:lineRule="exact"/>
        <w:jc w:val="left"/>
        <w:outlineLvl w:val="1"/>
        <w:rPr>
          <w:rFonts w:ascii="宋体" w:hAnsi="宋体"/>
          <w:color w:val="auto"/>
          <w:sz w:val="28"/>
          <w:szCs w:val="24"/>
          <w:highlight w:val="none"/>
        </w:rPr>
      </w:pPr>
      <w:bookmarkStart w:id="948" w:name="_Toc17203061"/>
      <w:bookmarkStart w:id="949" w:name="_Toc17202861"/>
      <w:bookmarkStart w:id="950" w:name="_Toc9651"/>
      <w:bookmarkStart w:id="951" w:name="_Toc489610818"/>
      <w:bookmarkStart w:id="952" w:name="_Toc17203576"/>
      <w:r>
        <w:rPr>
          <w:rFonts w:hint="eastAsia" w:ascii="宋体" w:hAnsi="宋体"/>
          <w:color w:val="auto"/>
          <w:sz w:val="28"/>
          <w:szCs w:val="24"/>
          <w:highlight w:val="none"/>
        </w:rPr>
        <w:t>供应商税务资质信息表</w:t>
      </w:r>
      <w:bookmarkEnd w:id="948"/>
      <w:bookmarkEnd w:id="949"/>
      <w:bookmarkEnd w:id="950"/>
      <w:bookmarkEnd w:id="951"/>
      <w:bookmarkEnd w:id="952"/>
    </w:p>
    <w:tbl>
      <w:tblPr>
        <w:tblStyle w:val="37"/>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0"/>
        <w:gridCol w:w="1845"/>
        <w:gridCol w:w="1700"/>
        <w:gridCol w:w="1558"/>
        <w:gridCol w:w="1575"/>
        <w:gridCol w:w="12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gridSpan w:val="2"/>
          </w:tcPr>
          <w:p>
            <w:pPr>
              <w:widowControl/>
              <w:spacing w:line="360" w:lineRule="auto"/>
              <w:jc w:val="center"/>
              <w:rPr>
                <w:rFonts w:ascii="仿宋_GB2312"/>
                <w:color w:val="auto"/>
                <w:szCs w:val="21"/>
                <w:highlight w:val="none"/>
              </w:rPr>
            </w:pPr>
            <w:r>
              <w:rPr>
                <w:rFonts w:hint="eastAsia" w:ascii="仿宋_GB2312"/>
                <w:color w:val="auto"/>
                <w:szCs w:val="21"/>
                <w:highlight w:val="none"/>
              </w:rPr>
              <w:t>供应商名称</w:t>
            </w:r>
          </w:p>
        </w:tc>
        <w:tc>
          <w:tcPr>
            <w:tcW w:w="6092" w:type="dxa"/>
            <w:gridSpan w:val="4"/>
          </w:tcPr>
          <w:p>
            <w:pPr>
              <w:widowControl/>
              <w:spacing w:line="360" w:lineRule="auto"/>
              <w:ind w:firstLine="420" w:firstLineChars="200"/>
              <w:jc w:val="left"/>
              <w:rPr>
                <w:rFonts w:ascii="仿宋_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gridSpan w:val="2"/>
          </w:tcPr>
          <w:p>
            <w:pPr>
              <w:widowControl/>
              <w:spacing w:line="360" w:lineRule="auto"/>
              <w:jc w:val="center"/>
              <w:rPr>
                <w:rFonts w:ascii="仿宋_GB2312"/>
                <w:color w:val="auto"/>
                <w:szCs w:val="21"/>
                <w:highlight w:val="none"/>
              </w:rPr>
            </w:pPr>
            <w:r>
              <w:rPr>
                <w:rFonts w:hint="eastAsia" w:ascii="仿宋_GB2312"/>
                <w:color w:val="auto"/>
                <w:szCs w:val="21"/>
                <w:highlight w:val="none"/>
              </w:rPr>
              <w:t>经营范围</w:t>
            </w:r>
          </w:p>
        </w:tc>
        <w:tc>
          <w:tcPr>
            <w:tcW w:w="6092" w:type="dxa"/>
            <w:gridSpan w:val="4"/>
          </w:tcPr>
          <w:p>
            <w:pPr>
              <w:widowControl/>
              <w:spacing w:line="360" w:lineRule="auto"/>
              <w:ind w:firstLine="420" w:firstLineChars="200"/>
              <w:jc w:val="left"/>
              <w:rPr>
                <w:rFonts w:ascii="仿宋_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gridSpan w:val="2"/>
          </w:tcPr>
          <w:p>
            <w:pPr>
              <w:widowControl/>
              <w:spacing w:line="360" w:lineRule="auto"/>
              <w:jc w:val="center"/>
              <w:rPr>
                <w:rFonts w:ascii="仿宋_GB2312"/>
                <w:color w:val="auto"/>
                <w:szCs w:val="21"/>
                <w:highlight w:val="none"/>
              </w:rPr>
            </w:pPr>
            <w:r>
              <w:rPr>
                <w:rFonts w:hint="eastAsia" w:ascii="仿宋_GB2312"/>
                <w:color w:val="auto"/>
                <w:szCs w:val="21"/>
                <w:highlight w:val="none"/>
              </w:rPr>
              <w:t>纳税人类型</w:t>
            </w:r>
          </w:p>
        </w:tc>
        <w:tc>
          <w:tcPr>
            <w:tcW w:w="6092" w:type="dxa"/>
            <w:gridSpan w:val="4"/>
          </w:tcPr>
          <w:p>
            <w:pPr>
              <w:widowControl/>
              <w:spacing w:line="360" w:lineRule="auto"/>
              <w:ind w:firstLine="420" w:firstLineChars="200"/>
              <w:jc w:val="left"/>
              <w:rPr>
                <w:rFonts w:ascii="仿宋_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gridSpan w:val="2"/>
          </w:tcPr>
          <w:p>
            <w:pPr>
              <w:widowControl/>
              <w:spacing w:line="360" w:lineRule="auto"/>
              <w:jc w:val="center"/>
              <w:rPr>
                <w:rFonts w:ascii="仿宋_GB2312"/>
                <w:color w:val="auto"/>
                <w:szCs w:val="21"/>
                <w:highlight w:val="none"/>
              </w:rPr>
            </w:pPr>
            <w:r>
              <w:rPr>
                <w:rFonts w:hint="eastAsia" w:ascii="仿宋_GB2312"/>
                <w:color w:val="auto"/>
                <w:szCs w:val="21"/>
                <w:highlight w:val="none"/>
              </w:rPr>
              <w:t>注册地</w:t>
            </w:r>
          </w:p>
        </w:tc>
        <w:tc>
          <w:tcPr>
            <w:tcW w:w="6092" w:type="dxa"/>
            <w:gridSpan w:val="4"/>
          </w:tcPr>
          <w:p>
            <w:pPr>
              <w:widowControl/>
              <w:spacing w:line="360" w:lineRule="auto"/>
              <w:ind w:firstLine="420" w:firstLineChars="200"/>
              <w:jc w:val="left"/>
              <w:rPr>
                <w:rFonts w:ascii="仿宋_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gridSpan w:val="2"/>
          </w:tcPr>
          <w:p>
            <w:pPr>
              <w:widowControl/>
              <w:spacing w:line="360" w:lineRule="auto"/>
              <w:jc w:val="center"/>
              <w:rPr>
                <w:rFonts w:ascii="仿宋_GB2312"/>
                <w:color w:val="auto"/>
                <w:szCs w:val="21"/>
                <w:highlight w:val="none"/>
              </w:rPr>
            </w:pPr>
            <w:r>
              <w:rPr>
                <w:rFonts w:hint="eastAsia" w:ascii="仿宋_GB2312"/>
                <w:color w:val="auto"/>
                <w:szCs w:val="21"/>
                <w:highlight w:val="none"/>
              </w:rPr>
              <w:t>纳税人识别号</w:t>
            </w:r>
          </w:p>
        </w:tc>
        <w:tc>
          <w:tcPr>
            <w:tcW w:w="6092" w:type="dxa"/>
            <w:gridSpan w:val="4"/>
          </w:tcPr>
          <w:p>
            <w:pPr>
              <w:widowControl/>
              <w:spacing w:line="360" w:lineRule="auto"/>
              <w:ind w:firstLine="420" w:firstLineChars="200"/>
              <w:jc w:val="left"/>
              <w:rPr>
                <w:rFonts w:ascii="仿宋_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gridSpan w:val="2"/>
            <w:vAlign w:val="center"/>
          </w:tcPr>
          <w:p>
            <w:pPr>
              <w:widowControl/>
              <w:spacing w:line="360" w:lineRule="auto"/>
              <w:jc w:val="center"/>
              <w:rPr>
                <w:rFonts w:ascii="仿宋_GB2312"/>
                <w:color w:val="auto"/>
                <w:szCs w:val="21"/>
                <w:highlight w:val="none"/>
              </w:rPr>
            </w:pPr>
            <w:r>
              <w:rPr>
                <w:rFonts w:hint="eastAsia" w:ascii="仿宋_GB2312"/>
                <w:color w:val="auto"/>
                <w:szCs w:val="21"/>
                <w:highlight w:val="none"/>
              </w:rPr>
              <w:t>提供业务类型</w:t>
            </w:r>
          </w:p>
        </w:tc>
        <w:tc>
          <w:tcPr>
            <w:tcW w:w="1700" w:type="dxa"/>
            <w:vAlign w:val="center"/>
          </w:tcPr>
          <w:p>
            <w:pPr>
              <w:widowControl/>
              <w:spacing w:line="360" w:lineRule="auto"/>
              <w:jc w:val="center"/>
              <w:rPr>
                <w:rFonts w:ascii="仿宋_GB2312"/>
                <w:color w:val="auto"/>
                <w:szCs w:val="21"/>
                <w:highlight w:val="none"/>
              </w:rPr>
            </w:pPr>
            <w:r>
              <w:rPr>
                <w:rFonts w:hint="eastAsia" w:ascii="仿宋_GB2312"/>
                <w:color w:val="auto"/>
                <w:szCs w:val="21"/>
                <w:highlight w:val="none"/>
              </w:rPr>
              <w:t>票据名称</w:t>
            </w:r>
          </w:p>
        </w:tc>
        <w:tc>
          <w:tcPr>
            <w:tcW w:w="1558" w:type="dxa"/>
            <w:vAlign w:val="center"/>
          </w:tcPr>
          <w:p>
            <w:pPr>
              <w:widowControl/>
              <w:spacing w:line="360" w:lineRule="auto"/>
              <w:jc w:val="center"/>
              <w:rPr>
                <w:rFonts w:ascii="仿宋_GB2312"/>
                <w:color w:val="auto"/>
                <w:szCs w:val="21"/>
                <w:highlight w:val="none"/>
              </w:rPr>
            </w:pPr>
            <w:r>
              <w:rPr>
                <w:rFonts w:hint="eastAsia" w:ascii="仿宋_GB2312"/>
                <w:color w:val="auto"/>
                <w:szCs w:val="21"/>
                <w:highlight w:val="none"/>
              </w:rPr>
              <w:t>票据类型</w:t>
            </w:r>
          </w:p>
        </w:tc>
        <w:tc>
          <w:tcPr>
            <w:tcW w:w="1575" w:type="dxa"/>
            <w:vAlign w:val="center"/>
          </w:tcPr>
          <w:p>
            <w:pPr>
              <w:widowControl/>
              <w:spacing w:line="360" w:lineRule="auto"/>
              <w:jc w:val="center"/>
              <w:rPr>
                <w:rFonts w:ascii="仿宋_GB2312"/>
                <w:color w:val="auto"/>
                <w:szCs w:val="21"/>
                <w:highlight w:val="none"/>
              </w:rPr>
            </w:pPr>
            <w:r>
              <w:rPr>
                <w:rFonts w:hint="eastAsia" w:ascii="仿宋_GB2312"/>
                <w:color w:val="auto"/>
                <w:szCs w:val="21"/>
                <w:highlight w:val="none"/>
              </w:rPr>
              <w:t>是否为增值税抵扣凭证</w:t>
            </w:r>
          </w:p>
        </w:tc>
        <w:tc>
          <w:tcPr>
            <w:tcW w:w="1259" w:type="dxa"/>
            <w:vAlign w:val="center"/>
          </w:tcPr>
          <w:p>
            <w:pPr>
              <w:widowControl/>
              <w:spacing w:line="360" w:lineRule="auto"/>
              <w:jc w:val="center"/>
              <w:rPr>
                <w:rFonts w:ascii="仿宋_GB2312"/>
                <w:color w:val="auto"/>
                <w:szCs w:val="21"/>
                <w:highlight w:val="none"/>
              </w:rPr>
            </w:pPr>
            <w:r>
              <w:rPr>
                <w:rFonts w:hint="eastAsia" w:ascii="仿宋_GB2312"/>
                <w:color w:val="auto"/>
                <w:szCs w:val="21"/>
                <w:highlight w:val="none"/>
              </w:rPr>
              <w:t>可抵扣增值税率或征收率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0" w:type="dxa"/>
          </w:tcPr>
          <w:p>
            <w:pPr>
              <w:widowControl/>
              <w:spacing w:line="360" w:lineRule="auto"/>
              <w:jc w:val="center"/>
              <w:rPr>
                <w:rFonts w:ascii="仿宋_GB2312"/>
                <w:color w:val="auto"/>
                <w:szCs w:val="21"/>
                <w:highlight w:val="none"/>
              </w:rPr>
            </w:pPr>
            <w:r>
              <w:rPr>
                <w:rFonts w:hint="eastAsia" w:ascii="仿宋_GB2312"/>
                <w:color w:val="auto"/>
                <w:szCs w:val="21"/>
                <w:highlight w:val="none"/>
              </w:rPr>
              <w:t>类型1</w:t>
            </w:r>
          </w:p>
        </w:tc>
        <w:tc>
          <w:tcPr>
            <w:tcW w:w="1845" w:type="dxa"/>
          </w:tcPr>
          <w:p>
            <w:pPr>
              <w:widowControl/>
              <w:spacing w:line="360" w:lineRule="auto"/>
              <w:ind w:firstLine="420" w:firstLineChars="200"/>
              <w:jc w:val="left"/>
              <w:rPr>
                <w:rFonts w:ascii="仿宋_GB2312"/>
                <w:color w:val="auto"/>
                <w:szCs w:val="21"/>
                <w:highlight w:val="none"/>
              </w:rPr>
            </w:pPr>
          </w:p>
        </w:tc>
        <w:tc>
          <w:tcPr>
            <w:tcW w:w="1700" w:type="dxa"/>
          </w:tcPr>
          <w:p>
            <w:pPr>
              <w:widowControl/>
              <w:spacing w:line="360" w:lineRule="auto"/>
              <w:ind w:firstLine="420" w:firstLineChars="200"/>
              <w:jc w:val="left"/>
              <w:rPr>
                <w:rFonts w:ascii="仿宋_GB2312"/>
                <w:color w:val="auto"/>
                <w:szCs w:val="21"/>
                <w:highlight w:val="none"/>
              </w:rPr>
            </w:pPr>
          </w:p>
        </w:tc>
        <w:tc>
          <w:tcPr>
            <w:tcW w:w="1558" w:type="dxa"/>
          </w:tcPr>
          <w:p>
            <w:pPr>
              <w:widowControl/>
              <w:spacing w:line="360" w:lineRule="auto"/>
              <w:ind w:firstLine="420" w:firstLineChars="200"/>
              <w:jc w:val="left"/>
              <w:rPr>
                <w:rFonts w:ascii="仿宋_GB2312"/>
                <w:color w:val="auto"/>
                <w:szCs w:val="21"/>
                <w:highlight w:val="none"/>
              </w:rPr>
            </w:pPr>
          </w:p>
        </w:tc>
        <w:tc>
          <w:tcPr>
            <w:tcW w:w="1575" w:type="dxa"/>
          </w:tcPr>
          <w:p>
            <w:pPr>
              <w:widowControl/>
              <w:spacing w:line="360" w:lineRule="auto"/>
              <w:ind w:firstLine="420" w:firstLineChars="200"/>
              <w:jc w:val="left"/>
              <w:rPr>
                <w:rFonts w:ascii="仿宋_GB2312"/>
                <w:color w:val="auto"/>
                <w:szCs w:val="21"/>
                <w:highlight w:val="none"/>
              </w:rPr>
            </w:pPr>
          </w:p>
        </w:tc>
        <w:tc>
          <w:tcPr>
            <w:tcW w:w="1259" w:type="dxa"/>
          </w:tcPr>
          <w:p>
            <w:pPr>
              <w:widowControl/>
              <w:spacing w:line="360" w:lineRule="auto"/>
              <w:ind w:firstLine="420" w:firstLineChars="200"/>
              <w:jc w:val="left"/>
              <w:rPr>
                <w:rFonts w:ascii="仿宋_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0" w:type="dxa"/>
          </w:tcPr>
          <w:p>
            <w:pPr>
              <w:widowControl/>
              <w:spacing w:line="360" w:lineRule="auto"/>
              <w:jc w:val="center"/>
              <w:rPr>
                <w:rFonts w:ascii="仿宋_GB2312"/>
                <w:color w:val="auto"/>
                <w:szCs w:val="21"/>
                <w:highlight w:val="none"/>
              </w:rPr>
            </w:pPr>
            <w:r>
              <w:rPr>
                <w:rFonts w:hint="eastAsia" w:ascii="仿宋_GB2312"/>
                <w:color w:val="auto"/>
                <w:szCs w:val="21"/>
                <w:highlight w:val="none"/>
              </w:rPr>
              <w:t>类型2</w:t>
            </w:r>
          </w:p>
        </w:tc>
        <w:tc>
          <w:tcPr>
            <w:tcW w:w="1845" w:type="dxa"/>
          </w:tcPr>
          <w:p>
            <w:pPr>
              <w:widowControl/>
              <w:spacing w:line="360" w:lineRule="auto"/>
              <w:ind w:firstLine="420" w:firstLineChars="200"/>
              <w:jc w:val="left"/>
              <w:rPr>
                <w:rFonts w:ascii="仿宋_GB2312"/>
                <w:color w:val="auto"/>
                <w:szCs w:val="21"/>
                <w:highlight w:val="none"/>
              </w:rPr>
            </w:pPr>
          </w:p>
        </w:tc>
        <w:tc>
          <w:tcPr>
            <w:tcW w:w="1700" w:type="dxa"/>
          </w:tcPr>
          <w:p>
            <w:pPr>
              <w:widowControl/>
              <w:spacing w:line="360" w:lineRule="auto"/>
              <w:ind w:firstLine="420" w:firstLineChars="200"/>
              <w:jc w:val="left"/>
              <w:rPr>
                <w:rFonts w:ascii="仿宋_GB2312"/>
                <w:color w:val="auto"/>
                <w:szCs w:val="21"/>
                <w:highlight w:val="none"/>
              </w:rPr>
            </w:pPr>
          </w:p>
        </w:tc>
        <w:tc>
          <w:tcPr>
            <w:tcW w:w="1558" w:type="dxa"/>
          </w:tcPr>
          <w:p>
            <w:pPr>
              <w:widowControl/>
              <w:spacing w:line="360" w:lineRule="auto"/>
              <w:ind w:firstLine="420" w:firstLineChars="200"/>
              <w:jc w:val="left"/>
              <w:rPr>
                <w:rFonts w:ascii="仿宋_GB2312"/>
                <w:color w:val="auto"/>
                <w:szCs w:val="21"/>
                <w:highlight w:val="none"/>
              </w:rPr>
            </w:pPr>
          </w:p>
        </w:tc>
        <w:tc>
          <w:tcPr>
            <w:tcW w:w="1575" w:type="dxa"/>
          </w:tcPr>
          <w:p>
            <w:pPr>
              <w:widowControl/>
              <w:spacing w:line="360" w:lineRule="auto"/>
              <w:ind w:firstLine="420" w:firstLineChars="200"/>
              <w:jc w:val="left"/>
              <w:rPr>
                <w:rFonts w:ascii="仿宋_GB2312"/>
                <w:color w:val="auto"/>
                <w:szCs w:val="21"/>
                <w:highlight w:val="none"/>
              </w:rPr>
            </w:pPr>
          </w:p>
        </w:tc>
        <w:tc>
          <w:tcPr>
            <w:tcW w:w="1259" w:type="dxa"/>
          </w:tcPr>
          <w:p>
            <w:pPr>
              <w:widowControl/>
              <w:spacing w:line="360" w:lineRule="auto"/>
              <w:ind w:firstLine="420" w:firstLineChars="200"/>
              <w:jc w:val="left"/>
              <w:rPr>
                <w:rFonts w:ascii="仿宋_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0" w:type="dxa"/>
          </w:tcPr>
          <w:p>
            <w:pPr>
              <w:widowControl/>
              <w:spacing w:line="360" w:lineRule="auto"/>
              <w:jc w:val="center"/>
              <w:rPr>
                <w:rFonts w:ascii="仿宋_GB2312"/>
                <w:color w:val="auto"/>
                <w:szCs w:val="21"/>
                <w:highlight w:val="none"/>
              </w:rPr>
            </w:pPr>
            <w:r>
              <w:rPr>
                <w:rFonts w:hint="eastAsia" w:ascii="仿宋_GB2312"/>
                <w:color w:val="auto"/>
                <w:szCs w:val="21"/>
                <w:highlight w:val="none"/>
              </w:rPr>
              <w:t>类型3</w:t>
            </w:r>
          </w:p>
        </w:tc>
        <w:tc>
          <w:tcPr>
            <w:tcW w:w="1845" w:type="dxa"/>
          </w:tcPr>
          <w:p>
            <w:pPr>
              <w:widowControl/>
              <w:spacing w:line="360" w:lineRule="auto"/>
              <w:ind w:firstLine="420" w:firstLineChars="200"/>
              <w:jc w:val="left"/>
              <w:rPr>
                <w:rFonts w:ascii="仿宋_GB2312"/>
                <w:color w:val="auto"/>
                <w:szCs w:val="21"/>
                <w:highlight w:val="none"/>
              </w:rPr>
            </w:pPr>
          </w:p>
        </w:tc>
        <w:tc>
          <w:tcPr>
            <w:tcW w:w="1700" w:type="dxa"/>
          </w:tcPr>
          <w:p>
            <w:pPr>
              <w:widowControl/>
              <w:spacing w:line="360" w:lineRule="auto"/>
              <w:ind w:firstLine="420" w:firstLineChars="200"/>
              <w:jc w:val="left"/>
              <w:rPr>
                <w:rFonts w:ascii="仿宋_GB2312"/>
                <w:color w:val="auto"/>
                <w:szCs w:val="21"/>
                <w:highlight w:val="none"/>
              </w:rPr>
            </w:pPr>
          </w:p>
        </w:tc>
        <w:tc>
          <w:tcPr>
            <w:tcW w:w="1558" w:type="dxa"/>
          </w:tcPr>
          <w:p>
            <w:pPr>
              <w:widowControl/>
              <w:spacing w:line="360" w:lineRule="auto"/>
              <w:ind w:firstLine="420" w:firstLineChars="200"/>
              <w:jc w:val="left"/>
              <w:rPr>
                <w:rFonts w:ascii="仿宋_GB2312"/>
                <w:color w:val="auto"/>
                <w:szCs w:val="21"/>
                <w:highlight w:val="none"/>
              </w:rPr>
            </w:pPr>
          </w:p>
        </w:tc>
        <w:tc>
          <w:tcPr>
            <w:tcW w:w="1575" w:type="dxa"/>
          </w:tcPr>
          <w:p>
            <w:pPr>
              <w:widowControl/>
              <w:spacing w:line="360" w:lineRule="auto"/>
              <w:ind w:firstLine="420" w:firstLineChars="200"/>
              <w:jc w:val="left"/>
              <w:rPr>
                <w:rFonts w:ascii="仿宋_GB2312"/>
                <w:color w:val="auto"/>
                <w:szCs w:val="21"/>
                <w:highlight w:val="none"/>
              </w:rPr>
            </w:pPr>
          </w:p>
        </w:tc>
        <w:tc>
          <w:tcPr>
            <w:tcW w:w="1259" w:type="dxa"/>
          </w:tcPr>
          <w:p>
            <w:pPr>
              <w:widowControl/>
              <w:spacing w:line="360" w:lineRule="auto"/>
              <w:ind w:firstLine="420" w:firstLineChars="200"/>
              <w:jc w:val="left"/>
              <w:rPr>
                <w:rFonts w:ascii="仿宋_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0" w:type="dxa"/>
          </w:tcPr>
          <w:p>
            <w:pPr>
              <w:widowControl/>
              <w:spacing w:line="360" w:lineRule="auto"/>
              <w:jc w:val="center"/>
              <w:rPr>
                <w:rFonts w:ascii="仿宋_GB2312"/>
                <w:color w:val="auto"/>
                <w:szCs w:val="21"/>
                <w:highlight w:val="none"/>
              </w:rPr>
            </w:pPr>
            <w:r>
              <w:rPr>
                <w:rFonts w:ascii="仿宋_GB2312"/>
                <w:color w:val="auto"/>
                <w:szCs w:val="21"/>
                <w:highlight w:val="none"/>
              </w:rPr>
              <w:t>……</w:t>
            </w:r>
          </w:p>
        </w:tc>
        <w:tc>
          <w:tcPr>
            <w:tcW w:w="1845" w:type="dxa"/>
          </w:tcPr>
          <w:p>
            <w:pPr>
              <w:widowControl/>
              <w:spacing w:line="360" w:lineRule="auto"/>
              <w:ind w:firstLine="420" w:firstLineChars="200"/>
              <w:jc w:val="left"/>
              <w:rPr>
                <w:rFonts w:ascii="仿宋_GB2312"/>
                <w:color w:val="auto"/>
                <w:szCs w:val="21"/>
                <w:highlight w:val="none"/>
              </w:rPr>
            </w:pPr>
          </w:p>
        </w:tc>
        <w:tc>
          <w:tcPr>
            <w:tcW w:w="1700" w:type="dxa"/>
          </w:tcPr>
          <w:p>
            <w:pPr>
              <w:widowControl/>
              <w:spacing w:line="360" w:lineRule="auto"/>
              <w:ind w:firstLine="420" w:firstLineChars="200"/>
              <w:jc w:val="left"/>
              <w:rPr>
                <w:rFonts w:ascii="仿宋_GB2312"/>
                <w:color w:val="auto"/>
                <w:szCs w:val="21"/>
                <w:highlight w:val="none"/>
              </w:rPr>
            </w:pPr>
          </w:p>
        </w:tc>
        <w:tc>
          <w:tcPr>
            <w:tcW w:w="1558" w:type="dxa"/>
          </w:tcPr>
          <w:p>
            <w:pPr>
              <w:widowControl/>
              <w:spacing w:line="360" w:lineRule="auto"/>
              <w:ind w:firstLine="420" w:firstLineChars="200"/>
              <w:jc w:val="left"/>
              <w:rPr>
                <w:rFonts w:ascii="仿宋_GB2312"/>
                <w:color w:val="auto"/>
                <w:szCs w:val="21"/>
                <w:highlight w:val="none"/>
              </w:rPr>
            </w:pPr>
          </w:p>
        </w:tc>
        <w:tc>
          <w:tcPr>
            <w:tcW w:w="1575" w:type="dxa"/>
          </w:tcPr>
          <w:p>
            <w:pPr>
              <w:widowControl/>
              <w:spacing w:line="360" w:lineRule="auto"/>
              <w:ind w:firstLine="420" w:firstLineChars="200"/>
              <w:jc w:val="left"/>
              <w:rPr>
                <w:rFonts w:ascii="仿宋_GB2312"/>
                <w:color w:val="auto"/>
                <w:szCs w:val="21"/>
                <w:highlight w:val="none"/>
              </w:rPr>
            </w:pPr>
          </w:p>
        </w:tc>
        <w:tc>
          <w:tcPr>
            <w:tcW w:w="1259" w:type="dxa"/>
          </w:tcPr>
          <w:p>
            <w:pPr>
              <w:widowControl/>
              <w:spacing w:line="360" w:lineRule="auto"/>
              <w:ind w:firstLine="420" w:firstLineChars="200"/>
              <w:jc w:val="left"/>
              <w:rPr>
                <w:rFonts w:ascii="仿宋_GB2312"/>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97" w:type="dxa"/>
            <w:gridSpan w:val="6"/>
          </w:tcPr>
          <w:p>
            <w:pPr>
              <w:widowControl/>
              <w:spacing w:line="360" w:lineRule="auto"/>
              <w:jc w:val="left"/>
              <w:rPr>
                <w:rFonts w:ascii="仿宋_GB2312"/>
                <w:color w:val="auto"/>
                <w:szCs w:val="21"/>
                <w:highlight w:val="none"/>
              </w:rPr>
            </w:pPr>
            <w:r>
              <w:rPr>
                <w:rFonts w:hint="eastAsia" w:ascii="仿宋_GB2312"/>
                <w:color w:val="auto"/>
                <w:szCs w:val="21"/>
                <w:highlight w:val="none"/>
              </w:rPr>
              <w:t>税务资质证明文件（请另附）</w:t>
            </w:r>
          </w:p>
        </w:tc>
      </w:tr>
    </w:tbl>
    <w:p>
      <w:pPr>
        <w:widowControl/>
        <w:spacing w:line="360" w:lineRule="auto"/>
        <w:jc w:val="left"/>
        <w:rPr>
          <w:rFonts w:ascii="仿宋_GB2312"/>
          <w:color w:val="auto"/>
          <w:sz w:val="24"/>
          <w:highlight w:val="none"/>
        </w:rPr>
      </w:pPr>
      <w:r>
        <w:rPr>
          <w:rFonts w:hint="eastAsia" w:ascii="仿宋_GB2312"/>
          <w:color w:val="auto"/>
          <w:sz w:val="24"/>
          <w:highlight w:val="none"/>
        </w:rPr>
        <w:t>注：</w:t>
      </w:r>
    </w:p>
    <w:p>
      <w:pPr>
        <w:widowControl/>
        <w:spacing w:line="360" w:lineRule="auto"/>
        <w:ind w:firstLine="480" w:firstLineChars="200"/>
        <w:jc w:val="left"/>
        <w:rPr>
          <w:rFonts w:ascii="仿宋_GB2312"/>
          <w:color w:val="auto"/>
          <w:sz w:val="24"/>
          <w:highlight w:val="none"/>
        </w:rPr>
      </w:pPr>
      <w:r>
        <w:rPr>
          <w:rFonts w:hint="eastAsia" w:ascii="仿宋_GB2312"/>
          <w:color w:val="auto"/>
          <w:sz w:val="24"/>
          <w:highlight w:val="none"/>
        </w:rPr>
        <w:t>1、票据名称填写范围：增值税专用发票、海关进口增值税专用缴款书、机动车销售统一发票、农产品收购发票、农产品销售发票、运输费用结算单据和通用缴款书与营业税发票；</w:t>
      </w:r>
    </w:p>
    <w:p>
      <w:pPr>
        <w:widowControl/>
        <w:spacing w:line="360" w:lineRule="auto"/>
        <w:ind w:firstLine="480" w:firstLineChars="200"/>
        <w:jc w:val="left"/>
        <w:rPr>
          <w:rFonts w:ascii="仿宋_GB2312"/>
          <w:color w:val="auto"/>
          <w:sz w:val="24"/>
          <w:highlight w:val="none"/>
        </w:rPr>
      </w:pPr>
      <w:r>
        <w:rPr>
          <w:rFonts w:hint="eastAsia" w:ascii="仿宋_GB2312"/>
          <w:color w:val="auto"/>
          <w:sz w:val="24"/>
          <w:highlight w:val="none"/>
        </w:rPr>
        <w:t>2、票据类型填写范围：增值税普通发票、增值税专用发票、营业税发票及其它；</w:t>
      </w:r>
    </w:p>
    <w:p>
      <w:pPr>
        <w:widowControl/>
        <w:spacing w:line="360" w:lineRule="auto"/>
        <w:ind w:firstLine="480" w:firstLineChars="200"/>
        <w:jc w:val="left"/>
        <w:rPr>
          <w:rFonts w:ascii="仿宋_GB2312"/>
          <w:color w:val="auto"/>
          <w:sz w:val="24"/>
          <w:highlight w:val="none"/>
        </w:rPr>
      </w:pPr>
      <w:r>
        <w:rPr>
          <w:rFonts w:hint="eastAsia" w:ascii="仿宋_GB2312"/>
          <w:color w:val="auto"/>
          <w:sz w:val="24"/>
          <w:highlight w:val="none"/>
        </w:rPr>
        <w:t>3、是否可作为增值税抵扣凭证填写范围：“是”或“否”；</w:t>
      </w:r>
    </w:p>
    <w:p>
      <w:pPr>
        <w:widowControl/>
        <w:spacing w:line="360" w:lineRule="auto"/>
        <w:ind w:firstLine="480" w:firstLineChars="200"/>
        <w:jc w:val="left"/>
        <w:rPr>
          <w:rFonts w:ascii="仿宋_GB2312"/>
          <w:color w:val="auto"/>
          <w:highlight w:val="none"/>
        </w:rPr>
      </w:pPr>
      <w:r>
        <w:rPr>
          <w:rFonts w:hint="eastAsia" w:ascii="仿宋_GB2312"/>
          <w:color w:val="auto"/>
          <w:sz w:val="24"/>
          <w:highlight w:val="none"/>
        </w:rPr>
        <w:t>4、税务资质证明文件：供应商应提供《税务登记证》副本扫描件，如是增值税一般纳税人须提供加盖“增值税一般纳税人”字样（见图1）的《税务登记证》副本或主管税务机关发出认定增值税一般纳税人资格的通知书（见图2）。</w:t>
      </w:r>
    </w:p>
    <w:p>
      <w:pPr>
        <w:widowControl/>
        <w:spacing w:line="360" w:lineRule="auto"/>
        <w:jc w:val="center"/>
        <w:rPr>
          <w:rFonts w:ascii="仿宋_GB2312"/>
          <w:color w:val="auto"/>
          <w:sz w:val="24"/>
          <w:highlight w:val="none"/>
        </w:rPr>
      </w:pPr>
    </w:p>
    <w:p>
      <w:pPr>
        <w:widowControl/>
        <w:spacing w:line="360" w:lineRule="auto"/>
        <w:jc w:val="center"/>
        <w:rPr>
          <w:rFonts w:ascii="仿宋_GB2312"/>
          <w:color w:val="auto"/>
          <w:sz w:val="24"/>
          <w:highlight w:val="none"/>
        </w:rPr>
      </w:pPr>
    </w:p>
    <w:p>
      <w:pPr>
        <w:widowControl/>
        <w:spacing w:line="360" w:lineRule="auto"/>
        <w:jc w:val="center"/>
        <w:rPr>
          <w:rFonts w:ascii="仿宋_GB2312"/>
          <w:color w:val="auto"/>
          <w:sz w:val="24"/>
          <w:highlight w:val="none"/>
        </w:rPr>
      </w:pPr>
    </w:p>
    <w:p>
      <w:pPr>
        <w:widowControl/>
        <w:spacing w:line="360" w:lineRule="auto"/>
        <w:jc w:val="center"/>
        <w:rPr>
          <w:rFonts w:ascii="仿宋_GB2312"/>
          <w:color w:val="auto"/>
          <w:sz w:val="24"/>
          <w:highlight w:val="none"/>
        </w:rPr>
      </w:pPr>
      <w:r>
        <w:rPr>
          <w:rFonts w:hint="eastAsia" w:ascii="仿宋_GB2312"/>
          <w:color w:val="auto"/>
          <w:sz w:val="24"/>
          <w:highlight w:val="none"/>
        </w:rPr>
        <w:t>图1：加盖“增值税一般纳税人”字样</w:t>
      </w:r>
    </w:p>
    <w:p>
      <w:pPr>
        <w:widowControl/>
        <w:spacing w:line="360" w:lineRule="auto"/>
        <w:ind w:firstLine="420" w:firstLineChars="200"/>
        <w:jc w:val="left"/>
        <w:rPr>
          <w:rFonts w:ascii="仿宋_GB2312"/>
          <w:color w:val="auto"/>
          <w:szCs w:val="28"/>
          <w:highlight w:val="none"/>
        </w:rPr>
      </w:pPr>
      <w:r>
        <w:rPr>
          <w:rFonts w:ascii="仿宋_GB2312"/>
          <w:color w:val="auto"/>
          <w:szCs w:val="28"/>
          <w:highlight w:val="none"/>
        </w:rPr>
        <w:pict>
          <v:rect id="Rectangle 11" o:spid="_x0000_s1034" o:spt="1" style="position:absolute;left:0pt;margin-left:0pt;margin-top:16.8pt;height:198.75pt;width:415.25pt;z-index:-25165107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">
            <v:path/>
            <v:fill focussize="0,0"/>
            <v:stroke/>
            <v:imagedata o:title=""/>
            <o:lock v:ext="edit"/>
          </v:rect>
        </w:pict>
      </w:r>
    </w:p>
    <w:p>
      <w:pPr>
        <w:jc w:val="center"/>
        <w:rPr>
          <w:rFonts w:ascii="宋体" w:hAnsi="宋体"/>
          <w:b/>
          <w:color w:val="auto"/>
          <w:sz w:val="24"/>
          <w:highlight w:val="none"/>
        </w:rPr>
      </w:pPr>
      <w:r>
        <w:rPr>
          <w:rFonts w:hint="eastAsia" w:ascii="宋体" w:hAnsi="宋体"/>
          <w:b/>
          <w:color w:val="auto"/>
          <w:sz w:val="24"/>
          <w:highlight w:val="none"/>
        </w:rPr>
        <w:t>“增值税一般纳税人”（印模式样）</w:t>
      </w:r>
    </w:p>
    <w:p>
      <w:pPr>
        <w:rPr>
          <w:rFonts w:ascii="仿宋_GB2312" w:hAnsi="宋体"/>
          <w:color w:val="auto"/>
          <w:szCs w:val="28"/>
          <w:highlight w:val="none"/>
        </w:rPr>
      </w:pPr>
      <w:r>
        <w:rPr>
          <w:rFonts w:ascii="仿宋_GB2312" w:hAnsi="宋体"/>
          <w:color w:val="auto"/>
          <w:szCs w:val="28"/>
          <w:highlight w:val="none"/>
        </w:rPr>
        <w:pict>
          <v:rect id="Rectangle 2" o:spid="_x0000_s1036" o:spt="1" style="position:absolute;left:0pt;margin-left:26.95pt;margin-top:6.8pt;height:39pt;width:120.05pt;z-index:251667456;mso-width-relative:page;mso-height-relative:page;"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">
            <v:path/>
            <v:fill on="f" focussize="0,0"/>
            <v:stroke/>
            <v:imagedata o:title=""/>
            <o:lock v:ext="edit"/>
            <v:textbox>
              <w:txbxContent>
                <w:p>
                  <w:pPr>
                    <w:rPr>
                      <w:color w:val="76923C"/>
                    </w:rPr>
                  </w:pPr>
                  <w:r>
                    <w:rPr>
                      <w:rFonts w:hint="eastAsia"/>
                    </w:rPr>
                    <w:t xml:space="preserve">  </w:t>
                  </w:r>
                  <w:r>
                    <w:rPr>
                      <w:rFonts w:hint="eastAsia"/>
                      <w:color w:val="76923C"/>
                    </w:rPr>
                    <w:t>增值税一般纳税人</w:t>
                  </w:r>
                </w:p>
              </w:txbxContent>
            </v:textbox>
          </v:rect>
        </w:pict>
      </w:r>
      <w:r>
        <w:rPr>
          <w:rFonts w:ascii="仿宋_GB2312" w:hAnsi="宋体"/>
          <w:color w:val="auto"/>
          <w:szCs w:val="28"/>
          <w:highlight w:val="none"/>
        </w:rPr>
        <w:pict>
          <v:line id="Line 5" o:spid="_x0000_s1037" o:spt="20" style="position:absolute;left:0pt;margin-left:179.85pt;margin-top:14.45pt;height:6.05pt;width:0.05pt;z-index:251668480;mso-width-relative:page;mso-height-relative:page;" coordsize="21600,21600" o:allowincell="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">
            <v:path arrowok="t"/>
            <v:fill focussize="0,0"/>
            <v:stroke startarrowwidth="narrow" startarrowlength="short" endarrowwidth="narrow" endarrowlength="short"/>
            <v:imagedata o:title=""/>
            <o:lock v:ext="edit"/>
          </v:line>
        </w:pict>
      </w:r>
      <w:r>
        <w:rPr>
          <w:rFonts w:ascii="仿宋_GB2312" w:hAnsi="宋体"/>
          <w:color w:val="auto"/>
          <w:szCs w:val="28"/>
          <w:highlight w:val="none"/>
        </w:rPr>
        <w:pict>
          <v:line id="Line 3" o:spid="_x0000_s1038" o:spt="20" style="position:absolute;left:0pt;margin-left:161.85pt;margin-top:14.45pt;height:0.05pt;width:42.05pt;z-index:251668480;mso-width-relative:page;mso-height-relative:page;" coordsize="21600,21600" o:allowincell="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">
            <v:path arrowok="t"/>
            <v:fill focussize="0,0"/>
            <v:stroke startarrowwidth="narrow" startarrowlength="short" endarrowwidth="narrow" endarrowlength="short"/>
            <v:imagedata o:title=""/>
            <o:lock v:ext="edit"/>
          </v:line>
        </w:pict>
      </w:r>
    </w:p>
    <w:p>
      <w:pPr>
        <w:rPr>
          <w:rFonts w:ascii="仿宋_GB2312" w:hAnsi="宋体"/>
          <w:color w:val="auto"/>
          <w:szCs w:val="28"/>
          <w:highlight w:val="none"/>
        </w:rPr>
      </w:pPr>
      <w:r>
        <w:rPr>
          <w:rFonts w:hint="eastAsia" w:ascii="仿宋_GB2312" w:hAnsi="宋体"/>
          <w:color w:val="auto"/>
          <w:szCs w:val="28"/>
          <w:highlight w:val="none"/>
        </w:rPr>
        <w:t xml:space="preserve">                               </w:t>
      </w:r>
      <w:r>
        <w:rPr>
          <w:rFonts w:hint="eastAsia" w:ascii="仿宋_GB2312" w:hAnsi="宋体"/>
          <w:color w:val="auto"/>
          <w:sz w:val="24"/>
          <w:highlight w:val="none"/>
        </w:rPr>
        <w:t>1.8厘米</w:t>
      </w:r>
    </w:p>
    <w:p>
      <w:pPr>
        <w:rPr>
          <w:rFonts w:ascii="仿宋_GB2312" w:hAnsi="宋体"/>
          <w:color w:val="auto"/>
          <w:szCs w:val="28"/>
          <w:highlight w:val="none"/>
        </w:rPr>
      </w:pPr>
      <w:r>
        <w:rPr>
          <w:rFonts w:ascii="仿宋_GB2312" w:hAnsi="宋体"/>
          <w:color w:val="auto"/>
          <w:szCs w:val="28"/>
          <w:highlight w:val="none"/>
        </w:rPr>
        <w:pict>
          <v:line id="Line 7" o:spid="_x0000_s1040" o:spt="20" style="position:absolute;left:0pt;margin-left:26.25pt;margin-top:10.85pt;height:30.05pt;width:0.05pt;z-index:25167052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">
            <v:path arrowok="t"/>
            <v:fill focussize="0,0"/>
            <v:stroke startarrowwidth="narrow" startarrowlength="short" endarrowwidth="narrow" endarrowlength="short"/>
            <v:imagedata o:title=""/>
            <o:lock v:ext="edit"/>
          </v:line>
        </w:pict>
      </w:r>
      <w:r>
        <w:rPr>
          <w:rFonts w:ascii="仿宋_GB2312" w:hAnsi="宋体"/>
          <w:color w:val="auto"/>
          <w:szCs w:val="28"/>
          <w:highlight w:val="none"/>
        </w:rPr>
        <w:pict>
          <v:line id="Line 8" o:spid="_x0000_s1041" o:spt="20" style="position:absolute;left:0pt;margin-left:147pt;margin-top:10.85pt;height:30.05pt;width:0.05pt;z-index:25167155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">
            <v:path arrowok="t"/>
            <v:fill focussize="0,0"/>
            <v:stroke startarrowwidth="narrow" startarrowlength="short" endarrowwidth="narrow" endarrowlength="short"/>
            <v:imagedata o:title=""/>
            <o:lock v:ext="edit"/>
          </v:line>
        </w:pict>
      </w:r>
      <w:r>
        <w:rPr>
          <w:rFonts w:ascii="仿宋_GB2312" w:hAnsi="宋体"/>
          <w:color w:val="auto"/>
          <w:szCs w:val="28"/>
          <w:highlight w:val="none"/>
        </w:rPr>
        <w:pict>
          <v:line id="Line 6" o:spid="_x0000_s1039" o:spt="20" style="position:absolute;left:0pt;flip:y;margin-left:179.85pt;margin-top:0.75pt;height:6.05pt;width:0.05pt;z-index:251669504;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">
            <v:path arrowok="t"/>
            <v:fill focussize="0,0"/>
            <v:stroke startarrowwidth="narrow" startarrowlength="short" endarrowwidth="narrow" endarrowlength="short"/>
            <v:imagedata o:title=""/>
            <o:lock v:ext="edit"/>
          </v:line>
        </w:pict>
      </w:r>
      <w:r>
        <w:rPr>
          <w:rFonts w:ascii="仿宋_GB2312" w:hAnsi="宋体"/>
          <w:color w:val="auto"/>
          <w:szCs w:val="28"/>
          <w:highlight w:val="none"/>
        </w:rPr>
        <w:pict>
          <v:line id="Line 4" o:spid="_x0000_s1042" o:spt="20" style="position:absolute;left:0pt;margin-left:161.85pt;margin-top:0.45pt;height:0.05pt;width:42.05pt;z-index:251672576;mso-width-relative:page;mso-height-relative:page;" coordsize="21600,21600" o:allowincell="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">
            <v:path arrowok="t"/>
            <v:fill focussize="0,0"/>
            <v:stroke startarrowwidth="narrow" startarrowlength="short" endarrowwidth="narrow" endarrowlength="short"/>
            <v:imagedata o:title=""/>
            <o:lock v:ext="edit"/>
          </v:line>
        </w:pict>
      </w:r>
    </w:p>
    <w:p>
      <w:pPr>
        <w:ind w:firstLine="1400" w:firstLineChars="500"/>
        <w:rPr>
          <w:rFonts w:ascii="仿宋_GB2312" w:hAnsi="宋体"/>
          <w:color w:val="auto"/>
          <w:sz w:val="24"/>
          <w:highlight w:val="none"/>
        </w:rPr>
      </w:pPr>
      <w:r>
        <w:rPr>
          <w:rFonts w:ascii="仿宋_GB2312" w:hAnsi="宋体"/>
          <w:color w:val="auto"/>
          <w:sz w:val="28"/>
          <w:szCs w:val="28"/>
          <w:highlight w:val="none"/>
        </w:rPr>
        <w:pict>
          <v:line id="Line 10" o:spid="_x0000_s1043" o:spt="20" style="position:absolute;left:0pt;margin-left:118.6pt;margin-top:5.45pt;height:0.05pt;width:28.4pt;z-index:251673600;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">
            <v:path arrowok="t"/>
            <v:fill focussize="0,0"/>
            <v:stroke startarrowwidth="narrow" startarrowlength="short" endarrowwidth="narrow" endarrowlength="short"/>
            <v:imagedata o:title=""/>
            <o:lock v:ext="edit"/>
          </v:line>
        </w:pict>
      </w:r>
      <w:r>
        <w:rPr>
          <w:rFonts w:ascii="仿宋_GB2312" w:hAnsi="宋体"/>
          <w:color w:val="auto"/>
          <w:sz w:val="28"/>
          <w:szCs w:val="28"/>
          <w:highlight w:val="none"/>
        </w:rPr>
        <w:pict>
          <v:line id="Line 9" o:spid="_x0000_s1044" o:spt="20" style="position:absolute;left:0pt;margin-left:26.25pt;margin-top:5.45pt;height:0.05pt;width:30.05pt;z-index:251674624;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">
            <v:path arrowok="t"/>
            <v:fill focussize="0,0"/>
            <v:stroke startarrowwidth="narrow" startarrowlength="short" endarrowwidth="narrow" endarrowlength="short"/>
            <v:imagedata o:title=""/>
            <o:lock v:ext="edit"/>
          </v:line>
        </w:pict>
      </w:r>
      <w:r>
        <w:rPr>
          <w:rFonts w:hint="eastAsia" w:ascii="仿宋_GB2312" w:hAnsi="宋体"/>
          <w:color w:val="auto"/>
          <w:sz w:val="24"/>
          <w:highlight w:val="none"/>
        </w:rPr>
        <w:t xml:space="preserve">6厘米 </w:t>
      </w:r>
    </w:p>
    <w:p>
      <w:pPr>
        <w:spacing w:line="360" w:lineRule="auto"/>
        <w:ind w:firstLine="480" w:firstLineChars="200"/>
        <w:rPr>
          <w:rFonts w:ascii="仿宋_GB2312" w:hAnsi="宋体"/>
          <w:color w:val="auto"/>
          <w:sz w:val="24"/>
          <w:highlight w:val="none"/>
        </w:rPr>
      </w:pPr>
      <w:r>
        <w:rPr>
          <w:rFonts w:hint="eastAsia" w:ascii="仿宋_GB2312" w:hAnsi="宋体"/>
          <w:color w:val="auto"/>
          <w:sz w:val="24"/>
          <w:highlight w:val="none"/>
        </w:rPr>
        <w:t>说明：</w:t>
      </w:r>
    </w:p>
    <w:p>
      <w:pPr>
        <w:spacing w:line="360" w:lineRule="auto"/>
        <w:ind w:firstLine="840" w:firstLineChars="350"/>
        <w:rPr>
          <w:rFonts w:ascii="仿宋_GB2312" w:hAnsi="宋体"/>
          <w:color w:val="auto"/>
          <w:sz w:val="24"/>
          <w:highlight w:val="none"/>
        </w:rPr>
      </w:pPr>
      <w:r>
        <w:rPr>
          <w:rFonts w:hint="eastAsia" w:ascii="仿宋_GB2312" w:hAnsi="宋体"/>
          <w:color w:val="auto"/>
          <w:sz w:val="24"/>
          <w:highlight w:val="none"/>
        </w:rPr>
        <w:t>①“增值税一般纳税人”（印模）规格为6厘米（长）×1.8厘米（宽）；</w:t>
      </w:r>
    </w:p>
    <w:p>
      <w:pPr>
        <w:widowControl/>
        <w:spacing w:line="360" w:lineRule="auto"/>
        <w:ind w:firstLine="840" w:firstLineChars="350"/>
        <w:jc w:val="left"/>
        <w:rPr>
          <w:rFonts w:ascii="仿宋_GB2312" w:hAnsi="宋体"/>
          <w:color w:val="auto"/>
          <w:sz w:val="24"/>
          <w:highlight w:val="none"/>
        </w:rPr>
      </w:pPr>
      <w:r>
        <w:rPr>
          <w:rFonts w:hint="eastAsia" w:ascii="仿宋_GB2312" w:hAnsi="宋体"/>
          <w:color w:val="auto"/>
          <w:sz w:val="24"/>
          <w:highlight w:val="none"/>
        </w:rPr>
        <w:t>②采用2号标准宋体字刻写。</w:t>
      </w:r>
    </w:p>
    <w:p>
      <w:pPr>
        <w:widowControl/>
        <w:spacing w:line="360" w:lineRule="auto"/>
        <w:jc w:val="left"/>
        <w:rPr>
          <w:rFonts w:ascii="仿宋_GB2312"/>
          <w:color w:val="auto"/>
          <w:szCs w:val="28"/>
          <w:highlight w:val="none"/>
        </w:rPr>
      </w:pPr>
    </w:p>
    <w:p>
      <w:pPr>
        <w:widowControl/>
        <w:spacing w:line="360" w:lineRule="auto"/>
        <w:jc w:val="center"/>
        <w:rPr>
          <w:rFonts w:ascii="仿宋_GB2312"/>
          <w:color w:val="auto"/>
          <w:sz w:val="24"/>
          <w:highlight w:val="none"/>
        </w:rPr>
      </w:pPr>
    </w:p>
    <w:p>
      <w:pPr>
        <w:widowControl/>
        <w:spacing w:line="360" w:lineRule="auto"/>
        <w:jc w:val="center"/>
        <w:rPr>
          <w:rFonts w:ascii="仿宋_GB2312"/>
          <w:color w:val="auto"/>
          <w:sz w:val="24"/>
          <w:highlight w:val="none"/>
        </w:rPr>
      </w:pPr>
    </w:p>
    <w:p>
      <w:pPr>
        <w:widowControl/>
        <w:spacing w:line="360" w:lineRule="auto"/>
        <w:jc w:val="center"/>
        <w:rPr>
          <w:rFonts w:ascii="仿宋_GB2312"/>
          <w:color w:val="auto"/>
          <w:highlight w:val="none"/>
        </w:rPr>
      </w:pPr>
      <w:r>
        <w:rPr>
          <w:rFonts w:hint="eastAsia" w:ascii="仿宋_GB2312"/>
          <w:color w:val="auto"/>
          <w:sz w:val="24"/>
          <w:highlight w:val="none"/>
        </w:rPr>
        <w:t>图2：主管税务机关发出认定增值税一般纳税人资格的通知书</w:t>
      </w:r>
    </w:p>
    <w:p>
      <w:pPr>
        <w:widowControl/>
        <w:spacing w:line="360" w:lineRule="auto"/>
        <w:jc w:val="left"/>
        <w:rPr>
          <w:color w:val="auto"/>
          <w:highlight w:val="none"/>
        </w:rPr>
      </w:pPr>
      <w:r>
        <w:rPr>
          <w:rFonts w:ascii="仿宋_GB2312"/>
          <w:color w:val="auto"/>
          <w:sz w:val="24"/>
          <w:highlight w:val="none"/>
        </w:rPr>
        <w:pict>
          <v:rect id="Rectangle 14" o:spid="_x0000_s1035" o:spt="1" style="position:absolute;left:0pt;margin-left:0.25pt;margin-top:12.15pt;height:217.8pt;width:415.25pt;z-index:-25165004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">
            <v:path/>
            <v:fill focussize="0,0"/>
            <v:stroke/>
            <v:imagedata o:title=""/>
            <o:lock v:ext="edit"/>
            <v:textbox>
              <w:txbxContent>
                <w:p>
                  <w:pPr>
                    <w:jc w:val="center"/>
                    <w:rPr>
                      <w:rFonts w:ascii="宋体" w:hAnsi="宋体"/>
                      <w:b/>
                      <w:color w:val="76923C"/>
                      <w:sz w:val="24"/>
                    </w:rPr>
                  </w:pPr>
                  <w:r>
                    <w:rPr>
                      <w:rFonts w:hint="eastAsia" w:ascii="宋体" w:hAnsi="宋体"/>
                      <w:b/>
                      <w:color w:val="76923C"/>
                      <w:sz w:val="24"/>
                    </w:rPr>
                    <w:t>增值税一般纳税人认定通知书</w:t>
                  </w:r>
                </w:p>
                <w:p>
                  <w:pPr>
                    <w:ind w:firstLine="480" w:firstLineChars="200"/>
                    <w:jc w:val="center"/>
                    <w:rPr>
                      <w:rFonts w:ascii="仿宋_GB2312" w:hAnsi="宋体"/>
                      <w:color w:val="76923C"/>
                      <w:sz w:val="24"/>
                    </w:rPr>
                  </w:pPr>
                  <w:r>
                    <w:rPr>
                      <w:rFonts w:hint="eastAsia" w:ascii="仿宋_GB2312" w:hAnsi="宋体"/>
                      <w:color w:val="76923C"/>
                      <w:sz w:val="24"/>
                      <w:u w:val="single"/>
                    </w:rPr>
                    <w:t xml:space="preserve">    </w:t>
                  </w:r>
                  <w:r>
                    <w:rPr>
                      <w:rFonts w:hint="eastAsia" w:ascii="仿宋_GB2312" w:hAnsi="宋体"/>
                      <w:color w:val="76923C"/>
                      <w:sz w:val="24"/>
                    </w:rPr>
                    <w:t>国税   〔   〕 号</w:t>
                  </w:r>
                </w:p>
                <w:p>
                  <w:pPr>
                    <w:ind w:firstLine="480" w:firstLineChars="200"/>
                    <w:jc w:val="center"/>
                    <w:rPr>
                      <w:rFonts w:ascii="仿宋_GB2312" w:hAnsi="宋体"/>
                      <w:color w:val="76923C"/>
                      <w:sz w:val="24"/>
                    </w:rPr>
                  </w:pPr>
                </w:p>
                <w:p>
                  <w:pPr>
                    <w:ind w:firstLine="120" w:firstLineChars="50"/>
                    <w:rPr>
                      <w:rFonts w:ascii="仿宋_GB2312" w:hAnsi="宋体"/>
                      <w:color w:val="76923C"/>
                      <w:sz w:val="24"/>
                    </w:rPr>
                  </w:pPr>
                  <w:r>
                    <w:rPr>
                      <w:rFonts w:hint="eastAsia" w:ascii="仿宋_GB2312" w:hAnsi="宋体"/>
                      <w:color w:val="76923C"/>
                      <w:sz w:val="24"/>
                      <w:u w:val="single"/>
                    </w:rPr>
                    <w:t xml:space="preserve">           </w:t>
                  </w:r>
                  <w:r>
                    <w:rPr>
                      <w:rFonts w:hint="eastAsia" w:ascii="仿宋_GB2312" w:hAnsi="宋体"/>
                      <w:color w:val="76923C"/>
                      <w:sz w:val="24"/>
                    </w:rPr>
                    <w:t>：</w:t>
                  </w:r>
                </w:p>
                <w:p>
                  <w:pPr>
                    <w:ind w:firstLine="480" w:firstLineChars="200"/>
                    <w:rPr>
                      <w:rFonts w:ascii="仿宋_GB2312" w:hAnsi="宋体"/>
                      <w:color w:val="76923C"/>
                      <w:sz w:val="24"/>
                    </w:rPr>
                  </w:pPr>
                  <w:r>
                    <w:rPr>
                      <w:rFonts w:hint="eastAsia" w:ascii="仿宋_GB2312" w:hAnsi="宋体"/>
                      <w:color w:val="76923C"/>
                      <w:sz w:val="24"/>
                    </w:rPr>
                    <w:t>经审核，同意认定你单位为增值税一般纳税人。从  年  月  日（税款所属期）起按增值税一般纳税人的规定管理。</w:t>
                  </w:r>
                </w:p>
                <w:p>
                  <w:pPr>
                    <w:ind w:firstLine="480" w:firstLineChars="200"/>
                    <w:rPr>
                      <w:rFonts w:ascii="仿宋_GB2312" w:hAnsi="宋体"/>
                      <w:color w:val="76923C"/>
                      <w:sz w:val="24"/>
                    </w:rPr>
                  </w:pPr>
                </w:p>
                <w:p>
                  <w:pPr>
                    <w:ind w:firstLine="480" w:firstLineChars="200"/>
                    <w:rPr>
                      <w:rFonts w:ascii="仿宋_GB2312" w:hAnsi="宋体"/>
                      <w:color w:val="76923C"/>
                      <w:sz w:val="24"/>
                    </w:rPr>
                  </w:pPr>
                </w:p>
                <w:p>
                  <w:pPr>
                    <w:ind w:firstLine="600" w:firstLineChars="250"/>
                    <w:rPr>
                      <w:rFonts w:ascii="仿宋_GB2312" w:hAnsi="宋体"/>
                      <w:color w:val="76923C"/>
                      <w:sz w:val="24"/>
                    </w:rPr>
                  </w:pPr>
                  <w:r>
                    <w:rPr>
                      <w:rFonts w:hint="eastAsia" w:ascii="仿宋_GB2312" w:hAnsi="宋体"/>
                      <w:color w:val="76923C"/>
                      <w:sz w:val="24"/>
                    </w:rPr>
                    <w:t>特此通知。</w:t>
                  </w:r>
                </w:p>
                <w:p>
                  <w:pPr>
                    <w:jc w:val="right"/>
                    <w:rPr>
                      <w:color w:val="76923C"/>
                    </w:rPr>
                  </w:pPr>
                  <w:r>
                    <w:rPr>
                      <w:rFonts w:hint="eastAsia"/>
                      <w:color w:val="76923C"/>
                    </w:rPr>
                    <w:t>主管税务机关</w:t>
                  </w:r>
                </w:p>
                <w:p>
                  <w:pPr>
                    <w:jc w:val="right"/>
                    <w:rPr>
                      <w:color w:val="76923C"/>
                    </w:rPr>
                  </w:pPr>
                  <w:r>
                    <w:rPr>
                      <w:rFonts w:hint="eastAsia"/>
                      <w:color w:val="76923C"/>
                    </w:rPr>
                    <w:t xml:space="preserve">                     年  月  日</w:t>
                  </w:r>
                </w:p>
              </w:txbxContent>
            </v:textbox>
          </v:rect>
        </w:pict>
      </w:r>
    </w:p>
    <w:p>
      <w:pPr>
        <w:widowControl/>
        <w:spacing w:line="360" w:lineRule="auto"/>
        <w:jc w:val="left"/>
        <w:rPr>
          <w:color w:val="auto"/>
          <w:highlight w:val="none"/>
        </w:rPr>
      </w:pPr>
    </w:p>
    <w:p>
      <w:pPr>
        <w:widowControl/>
        <w:spacing w:line="360" w:lineRule="auto"/>
        <w:jc w:val="left"/>
        <w:rPr>
          <w:color w:val="auto"/>
          <w:highlight w:val="none"/>
        </w:rPr>
      </w:pPr>
    </w:p>
    <w:p>
      <w:pPr>
        <w:widowControl/>
        <w:spacing w:line="360" w:lineRule="auto"/>
        <w:jc w:val="left"/>
        <w:rPr>
          <w:color w:val="auto"/>
          <w:highlight w:val="none"/>
        </w:rPr>
      </w:pPr>
    </w:p>
    <w:p>
      <w:pPr>
        <w:widowControl/>
        <w:spacing w:line="360" w:lineRule="auto"/>
        <w:jc w:val="left"/>
        <w:rPr>
          <w:color w:val="auto"/>
          <w:highlight w:val="none"/>
        </w:rPr>
      </w:pPr>
    </w:p>
    <w:p>
      <w:pPr>
        <w:widowControl/>
        <w:spacing w:line="360" w:lineRule="auto"/>
        <w:jc w:val="left"/>
        <w:rPr>
          <w:color w:val="auto"/>
          <w:highlight w:val="none"/>
        </w:rPr>
      </w:pPr>
    </w:p>
    <w:p>
      <w:pPr>
        <w:widowControl/>
        <w:spacing w:line="360" w:lineRule="auto"/>
        <w:jc w:val="left"/>
        <w:rPr>
          <w:color w:val="auto"/>
          <w:highlight w:val="none"/>
        </w:rPr>
      </w:pPr>
    </w:p>
    <w:p>
      <w:pPr>
        <w:widowControl/>
        <w:spacing w:line="360" w:lineRule="auto"/>
        <w:jc w:val="left"/>
        <w:rPr>
          <w:color w:val="auto"/>
          <w:highlight w:val="none"/>
        </w:rPr>
      </w:pPr>
    </w:p>
    <w:p>
      <w:pPr>
        <w:rPr>
          <w:color w:val="auto"/>
          <w:highlight w:val="none"/>
        </w:rPr>
      </w:pPr>
    </w:p>
    <w:p>
      <w:pPr>
        <w:rPr>
          <w:color w:val="auto"/>
          <w:highlight w:val="none"/>
        </w:rPr>
      </w:pPr>
    </w:p>
    <w:p>
      <w:pPr>
        <w:rPr>
          <w:color w:val="auto"/>
          <w:highlight w:val="none"/>
        </w:rPr>
      </w:pPr>
    </w:p>
    <w:p>
      <w:pPr>
        <w:pStyle w:val="2"/>
        <w:rPr>
          <w:color w:val="auto"/>
          <w:highlight w:val="none"/>
        </w:rPr>
      </w:pPr>
    </w:p>
    <w:p>
      <w:pPr>
        <w:pStyle w:val="2"/>
        <w:rPr>
          <w:color w:val="auto"/>
          <w:highlight w:val="none"/>
        </w:rPr>
      </w:pPr>
    </w:p>
    <w:p>
      <w:pPr>
        <w:rPr>
          <w:color w:val="auto"/>
          <w:highlight w:val="none"/>
        </w:rPr>
      </w:pPr>
      <w:r>
        <w:rPr>
          <w:color w:val="auto"/>
          <w:highlight w:val="none"/>
        </w:rPr>
        <w:br w:type="page"/>
      </w:r>
    </w:p>
    <w:p>
      <w:pPr>
        <w:pStyle w:val="35"/>
        <w:numPr>
          <w:ilvl w:val="0"/>
          <w:numId w:val="31"/>
        </w:numPr>
        <w:tabs>
          <w:tab w:val="left" w:pos="0"/>
        </w:tabs>
        <w:snapToGrid w:val="0"/>
        <w:spacing w:before="120" w:after="120" w:line="440" w:lineRule="exact"/>
        <w:jc w:val="left"/>
        <w:outlineLvl w:val="1"/>
        <w:rPr>
          <w:rFonts w:ascii="宋体" w:hAnsi="宋体"/>
          <w:color w:val="auto"/>
          <w:sz w:val="28"/>
          <w:szCs w:val="24"/>
          <w:highlight w:val="none"/>
        </w:rPr>
      </w:pPr>
      <w:bookmarkStart w:id="953" w:name="_Toc489610819"/>
      <w:bookmarkStart w:id="954" w:name="_Toc8936"/>
      <w:bookmarkStart w:id="955" w:name="_Toc17203062"/>
      <w:bookmarkStart w:id="956" w:name="_Toc17202862"/>
      <w:bookmarkStart w:id="957" w:name="_Toc17203577"/>
      <w:bookmarkStart w:id="958" w:name="_Toc338669165"/>
      <w:r>
        <w:rPr>
          <w:rFonts w:hint="eastAsia" w:ascii="宋体" w:hAnsi="宋体"/>
          <w:color w:val="auto"/>
          <w:sz w:val="28"/>
          <w:szCs w:val="24"/>
          <w:highlight w:val="none"/>
        </w:rPr>
        <w:t>比选代理服务费支付同意函</w:t>
      </w:r>
      <w:bookmarkEnd w:id="953"/>
      <w:bookmarkEnd w:id="954"/>
      <w:bookmarkEnd w:id="955"/>
      <w:bookmarkEnd w:id="956"/>
      <w:bookmarkEnd w:id="957"/>
      <w:bookmarkEnd w:id="958"/>
    </w:p>
    <w:p>
      <w:pPr>
        <w:spacing w:line="360" w:lineRule="auto"/>
        <w:rPr>
          <w:color w:val="auto"/>
          <w:sz w:val="24"/>
          <w:highlight w:val="none"/>
        </w:rPr>
      </w:pPr>
      <w:r>
        <w:rPr>
          <w:rFonts w:hint="eastAsia"/>
          <w:color w:val="auto"/>
          <w:sz w:val="24"/>
          <w:highlight w:val="none"/>
        </w:rPr>
        <w:t>中捷通信有限公司：</w:t>
      </w:r>
    </w:p>
    <w:p>
      <w:pPr>
        <w:spacing w:line="360" w:lineRule="auto"/>
        <w:ind w:firstLine="600"/>
        <w:rPr>
          <w:color w:val="auto"/>
          <w:sz w:val="24"/>
          <w:highlight w:val="none"/>
        </w:rPr>
      </w:pPr>
      <w:r>
        <w:rPr>
          <w:rFonts w:hint="eastAsia"/>
          <w:color w:val="auto"/>
          <w:sz w:val="24"/>
          <w:highlight w:val="none"/>
        </w:rPr>
        <w:t>我公司参加贵司作为招标代理机构组织的</w:t>
      </w:r>
      <w:r>
        <w:rPr>
          <w:rFonts w:hint="eastAsia"/>
          <w:color w:val="auto"/>
          <w:sz w:val="24"/>
          <w:highlight w:val="none"/>
          <w:u w:val="single"/>
          <w:lang w:eastAsia="zh-CN"/>
        </w:rPr>
        <w:t>2022年湛江分公司第一批普查服务项目比选</w:t>
      </w:r>
      <w:r>
        <w:rPr>
          <w:rFonts w:hint="eastAsia"/>
          <w:color w:val="auto"/>
          <w:sz w:val="24"/>
          <w:highlight w:val="none"/>
        </w:rPr>
        <w:t>（招标代理编号：</w:t>
      </w:r>
      <w:r>
        <w:rPr>
          <w:rFonts w:hint="eastAsia"/>
          <w:color w:val="auto"/>
          <w:sz w:val="24"/>
          <w:highlight w:val="none"/>
          <w:u w:val="single"/>
          <w:lang w:eastAsia="zh-CN"/>
        </w:rPr>
        <w:t>ZJZB-2022-18622</w:t>
      </w:r>
      <w:r>
        <w:rPr>
          <w:rFonts w:hint="eastAsia"/>
          <w:color w:val="auto"/>
          <w:sz w:val="24"/>
          <w:highlight w:val="none"/>
        </w:rPr>
        <w:t>）招标。我公司作为投标单位，若在本项目中标，同意支付招标代理服务费。</w:t>
      </w:r>
    </w:p>
    <w:p>
      <w:pPr>
        <w:spacing w:line="360" w:lineRule="auto"/>
        <w:ind w:firstLine="600"/>
        <w:rPr>
          <w:b/>
          <w:color w:val="auto"/>
          <w:szCs w:val="21"/>
          <w:highlight w:val="none"/>
        </w:rPr>
      </w:pPr>
      <w:r>
        <w:rPr>
          <w:rFonts w:hint="eastAsia"/>
          <w:b/>
          <w:color w:val="auto"/>
          <w:sz w:val="24"/>
          <w:highlight w:val="none"/>
        </w:rPr>
        <w:t>招标代理服务费的计取，我公司同意以我公司的中选金额（中选通知书所载中选金额），按本函费率标准（详见附表），以差额定率累进法计算后按</w:t>
      </w:r>
      <w:r>
        <w:rPr>
          <w:b/>
          <w:color w:val="auto"/>
          <w:sz w:val="24"/>
          <w:highlight w:val="none"/>
        </w:rPr>
        <w:t>6</w:t>
      </w:r>
      <w:r>
        <w:rPr>
          <w:rFonts w:hint="eastAsia"/>
          <w:b/>
          <w:color w:val="auto"/>
          <w:sz w:val="24"/>
          <w:highlight w:val="none"/>
        </w:rPr>
        <w:t>7</w:t>
      </w:r>
      <w:r>
        <w:rPr>
          <w:b/>
          <w:color w:val="auto"/>
          <w:sz w:val="24"/>
          <w:highlight w:val="none"/>
        </w:rPr>
        <w:t xml:space="preserve"> %结算</w:t>
      </w:r>
      <w:r>
        <w:rPr>
          <w:b/>
          <w:color w:val="auto"/>
          <w:szCs w:val="21"/>
          <w:highlight w:val="none"/>
        </w:rPr>
        <w:t>。</w:t>
      </w:r>
    </w:p>
    <w:p>
      <w:pPr>
        <w:spacing w:line="360" w:lineRule="auto"/>
        <w:ind w:firstLine="600"/>
        <w:rPr>
          <w:b/>
          <w:color w:val="auto"/>
          <w:sz w:val="24"/>
          <w:highlight w:val="none"/>
        </w:rPr>
      </w:pPr>
      <w:r>
        <w:rPr>
          <w:rFonts w:hint="eastAsia"/>
          <w:b/>
          <w:color w:val="auto"/>
          <w:sz w:val="24"/>
          <w:highlight w:val="none"/>
        </w:rPr>
        <w:t>附表：</w:t>
      </w:r>
    </w:p>
    <w:tbl>
      <w:tblPr>
        <w:tblStyle w:val="37"/>
        <w:tblW w:w="847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95"/>
        <w:gridCol w:w="1923"/>
        <w:gridCol w:w="1912"/>
        <w:gridCol w:w="17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trPr>
        <w:tc>
          <w:tcPr>
            <w:tcW w:w="2895" w:type="dxa"/>
          </w:tcPr>
          <w:p>
            <w:pPr>
              <w:rPr>
                <w:b/>
                <w:color w:val="auto"/>
                <w:szCs w:val="21"/>
                <w:highlight w:val="none"/>
              </w:rPr>
            </w:pPr>
            <w:r>
              <w:rPr>
                <w:b/>
                <w:color w:val="auto"/>
                <w:szCs w:val="22"/>
                <w:highlight w:val="none"/>
              </w:rPr>
              <w:pict>
                <v:line id="直接连接符 1" o:spid="_x0000_s1052" o:spt="20" style="position:absolute;left:0pt;margin-left:-5.4pt;margin-top:-0.5pt;height:28.5pt;width:144pt;z-index:25167564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">
                  <v:path arrowok="t"/>
                  <v:fill focussize="0,0"/>
                  <v:stroke/>
                  <v:imagedata o:title=""/>
                  <o:lock v:ext="edit"/>
                </v:line>
              </w:pict>
            </w:r>
            <w:r>
              <w:rPr>
                <w:b/>
                <w:color w:val="auto"/>
                <w:szCs w:val="21"/>
                <w:highlight w:val="none"/>
              </w:rPr>
              <w:t xml:space="preserve">               </w:t>
            </w:r>
            <w:r>
              <w:rPr>
                <w:rFonts w:hint="eastAsia"/>
                <w:b/>
                <w:color w:val="auto"/>
                <w:szCs w:val="21"/>
                <w:highlight w:val="none"/>
              </w:rPr>
              <w:t>费率</w:t>
            </w:r>
          </w:p>
          <w:p>
            <w:pPr>
              <w:rPr>
                <w:b/>
                <w:color w:val="auto"/>
                <w:szCs w:val="21"/>
                <w:highlight w:val="none"/>
              </w:rPr>
            </w:pPr>
            <w:r>
              <w:rPr>
                <w:rFonts w:hint="eastAsia"/>
                <w:b/>
                <w:color w:val="auto"/>
                <w:szCs w:val="21"/>
                <w:highlight w:val="none"/>
              </w:rPr>
              <w:t>中选金额</w:t>
            </w:r>
          </w:p>
        </w:tc>
        <w:tc>
          <w:tcPr>
            <w:tcW w:w="1923" w:type="dxa"/>
            <w:vAlign w:val="center"/>
          </w:tcPr>
          <w:p>
            <w:pPr>
              <w:ind w:firstLine="105" w:firstLineChars="50"/>
              <w:jc w:val="center"/>
              <w:rPr>
                <w:b/>
                <w:color w:val="auto"/>
                <w:szCs w:val="21"/>
                <w:highlight w:val="none"/>
              </w:rPr>
            </w:pPr>
            <w:r>
              <w:rPr>
                <w:rFonts w:hint="eastAsia"/>
                <w:b/>
                <w:color w:val="auto"/>
                <w:szCs w:val="21"/>
                <w:highlight w:val="none"/>
              </w:rPr>
              <w:t>货物比选</w:t>
            </w:r>
          </w:p>
        </w:tc>
        <w:tc>
          <w:tcPr>
            <w:tcW w:w="1912" w:type="dxa"/>
            <w:vAlign w:val="center"/>
          </w:tcPr>
          <w:p>
            <w:pPr>
              <w:jc w:val="center"/>
              <w:rPr>
                <w:b/>
                <w:color w:val="auto"/>
                <w:szCs w:val="21"/>
                <w:highlight w:val="none"/>
              </w:rPr>
            </w:pPr>
            <w:r>
              <w:rPr>
                <w:rFonts w:hint="eastAsia"/>
                <w:b/>
                <w:color w:val="auto"/>
                <w:szCs w:val="21"/>
                <w:highlight w:val="none"/>
              </w:rPr>
              <w:t>服务比选</w:t>
            </w:r>
          </w:p>
        </w:tc>
        <w:tc>
          <w:tcPr>
            <w:tcW w:w="1747" w:type="dxa"/>
            <w:vAlign w:val="center"/>
          </w:tcPr>
          <w:p>
            <w:pPr>
              <w:jc w:val="center"/>
              <w:rPr>
                <w:b/>
                <w:color w:val="auto"/>
                <w:szCs w:val="21"/>
                <w:highlight w:val="none"/>
              </w:rPr>
            </w:pPr>
            <w:r>
              <w:rPr>
                <w:rFonts w:hint="eastAsia"/>
                <w:b/>
                <w:color w:val="auto"/>
                <w:szCs w:val="21"/>
                <w:highlight w:val="none"/>
              </w:rPr>
              <w:t>工程比选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vAlign w:val="center"/>
          </w:tcPr>
          <w:p>
            <w:pPr>
              <w:jc w:val="center"/>
              <w:rPr>
                <w:b/>
                <w:color w:val="auto"/>
                <w:szCs w:val="21"/>
                <w:highlight w:val="none"/>
              </w:rPr>
            </w:pPr>
            <w:r>
              <w:rPr>
                <w:b/>
                <w:color w:val="auto"/>
                <w:szCs w:val="21"/>
                <w:highlight w:val="none"/>
              </w:rPr>
              <w:t>100</w:t>
            </w:r>
            <w:r>
              <w:rPr>
                <w:rFonts w:hint="eastAsia"/>
                <w:b/>
                <w:color w:val="auto"/>
                <w:szCs w:val="21"/>
                <w:highlight w:val="none"/>
              </w:rPr>
              <w:t>万元以下</w:t>
            </w:r>
          </w:p>
        </w:tc>
        <w:tc>
          <w:tcPr>
            <w:tcW w:w="1923" w:type="dxa"/>
            <w:vAlign w:val="center"/>
          </w:tcPr>
          <w:p>
            <w:pPr>
              <w:ind w:left="-25" w:leftChars="-12" w:right="-109" w:rightChars="-52"/>
              <w:jc w:val="center"/>
              <w:rPr>
                <w:b/>
                <w:color w:val="auto"/>
                <w:szCs w:val="21"/>
                <w:highlight w:val="none"/>
              </w:rPr>
            </w:pPr>
            <w:r>
              <w:rPr>
                <w:b/>
                <w:color w:val="auto"/>
                <w:szCs w:val="21"/>
                <w:highlight w:val="none"/>
              </w:rPr>
              <w:t>1.5%</w:t>
            </w:r>
          </w:p>
        </w:tc>
        <w:tc>
          <w:tcPr>
            <w:tcW w:w="1912" w:type="dxa"/>
            <w:vAlign w:val="center"/>
          </w:tcPr>
          <w:p>
            <w:pPr>
              <w:ind w:left="-25" w:leftChars="-12" w:right="-109" w:rightChars="-52"/>
              <w:jc w:val="center"/>
              <w:rPr>
                <w:b/>
                <w:color w:val="auto"/>
                <w:szCs w:val="21"/>
                <w:highlight w:val="none"/>
              </w:rPr>
            </w:pPr>
            <w:r>
              <w:rPr>
                <w:b/>
                <w:color w:val="auto"/>
                <w:szCs w:val="21"/>
                <w:highlight w:val="none"/>
              </w:rPr>
              <w:t>1.5%</w:t>
            </w:r>
          </w:p>
        </w:tc>
        <w:tc>
          <w:tcPr>
            <w:tcW w:w="1747" w:type="dxa"/>
            <w:vAlign w:val="center"/>
          </w:tcPr>
          <w:p>
            <w:pPr>
              <w:ind w:left="-25" w:leftChars="-12" w:right="-109" w:rightChars="-52"/>
              <w:jc w:val="center"/>
              <w:rPr>
                <w:b/>
                <w:color w:val="auto"/>
                <w:szCs w:val="21"/>
                <w:highlight w:val="none"/>
              </w:rPr>
            </w:pPr>
            <w:r>
              <w:rPr>
                <w:b/>
                <w:color w:val="auto"/>
                <w:szCs w:val="21"/>
                <w:highlight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vAlign w:val="center"/>
          </w:tcPr>
          <w:p>
            <w:pPr>
              <w:jc w:val="center"/>
              <w:rPr>
                <w:b/>
                <w:color w:val="auto"/>
                <w:szCs w:val="21"/>
                <w:highlight w:val="none"/>
              </w:rPr>
            </w:pPr>
            <w:r>
              <w:rPr>
                <w:b/>
                <w:color w:val="auto"/>
                <w:szCs w:val="21"/>
                <w:highlight w:val="none"/>
              </w:rPr>
              <w:t>100</w:t>
            </w:r>
            <w:r>
              <w:rPr>
                <w:rFonts w:hint="eastAsia"/>
                <w:b/>
                <w:color w:val="auto"/>
                <w:szCs w:val="21"/>
                <w:highlight w:val="none"/>
              </w:rPr>
              <w:t>～</w:t>
            </w:r>
            <w:r>
              <w:rPr>
                <w:b/>
                <w:color w:val="auto"/>
                <w:szCs w:val="21"/>
                <w:highlight w:val="none"/>
              </w:rPr>
              <w:t>500</w:t>
            </w:r>
            <w:r>
              <w:rPr>
                <w:rFonts w:hint="eastAsia"/>
                <w:b/>
                <w:color w:val="auto"/>
                <w:szCs w:val="21"/>
                <w:highlight w:val="none"/>
              </w:rPr>
              <w:t>万元</w:t>
            </w:r>
          </w:p>
        </w:tc>
        <w:tc>
          <w:tcPr>
            <w:tcW w:w="1923" w:type="dxa"/>
            <w:vAlign w:val="center"/>
          </w:tcPr>
          <w:p>
            <w:pPr>
              <w:ind w:left="-25" w:leftChars="-12" w:right="-109" w:rightChars="-52"/>
              <w:jc w:val="center"/>
              <w:rPr>
                <w:b/>
                <w:color w:val="auto"/>
                <w:szCs w:val="21"/>
                <w:highlight w:val="none"/>
              </w:rPr>
            </w:pPr>
            <w:r>
              <w:rPr>
                <w:b/>
                <w:color w:val="auto"/>
                <w:szCs w:val="21"/>
                <w:highlight w:val="none"/>
              </w:rPr>
              <w:t>1.1%</w:t>
            </w:r>
          </w:p>
        </w:tc>
        <w:tc>
          <w:tcPr>
            <w:tcW w:w="1912" w:type="dxa"/>
            <w:vAlign w:val="center"/>
          </w:tcPr>
          <w:p>
            <w:pPr>
              <w:ind w:left="-25" w:leftChars="-12" w:right="-109" w:rightChars="-52"/>
              <w:jc w:val="center"/>
              <w:rPr>
                <w:b/>
                <w:color w:val="auto"/>
                <w:szCs w:val="21"/>
                <w:highlight w:val="none"/>
              </w:rPr>
            </w:pPr>
            <w:r>
              <w:rPr>
                <w:b/>
                <w:color w:val="auto"/>
                <w:szCs w:val="21"/>
                <w:highlight w:val="none"/>
              </w:rPr>
              <w:t>0.8%</w:t>
            </w:r>
          </w:p>
        </w:tc>
        <w:tc>
          <w:tcPr>
            <w:tcW w:w="1747" w:type="dxa"/>
            <w:vAlign w:val="center"/>
          </w:tcPr>
          <w:p>
            <w:pPr>
              <w:ind w:left="-25" w:leftChars="-12" w:right="-109" w:rightChars="-52"/>
              <w:jc w:val="center"/>
              <w:rPr>
                <w:b/>
                <w:color w:val="auto"/>
                <w:szCs w:val="21"/>
                <w:highlight w:val="none"/>
              </w:rPr>
            </w:pPr>
            <w:r>
              <w:rPr>
                <w:b/>
                <w:color w:val="auto"/>
                <w:szCs w:val="21"/>
                <w:highlight w:val="none"/>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vAlign w:val="center"/>
          </w:tcPr>
          <w:p>
            <w:pPr>
              <w:jc w:val="center"/>
              <w:rPr>
                <w:b/>
                <w:color w:val="auto"/>
                <w:szCs w:val="21"/>
                <w:highlight w:val="none"/>
              </w:rPr>
            </w:pPr>
            <w:r>
              <w:rPr>
                <w:b/>
                <w:color w:val="auto"/>
                <w:szCs w:val="21"/>
                <w:highlight w:val="none"/>
              </w:rPr>
              <w:t>500</w:t>
            </w:r>
            <w:r>
              <w:rPr>
                <w:rFonts w:hint="eastAsia"/>
                <w:b/>
                <w:color w:val="auto"/>
                <w:szCs w:val="21"/>
                <w:highlight w:val="none"/>
              </w:rPr>
              <w:t>～</w:t>
            </w:r>
            <w:r>
              <w:rPr>
                <w:b/>
                <w:color w:val="auto"/>
                <w:szCs w:val="21"/>
                <w:highlight w:val="none"/>
              </w:rPr>
              <w:t>1000</w:t>
            </w:r>
            <w:r>
              <w:rPr>
                <w:rFonts w:hint="eastAsia"/>
                <w:b/>
                <w:color w:val="auto"/>
                <w:szCs w:val="21"/>
                <w:highlight w:val="none"/>
              </w:rPr>
              <w:t>万元</w:t>
            </w:r>
          </w:p>
        </w:tc>
        <w:tc>
          <w:tcPr>
            <w:tcW w:w="1923" w:type="dxa"/>
            <w:vAlign w:val="center"/>
          </w:tcPr>
          <w:p>
            <w:pPr>
              <w:ind w:left="-25" w:leftChars="-12" w:right="-109" w:rightChars="-52"/>
              <w:jc w:val="center"/>
              <w:rPr>
                <w:b/>
                <w:color w:val="auto"/>
                <w:szCs w:val="21"/>
                <w:highlight w:val="none"/>
              </w:rPr>
            </w:pPr>
            <w:r>
              <w:rPr>
                <w:b/>
                <w:color w:val="auto"/>
                <w:szCs w:val="21"/>
                <w:highlight w:val="none"/>
              </w:rPr>
              <w:t>0.8%</w:t>
            </w:r>
          </w:p>
        </w:tc>
        <w:tc>
          <w:tcPr>
            <w:tcW w:w="1912" w:type="dxa"/>
            <w:vAlign w:val="center"/>
          </w:tcPr>
          <w:p>
            <w:pPr>
              <w:ind w:left="-25" w:leftChars="-12" w:right="-109" w:rightChars="-52"/>
              <w:jc w:val="center"/>
              <w:rPr>
                <w:b/>
                <w:color w:val="auto"/>
                <w:szCs w:val="21"/>
                <w:highlight w:val="none"/>
              </w:rPr>
            </w:pPr>
            <w:r>
              <w:rPr>
                <w:b/>
                <w:color w:val="auto"/>
                <w:szCs w:val="21"/>
                <w:highlight w:val="none"/>
              </w:rPr>
              <w:t>0.45%</w:t>
            </w:r>
          </w:p>
        </w:tc>
        <w:tc>
          <w:tcPr>
            <w:tcW w:w="1747" w:type="dxa"/>
            <w:vAlign w:val="center"/>
          </w:tcPr>
          <w:p>
            <w:pPr>
              <w:ind w:left="-25" w:leftChars="-12" w:right="-109" w:rightChars="-52"/>
              <w:jc w:val="center"/>
              <w:rPr>
                <w:b/>
                <w:color w:val="auto"/>
                <w:szCs w:val="21"/>
                <w:highlight w:val="none"/>
              </w:rPr>
            </w:pPr>
            <w:r>
              <w:rPr>
                <w:b/>
                <w:color w:val="auto"/>
                <w:szCs w:val="21"/>
                <w:highlight w:val="none"/>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vAlign w:val="center"/>
          </w:tcPr>
          <w:p>
            <w:pPr>
              <w:jc w:val="center"/>
              <w:rPr>
                <w:b/>
                <w:color w:val="auto"/>
                <w:szCs w:val="21"/>
                <w:highlight w:val="none"/>
              </w:rPr>
            </w:pPr>
            <w:r>
              <w:rPr>
                <w:b/>
                <w:color w:val="auto"/>
                <w:szCs w:val="21"/>
                <w:highlight w:val="none"/>
              </w:rPr>
              <w:t>1000</w:t>
            </w:r>
            <w:r>
              <w:rPr>
                <w:rFonts w:hint="eastAsia"/>
                <w:b/>
                <w:color w:val="auto"/>
                <w:szCs w:val="21"/>
                <w:highlight w:val="none"/>
              </w:rPr>
              <w:t>～</w:t>
            </w:r>
            <w:r>
              <w:rPr>
                <w:b/>
                <w:color w:val="auto"/>
                <w:szCs w:val="21"/>
                <w:highlight w:val="none"/>
              </w:rPr>
              <w:t>5000</w:t>
            </w:r>
            <w:r>
              <w:rPr>
                <w:rFonts w:hint="eastAsia"/>
                <w:b/>
                <w:color w:val="auto"/>
                <w:szCs w:val="21"/>
                <w:highlight w:val="none"/>
              </w:rPr>
              <w:t>万元</w:t>
            </w:r>
          </w:p>
        </w:tc>
        <w:tc>
          <w:tcPr>
            <w:tcW w:w="1923" w:type="dxa"/>
            <w:vAlign w:val="center"/>
          </w:tcPr>
          <w:p>
            <w:pPr>
              <w:ind w:left="-25" w:leftChars="-12" w:right="-109" w:rightChars="-52"/>
              <w:jc w:val="center"/>
              <w:rPr>
                <w:b/>
                <w:color w:val="auto"/>
                <w:szCs w:val="21"/>
                <w:highlight w:val="none"/>
              </w:rPr>
            </w:pPr>
            <w:r>
              <w:rPr>
                <w:b/>
                <w:color w:val="auto"/>
                <w:szCs w:val="21"/>
                <w:highlight w:val="none"/>
              </w:rPr>
              <w:t>0.5%</w:t>
            </w:r>
          </w:p>
        </w:tc>
        <w:tc>
          <w:tcPr>
            <w:tcW w:w="1912" w:type="dxa"/>
            <w:vAlign w:val="center"/>
          </w:tcPr>
          <w:p>
            <w:pPr>
              <w:ind w:left="-25" w:leftChars="-12" w:right="-109" w:rightChars="-52"/>
              <w:jc w:val="center"/>
              <w:rPr>
                <w:b/>
                <w:color w:val="auto"/>
                <w:szCs w:val="21"/>
                <w:highlight w:val="none"/>
              </w:rPr>
            </w:pPr>
            <w:r>
              <w:rPr>
                <w:b/>
                <w:color w:val="auto"/>
                <w:szCs w:val="21"/>
                <w:highlight w:val="none"/>
              </w:rPr>
              <w:t>0.25%</w:t>
            </w:r>
          </w:p>
        </w:tc>
        <w:tc>
          <w:tcPr>
            <w:tcW w:w="1747" w:type="dxa"/>
            <w:vAlign w:val="center"/>
          </w:tcPr>
          <w:p>
            <w:pPr>
              <w:ind w:left="-25" w:leftChars="-12" w:right="-109" w:rightChars="-52"/>
              <w:jc w:val="center"/>
              <w:rPr>
                <w:b/>
                <w:color w:val="auto"/>
                <w:szCs w:val="21"/>
                <w:highlight w:val="none"/>
              </w:rPr>
            </w:pPr>
            <w:r>
              <w:rPr>
                <w:b/>
                <w:color w:val="auto"/>
                <w:szCs w:val="21"/>
                <w:highlight w:val="none"/>
              </w:rPr>
              <w:t>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vAlign w:val="center"/>
          </w:tcPr>
          <w:p>
            <w:pPr>
              <w:jc w:val="center"/>
              <w:rPr>
                <w:b/>
                <w:color w:val="auto"/>
                <w:szCs w:val="21"/>
                <w:highlight w:val="none"/>
              </w:rPr>
            </w:pPr>
            <w:r>
              <w:rPr>
                <w:b/>
                <w:color w:val="auto"/>
                <w:szCs w:val="21"/>
                <w:highlight w:val="none"/>
              </w:rPr>
              <w:t>5000</w:t>
            </w:r>
            <w:r>
              <w:rPr>
                <w:rFonts w:hint="eastAsia"/>
                <w:b/>
                <w:color w:val="auto"/>
                <w:szCs w:val="21"/>
                <w:highlight w:val="none"/>
              </w:rPr>
              <w:t>万元～</w:t>
            </w:r>
            <w:r>
              <w:rPr>
                <w:b/>
                <w:color w:val="auto"/>
                <w:szCs w:val="21"/>
                <w:highlight w:val="none"/>
              </w:rPr>
              <w:t>1</w:t>
            </w:r>
            <w:r>
              <w:rPr>
                <w:rFonts w:hint="eastAsia"/>
                <w:b/>
                <w:color w:val="auto"/>
                <w:szCs w:val="21"/>
                <w:highlight w:val="none"/>
              </w:rPr>
              <w:t>亿元</w:t>
            </w:r>
          </w:p>
        </w:tc>
        <w:tc>
          <w:tcPr>
            <w:tcW w:w="1923" w:type="dxa"/>
            <w:vAlign w:val="center"/>
          </w:tcPr>
          <w:p>
            <w:pPr>
              <w:ind w:left="-25" w:leftChars="-12" w:right="-109" w:rightChars="-52"/>
              <w:jc w:val="center"/>
              <w:rPr>
                <w:b/>
                <w:color w:val="auto"/>
                <w:szCs w:val="21"/>
                <w:highlight w:val="none"/>
              </w:rPr>
            </w:pPr>
            <w:r>
              <w:rPr>
                <w:b/>
                <w:color w:val="auto"/>
                <w:szCs w:val="21"/>
                <w:highlight w:val="none"/>
              </w:rPr>
              <w:t>0.25%</w:t>
            </w:r>
          </w:p>
        </w:tc>
        <w:tc>
          <w:tcPr>
            <w:tcW w:w="1912" w:type="dxa"/>
            <w:vAlign w:val="center"/>
          </w:tcPr>
          <w:p>
            <w:pPr>
              <w:ind w:left="-25" w:leftChars="-12" w:right="-109" w:rightChars="-52"/>
              <w:jc w:val="center"/>
              <w:rPr>
                <w:b/>
                <w:color w:val="auto"/>
                <w:szCs w:val="21"/>
                <w:highlight w:val="none"/>
              </w:rPr>
            </w:pPr>
            <w:r>
              <w:rPr>
                <w:b/>
                <w:color w:val="auto"/>
                <w:szCs w:val="21"/>
                <w:highlight w:val="none"/>
              </w:rPr>
              <w:t>0.1%</w:t>
            </w:r>
          </w:p>
        </w:tc>
        <w:tc>
          <w:tcPr>
            <w:tcW w:w="1747" w:type="dxa"/>
            <w:vAlign w:val="center"/>
          </w:tcPr>
          <w:p>
            <w:pPr>
              <w:ind w:left="-25" w:leftChars="-12" w:right="-109" w:rightChars="-52"/>
              <w:jc w:val="center"/>
              <w:rPr>
                <w:b/>
                <w:color w:val="auto"/>
                <w:szCs w:val="21"/>
                <w:highlight w:val="none"/>
              </w:rPr>
            </w:pPr>
            <w:r>
              <w:rPr>
                <w:b/>
                <w:color w:val="auto"/>
                <w:szCs w:val="21"/>
                <w:highlight w:val="none"/>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vAlign w:val="center"/>
          </w:tcPr>
          <w:p>
            <w:pPr>
              <w:jc w:val="center"/>
              <w:rPr>
                <w:b/>
                <w:color w:val="auto"/>
                <w:szCs w:val="21"/>
                <w:highlight w:val="none"/>
              </w:rPr>
            </w:pPr>
            <w:r>
              <w:rPr>
                <w:b/>
                <w:color w:val="auto"/>
                <w:szCs w:val="21"/>
                <w:highlight w:val="none"/>
              </w:rPr>
              <w:t>1</w:t>
            </w:r>
            <w:r>
              <w:rPr>
                <w:rFonts w:hint="eastAsia"/>
                <w:b/>
                <w:color w:val="auto"/>
                <w:szCs w:val="21"/>
                <w:highlight w:val="none"/>
              </w:rPr>
              <w:t>～</w:t>
            </w:r>
            <w:r>
              <w:rPr>
                <w:b/>
                <w:color w:val="auto"/>
                <w:szCs w:val="21"/>
                <w:highlight w:val="none"/>
              </w:rPr>
              <w:t>5</w:t>
            </w:r>
            <w:r>
              <w:rPr>
                <w:rFonts w:hint="eastAsia"/>
                <w:b/>
                <w:color w:val="auto"/>
                <w:szCs w:val="21"/>
                <w:highlight w:val="none"/>
              </w:rPr>
              <w:t>亿元</w:t>
            </w:r>
          </w:p>
        </w:tc>
        <w:tc>
          <w:tcPr>
            <w:tcW w:w="1923" w:type="dxa"/>
            <w:vAlign w:val="center"/>
          </w:tcPr>
          <w:p>
            <w:pPr>
              <w:ind w:left="-25" w:leftChars="-12" w:right="-109" w:rightChars="-52"/>
              <w:jc w:val="center"/>
              <w:rPr>
                <w:b/>
                <w:color w:val="auto"/>
                <w:szCs w:val="21"/>
                <w:highlight w:val="none"/>
              </w:rPr>
            </w:pPr>
            <w:r>
              <w:rPr>
                <w:b/>
                <w:color w:val="auto"/>
                <w:szCs w:val="21"/>
                <w:highlight w:val="none"/>
              </w:rPr>
              <w:t>0.05%</w:t>
            </w:r>
          </w:p>
        </w:tc>
        <w:tc>
          <w:tcPr>
            <w:tcW w:w="1912" w:type="dxa"/>
            <w:vAlign w:val="center"/>
          </w:tcPr>
          <w:p>
            <w:pPr>
              <w:ind w:left="-25" w:leftChars="-12" w:right="-109" w:rightChars="-52"/>
              <w:jc w:val="center"/>
              <w:rPr>
                <w:b/>
                <w:color w:val="auto"/>
                <w:szCs w:val="21"/>
                <w:highlight w:val="none"/>
              </w:rPr>
            </w:pPr>
            <w:r>
              <w:rPr>
                <w:b/>
                <w:color w:val="auto"/>
                <w:szCs w:val="21"/>
                <w:highlight w:val="none"/>
              </w:rPr>
              <w:t>0.05%</w:t>
            </w:r>
          </w:p>
        </w:tc>
        <w:tc>
          <w:tcPr>
            <w:tcW w:w="1747" w:type="dxa"/>
            <w:vAlign w:val="center"/>
          </w:tcPr>
          <w:p>
            <w:pPr>
              <w:ind w:left="-25" w:leftChars="-12" w:right="-109" w:rightChars="-52"/>
              <w:jc w:val="center"/>
              <w:rPr>
                <w:b/>
                <w:color w:val="auto"/>
                <w:szCs w:val="21"/>
                <w:highlight w:val="none"/>
              </w:rPr>
            </w:pPr>
            <w:r>
              <w:rPr>
                <w:b/>
                <w:color w:val="auto"/>
                <w:szCs w:val="21"/>
                <w:highlight w:val="non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vAlign w:val="center"/>
          </w:tcPr>
          <w:p>
            <w:pPr>
              <w:jc w:val="center"/>
              <w:rPr>
                <w:b/>
                <w:color w:val="auto"/>
                <w:szCs w:val="21"/>
                <w:highlight w:val="none"/>
              </w:rPr>
            </w:pPr>
            <w:r>
              <w:rPr>
                <w:b/>
                <w:color w:val="auto"/>
                <w:szCs w:val="21"/>
                <w:highlight w:val="none"/>
              </w:rPr>
              <w:t>5</w:t>
            </w:r>
            <w:r>
              <w:rPr>
                <w:rFonts w:hint="eastAsia"/>
                <w:b/>
                <w:color w:val="auto"/>
                <w:szCs w:val="21"/>
                <w:highlight w:val="none"/>
              </w:rPr>
              <w:t>～</w:t>
            </w:r>
            <w:r>
              <w:rPr>
                <w:b/>
                <w:color w:val="auto"/>
                <w:szCs w:val="21"/>
                <w:highlight w:val="none"/>
              </w:rPr>
              <w:t>10</w:t>
            </w:r>
            <w:r>
              <w:rPr>
                <w:rFonts w:hint="eastAsia"/>
                <w:b/>
                <w:color w:val="auto"/>
                <w:szCs w:val="21"/>
                <w:highlight w:val="none"/>
              </w:rPr>
              <w:t>亿元</w:t>
            </w:r>
          </w:p>
        </w:tc>
        <w:tc>
          <w:tcPr>
            <w:tcW w:w="1923" w:type="dxa"/>
            <w:vAlign w:val="center"/>
          </w:tcPr>
          <w:p>
            <w:pPr>
              <w:ind w:left="-25" w:leftChars="-12" w:right="-109" w:rightChars="-52"/>
              <w:jc w:val="center"/>
              <w:rPr>
                <w:b/>
                <w:color w:val="auto"/>
                <w:szCs w:val="21"/>
                <w:highlight w:val="none"/>
              </w:rPr>
            </w:pPr>
            <w:r>
              <w:rPr>
                <w:b/>
                <w:color w:val="auto"/>
                <w:szCs w:val="21"/>
                <w:highlight w:val="none"/>
              </w:rPr>
              <w:t>0.035%</w:t>
            </w:r>
          </w:p>
        </w:tc>
        <w:tc>
          <w:tcPr>
            <w:tcW w:w="1912" w:type="dxa"/>
            <w:vAlign w:val="center"/>
          </w:tcPr>
          <w:p>
            <w:pPr>
              <w:ind w:left="-25" w:leftChars="-12" w:right="-109" w:rightChars="-52"/>
              <w:jc w:val="center"/>
              <w:rPr>
                <w:b/>
                <w:color w:val="auto"/>
                <w:szCs w:val="21"/>
                <w:highlight w:val="none"/>
              </w:rPr>
            </w:pPr>
            <w:r>
              <w:rPr>
                <w:b/>
                <w:color w:val="auto"/>
                <w:szCs w:val="21"/>
                <w:highlight w:val="none"/>
              </w:rPr>
              <w:t>0.035%</w:t>
            </w:r>
          </w:p>
        </w:tc>
        <w:tc>
          <w:tcPr>
            <w:tcW w:w="1747" w:type="dxa"/>
            <w:vAlign w:val="center"/>
          </w:tcPr>
          <w:p>
            <w:pPr>
              <w:ind w:left="-25" w:leftChars="-12" w:right="-109" w:rightChars="-52"/>
              <w:jc w:val="center"/>
              <w:rPr>
                <w:b/>
                <w:color w:val="auto"/>
                <w:szCs w:val="21"/>
                <w:highlight w:val="none"/>
              </w:rPr>
            </w:pPr>
            <w:r>
              <w:rPr>
                <w:b/>
                <w:color w:val="auto"/>
                <w:szCs w:val="21"/>
                <w:highlight w:val="none"/>
              </w:rPr>
              <w:t>0.035%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vAlign w:val="center"/>
          </w:tcPr>
          <w:p>
            <w:pPr>
              <w:jc w:val="center"/>
              <w:rPr>
                <w:b/>
                <w:color w:val="auto"/>
                <w:szCs w:val="21"/>
                <w:highlight w:val="none"/>
              </w:rPr>
            </w:pPr>
            <w:r>
              <w:rPr>
                <w:b/>
                <w:color w:val="auto"/>
                <w:szCs w:val="21"/>
                <w:highlight w:val="none"/>
              </w:rPr>
              <w:t>10</w:t>
            </w:r>
            <w:r>
              <w:rPr>
                <w:rFonts w:hint="eastAsia"/>
                <w:b/>
                <w:color w:val="auto"/>
                <w:szCs w:val="21"/>
                <w:highlight w:val="none"/>
              </w:rPr>
              <w:t>～</w:t>
            </w:r>
            <w:r>
              <w:rPr>
                <w:b/>
                <w:color w:val="auto"/>
                <w:szCs w:val="21"/>
                <w:highlight w:val="none"/>
              </w:rPr>
              <w:t>50</w:t>
            </w:r>
            <w:r>
              <w:rPr>
                <w:rFonts w:hint="eastAsia"/>
                <w:b/>
                <w:color w:val="auto"/>
                <w:szCs w:val="21"/>
                <w:highlight w:val="none"/>
              </w:rPr>
              <w:t>亿元</w:t>
            </w:r>
          </w:p>
        </w:tc>
        <w:tc>
          <w:tcPr>
            <w:tcW w:w="1923" w:type="dxa"/>
            <w:vAlign w:val="center"/>
          </w:tcPr>
          <w:p>
            <w:pPr>
              <w:ind w:left="-25" w:leftChars="-12" w:right="-109" w:rightChars="-52"/>
              <w:jc w:val="center"/>
              <w:rPr>
                <w:b/>
                <w:color w:val="auto"/>
                <w:szCs w:val="21"/>
                <w:highlight w:val="none"/>
              </w:rPr>
            </w:pPr>
            <w:r>
              <w:rPr>
                <w:b/>
                <w:color w:val="auto"/>
                <w:szCs w:val="21"/>
                <w:highlight w:val="none"/>
              </w:rPr>
              <w:t>0.008%</w:t>
            </w:r>
          </w:p>
        </w:tc>
        <w:tc>
          <w:tcPr>
            <w:tcW w:w="1912" w:type="dxa"/>
            <w:vAlign w:val="center"/>
          </w:tcPr>
          <w:p>
            <w:pPr>
              <w:ind w:left="-25" w:leftChars="-12" w:right="-109" w:rightChars="-52"/>
              <w:jc w:val="center"/>
              <w:rPr>
                <w:b/>
                <w:color w:val="auto"/>
                <w:szCs w:val="21"/>
                <w:highlight w:val="none"/>
              </w:rPr>
            </w:pPr>
            <w:r>
              <w:rPr>
                <w:b/>
                <w:color w:val="auto"/>
                <w:szCs w:val="21"/>
                <w:highlight w:val="none"/>
              </w:rPr>
              <w:t>0.008%</w:t>
            </w:r>
          </w:p>
        </w:tc>
        <w:tc>
          <w:tcPr>
            <w:tcW w:w="1747" w:type="dxa"/>
            <w:vAlign w:val="center"/>
          </w:tcPr>
          <w:p>
            <w:pPr>
              <w:ind w:left="-25" w:leftChars="-12" w:right="-109" w:rightChars="-52"/>
              <w:jc w:val="center"/>
              <w:rPr>
                <w:b/>
                <w:color w:val="auto"/>
                <w:szCs w:val="21"/>
                <w:highlight w:val="none"/>
              </w:rPr>
            </w:pPr>
            <w:r>
              <w:rPr>
                <w:b/>
                <w:color w:val="auto"/>
                <w:szCs w:val="21"/>
                <w:highlight w:val="none"/>
              </w:rPr>
              <w:t>0.008%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vAlign w:val="center"/>
          </w:tcPr>
          <w:p>
            <w:pPr>
              <w:jc w:val="center"/>
              <w:rPr>
                <w:b/>
                <w:color w:val="auto"/>
                <w:szCs w:val="21"/>
                <w:highlight w:val="none"/>
              </w:rPr>
            </w:pPr>
            <w:r>
              <w:rPr>
                <w:b/>
                <w:color w:val="auto"/>
                <w:szCs w:val="21"/>
                <w:highlight w:val="none"/>
              </w:rPr>
              <w:t>50</w:t>
            </w:r>
            <w:r>
              <w:rPr>
                <w:rFonts w:hint="eastAsia"/>
                <w:b/>
                <w:color w:val="auto"/>
                <w:szCs w:val="21"/>
                <w:highlight w:val="none"/>
              </w:rPr>
              <w:t>～</w:t>
            </w:r>
            <w:r>
              <w:rPr>
                <w:b/>
                <w:color w:val="auto"/>
                <w:szCs w:val="21"/>
                <w:highlight w:val="none"/>
              </w:rPr>
              <w:t>100</w:t>
            </w:r>
            <w:r>
              <w:rPr>
                <w:rFonts w:hint="eastAsia"/>
                <w:b/>
                <w:color w:val="auto"/>
                <w:szCs w:val="21"/>
                <w:highlight w:val="none"/>
              </w:rPr>
              <w:t>亿元</w:t>
            </w:r>
          </w:p>
        </w:tc>
        <w:tc>
          <w:tcPr>
            <w:tcW w:w="1923" w:type="dxa"/>
            <w:vAlign w:val="center"/>
          </w:tcPr>
          <w:p>
            <w:pPr>
              <w:ind w:left="-25" w:leftChars="-12" w:right="-109" w:rightChars="-52"/>
              <w:jc w:val="center"/>
              <w:rPr>
                <w:b/>
                <w:color w:val="auto"/>
                <w:szCs w:val="21"/>
                <w:highlight w:val="none"/>
              </w:rPr>
            </w:pPr>
            <w:r>
              <w:rPr>
                <w:b/>
                <w:color w:val="auto"/>
                <w:szCs w:val="21"/>
                <w:highlight w:val="none"/>
              </w:rPr>
              <w:t>0.006%</w:t>
            </w:r>
          </w:p>
        </w:tc>
        <w:tc>
          <w:tcPr>
            <w:tcW w:w="1912" w:type="dxa"/>
            <w:vAlign w:val="center"/>
          </w:tcPr>
          <w:p>
            <w:pPr>
              <w:ind w:left="-25" w:leftChars="-12" w:right="-109" w:rightChars="-52"/>
              <w:jc w:val="center"/>
              <w:rPr>
                <w:b/>
                <w:color w:val="auto"/>
                <w:szCs w:val="21"/>
                <w:highlight w:val="none"/>
              </w:rPr>
            </w:pPr>
            <w:r>
              <w:rPr>
                <w:b/>
                <w:color w:val="auto"/>
                <w:szCs w:val="21"/>
                <w:highlight w:val="none"/>
              </w:rPr>
              <w:t>0.006%</w:t>
            </w:r>
          </w:p>
        </w:tc>
        <w:tc>
          <w:tcPr>
            <w:tcW w:w="1747" w:type="dxa"/>
            <w:vAlign w:val="center"/>
          </w:tcPr>
          <w:p>
            <w:pPr>
              <w:ind w:left="-25" w:leftChars="-12" w:right="-109" w:rightChars="-52"/>
              <w:jc w:val="center"/>
              <w:rPr>
                <w:b/>
                <w:color w:val="auto"/>
                <w:szCs w:val="21"/>
                <w:highlight w:val="none"/>
              </w:rPr>
            </w:pPr>
            <w:r>
              <w:rPr>
                <w:b/>
                <w:color w:val="auto"/>
                <w:szCs w:val="21"/>
                <w:highlight w:val="none"/>
              </w:rPr>
              <w:t>0.006%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895" w:type="dxa"/>
            <w:vAlign w:val="center"/>
          </w:tcPr>
          <w:p>
            <w:pPr>
              <w:jc w:val="center"/>
              <w:rPr>
                <w:b/>
                <w:color w:val="auto"/>
                <w:szCs w:val="21"/>
                <w:highlight w:val="none"/>
              </w:rPr>
            </w:pPr>
            <w:r>
              <w:rPr>
                <w:b/>
                <w:color w:val="auto"/>
                <w:szCs w:val="21"/>
                <w:highlight w:val="none"/>
              </w:rPr>
              <w:t>100</w:t>
            </w:r>
            <w:r>
              <w:rPr>
                <w:rFonts w:hint="eastAsia"/>
                <w:b/>
                <w:color w:val="auto"/>
                <w:szCs w:val="21"/>
                <w:highlight w:val="none"/>
              </w:rPr>
              <w:t>亿以上</w:t>
            </w:r>
          </w:p>
        </w:tc>
        <w:tc>
          <w:tcPr>
            <w:tcW w:w="1923" w:type="dxa"/>
            <w:vAlign w:val="center"/>
          </w:tcPr>
          <w:p>
            <w:pPr>
              <w:ind w:left="-25" w:leftChars="-12" w:right="-109" w:rightChars="-52"/>
              <w:jc w:val="center"/>
              <w:rPr>
                <w:b/>
                <w:color w:val="auto"/>
                <w:szCs w:val="21"/>
                <w:highlight w:val="none"/>
              </w:rPr>
            </w:pPr>
            <w:r>
              <w:rPr>
                <w:b/>
                <w:color w:val="auto"/>
                <w:szCs w:val="21"/>
                <w:highlight w:val="none"/>
              </w:rPr>
              <w:t>0.004%</w:t>
            </w:r>
          </w:p>
        </w:tc>
        <w:tc>
          <w:tcPr>
            <w:tcW w:w="1912" w:type="dxa"/>
            <w:vAlign w:val="center"/>
          </w:tcPr>
          <w:p>
            <w:pPr>
              <w:ind w:left="-25" w:leftChars="-12" w:right="-109" w:rightChars="-52"/>
              <w:jc w:val="center"/>
              <w:rPr>
                <w:b/>
                <w:color w:val="auto"/>
                <w:szCs w:val="21"/>
                <w:highlight w:val="none"/>
              </w:rPr>
            </w:pPr>
            <w:r>
              <w:rPr>
                <w:b/>
                <w:color w:val="auto"/>
                <w:szCs w:val="21"/>
                <w:highlight w:val="none"/>
              </w:rPr>
              <w:t>0.004%</w:t>
            </w:r>
          </w:p>
        </w:tc>
        <w:tc>
          <w:tcPr>
            <w:tcW w:w="1747" w:type="dxa"/>
            <w:vAlign w:val="center"/>
          </w:tcPr>
          <w:p>
            <w:pPr>
              <w:ind w:left="-25" w:leftChars="-12" w:right="-109" w:rightChars="-52"/>
              <w:jc w:val="center"/>
              <w:rPr>
                <w:b/>
                <w:color w:val="auto"/>
                <w:szCs w:val="21"/>
                <w:highlight w:val="none"/>
              </w:rPr>
            </w:pPr>
            <w:r>
              <w:rPr>
                <w:b/>
                <w:color w:val="auto"/>
                <w:szCs w:val="21"/>
                <w:highlight w:val="none"/>
              </w:rPr>
              <w:t>0.004%</w:t>
            </w:r>
          </w:p>
        </w:tc>
      </w:tr>
    </w:tbl>
    <w:p>
      <w:pPr>
        <w:spacing w:line="360" w:lineRule="auto"/>
        <w:ind w:firstLine="600"/>
        <w:rPr>
          <w:b/>
          <w:color w:val="auto"/>
          <w:sz w:val="24"/>
          <w:highlight w:val="none"/>
        </w:rPr>
      </w:pPr>
      <w:r>
        <w:rPr>
          <w:rFonts w:hint="eastAsia"/>
          <w:b/>
          <w:color w:val="auto"/>
          <w:sz w:val="24"/>
          <w:highlight w:val="none"/>
        </w:rPr>
        <w:t>代理服务费付款期限为贵司发出中标通知书后</w:t>
      </w:r>
      <w:r>
        <w:rPr>
          <w:b/>
          <w:color w:val="auto"/>
          <w:sz w:val="24"/>
          <w:highlight w:val="none"/>
        </w:rPr>
        <w:t>15</w:t>
      </w:r>
      <w:r>
        <w:rPr>
          <w:rFonts w:hint="eastAsia"/>
          <w:b/>
          <w:color w:val="auto"/>
          <w:sz w:val="24"/>
          <w:highlight w:val="none"/>
        </w:rPr>
        <w:t>日内，我司按以下第</w:t>
      </w:r>
      <w:r>
        <w:rPr>
          <w:b/>
          <w:color w:val="auto"/>
          <w:sz w:val="24"/>
          <w:highlight w:val="none"/>
          <w:u w:val="single"/>
        </w:rPr>
        <w:t xml:space="preserve">    </w:t>
      </w:r>
      <w:r>
        <w:rPr>
          <w:rFonts w:hint="eastAsia"/>
          <w:b/>
          <w:color w:val="auto"/>
          <w:sz w:val="24"/>
          <w:highlight w:val="none"/>
        </w:rPr>
        <w:t>种形式向贵公司缴交</w:t>
      </w:r>
      <w:r>
        <w:rPr>
          <w:b/>
          <w:color w:val="auto"/>
          <w:sz w:val="24"/>
          <w:highlight w:val="none"/>
        </w:rPr>
        <w:t>:</w:t>
      </w:r>
    </w:p>
    <w:p>
      <w:pPr>
        <w:spacing w:line="360" w:lineRule="auto"/>
        <w:ind w:firstLine="600"/>
        <w:rPr>
          <w:b/>
          <w:color w:val="auto"/>
          <w:sz w:val="24"/>
          <w:highlight w:val="none"/>
        </w:rPr>
      </w:pPr>
      <w:r>
        <w:rPr>
          <w:rFonts w:hint="eastAsia"/>
          <w:b/>
          <w:color w:val="auto"/>
          <w:sz w:val="24"/>
          <w:highlight w:val="none"/>
        </w:rPr>
        <w:t>（</w:t>
      </w:r>
      <w:r>
        <w:rPr>
          <w:b/>
          <w:color w:val="auto"/>
          <w:sz w:val="24"/>
          <w:highlight w:val="none"/>
        </w:rPr>
        <w:t>1</w:t>
      </w:r>
      <w:r>
        <w:rPr>
          <w:rFonts w:hint="eastAsia"/>
          <w:b/>
          <w:color w:val="auto"/>
          <w:sz w:val="24"/>
          <w:highlight w:val="none"/>
        </w:rPr>
        <w:t>）由贵司在本次比选项目的参选保证金中直接扣除。</w:t>
      </w:r>
    </w:p>
    <w:p>
      <w:pPr>
        <w:spacing w:line="360" w:lineRule="auto"/>
        <w:ind w:firstLine="600"/>
        <w:rPr>
          <w:b/>
          <w:color w:val="auto"/>
          <w:sz w:val="24"/>
          <w:highlight w:val="none"/>
        </w:rPr>
      </w:pPr>
      <w:r>
        <w:rPr>
          <w:rFonts w:hint="eastAsia"/>
          <w:b/>
          <w:color w:val="auto"/>
          <w:sz w:val="24"/>
          <w:highlight w:val="none"/>
        </w:rPr>
        <w:t>（</w:t>
      </w:r>
      <w:r>
        <w:rPr>
          <w:b/>
          <w:color w:val="auto"/>
          <w:sz w:val="24"/>
          <w:highlight w:val="none"/>
        </w:rPr>
        <w:t>2</w:t>
      </w:r>
      <w:r>
        <w:rPr>
          <w:rFonts w:hint="eastAsia"/>
          <w:b/>
          <w:color w:val="auto"/>
          <w:sz w:val="24"/>
          <w:highlight w:val="none"/>
        </w:rPr>
        <w:t>）我司向贵司账户银行电汇。请贵公司将参选保证金原路退还至我公司同名账户。</w:t>
      </w:r>
    </w:p>
    <w:p>
      <w:pPr>
        <w:spacing w:line="276" w:lineRule="auto"/>
        <w:rPr>
          <w:b/>
          <w:color w:val="auto"/>
          <w:highlight w:val="none"/>
        </w:rPr>
      </w:pPr>
      <w:r>
        <w:rPr>
          <w:rFonts w:hint="eastAsia"/>
          <w:b/>
          <w:color w:val="auto"/>
          <w:sz w:val="24"/>
          <w:highlight w:val="none"/>
        </w:rPr>
        <w:t>（3）</w:t>
      </w:r>
      <w:r>
        <w:rPr>
          <w:rFonts w:hint="eastAsia"/>
          <w:b/>
          <w:color w:val="auto"/>
          <w:highlight w:val="none"/>
        </w:rPr>
        <w:t>为保证参选保证金的顺利退还，请准确填写以下信息：</w:t>
      </w:r>
    </w:p>
    <w:p>
      <w:pPr>
        <w:spacing w:line="276" w:lineRule="auto"/>
        <w:rPr>
          <w:b/>
          <w:color w:val="auto"/>
          <w:highlight w:val="none"/>
        </w:rPr>
      </w:pPr>
      <w:r>
        <w:rPr>
          <w:rFonts w:hint="eastAsia"/>
          <w:b/>
          <w:color w:val="auto"/>
          <w:highlight w:val="none"/>
        </w:rPr>
        <w:t>银行账号</w:t>
      </w:r>
    </w:p>
    <w:tbl>
      <w:tblPr>
        <w:tblStyle w:val="37"/>
        <w:tblW w:w="8669" w:type="dxa"/>
        <w:tblInd w:w="0" w:type="dxa"/>
        <w:tblLayout w:type="fixed"/>
        <w:tblCellMar>
          <w:top w:w="0" w:type="dxa"/>
          <w:left w:w="108" w:type="dxa"/>
          <w:bottom w:w="0" w:type="dxa"/>
          <w:right w:w="108" w:type="dxa"/>
        </w:tblCellMar>
      </w:tblPr>
      <w:tblGrid>
        <w:gridCol w:w="5113"/>
        <w:gridCol w:w="3556"/>
      </w:tblGrid>
      <w:tr>
        <w:tblPrEx>
          <w:tblCellMar>
            <w:top w:w="0" w:type="dxa"/>
            <w:left w:w="108" w:type="dxa"/>
            <w:bottom w:w="0" w:type="dxa"/>
            <w:right w:w="108" w:type="dxa"/>
          </w:tblCellMar>
        </w:tblPrEx>
        <w:trPr>
          <w:trHeight w:val="50" w:hRule="atLeast"/>
        </w:trPr>
        <w:tc>
          <w:tcPr>
            <w:tcW w:w="5113"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b/>
                <w:color w:val="auto"/>
                <w:highlight w:val="none"/>
              </w:rPr>
            </w:pPr>
            <w:r>
              <w:rPr>
                <w:rFonts w:hint="eastAsia"/>
                <w:b/>
                <w:color w:val="auto"/>
                <w:highlight w:val="none"/>
              </w:rPr>
              <w:t>比选代理机构</w:t>
            </w:r>
          </w:p>
        </w:tc>
        <w:tc>
          <w:tcPr>
            <w:tcW w:w="3556" w:type="dxa"/>
            <w:tcBorders>
              <w:top w:val="single" w:color="auto" w:sz="4" w:space="0"/>
              <w:left w:val="nil"/>
              <w:bottom w:val="single" w:color="auto" w:sz="4" w:space="0"/>
              <w:right w:val="single" w:color="auto" w:sz="4" w:space="0"/>
            </w:tcBorders>
            <w:vAlign w:val="center"/>
          </w:tcPr>
          <w:p>
            <w:pPr>
              <w:spacing w:line="276" w:lineRule="auto"/>
              <w:jc w:val="center"/>
              <w:rPr>
                <w:rFonts w:hint="eastAsia" w:asciiTheme="majorEastAsia" w:hAnsiTheme="majorEastAsia" w:eastAsiaTheme="majorEastAsia" w:cstheme="majorEastAsia"/>
                <w:b/>
                <w:color w:val="auto"/>
                <w:highlight w:val="none"/>
              </w:rPr>
            </w:pPr>
            <w:r>
              <w:rPr>
                <w:rFonts w:hint="eastAsia" w:asciiTheme="majorEastAsia" w:hAnsiTheme="majorEastAsia" w:eastAsiaTheme="majorEastAsia" w:cstheme="majorEastAsia"/>
                <w:b/>
                <w:color w:val="auto"/>
                <w:highlight w:val="none"/>
              </w:rPr>
              <w:t>参选单位银行信息</w:t>
            </w:r>
          </w:p>
        </w:tc>
      </w:tr>
      <w:tr>
        <w:tblPrEx>
          <w:tblCellMar>
            <w:top w:w="0" w:type="dxa"/>
            <w:left w:w="108" w:type="dxa"/>
            <w:bottom w:w="0" w:type="dxa"/>
            <w:right w:w="108" w:type="dxa"/>
          </w:tblCellMar>
        </w:tblPrEx>
        <w:trPr>
          <w:trHeight w:val="50" w:hRule="atLeast"/>
        </w:trPr>
        <w:tc>
          <w:tcPr>
            <w:tcW w:w="5113" w:type="dxa"/>
            <w:tcBorders>
              <w:top w:val="nil"/>
              <w:left w:val="single" w:color="auto" w:sz="4" w:space="0"/>
              <w:bottom w:val="single" w:color="auto" w:sz="4" w:space="0"/>
              <w:right w:val="single" w:color="auto" w:sz="4" w:space="0"/>
            </w:tcBorders>
            <w:vAlign w:val="center"/>
          </w:tcPr>
          <w:p>
            <w:pPr>
              <w:spacing w:line="360" w:lineRule="auto"/>
              <w:rPr>
                <w:b/>
                <w:color w:val="auto"/>
                <w:highlight w:val="none"/>
              </w:rPr>
            </w:pPr>
            <w:r>
              <w:rPr>
                <w:rFonts w:hint="eastAsia"/>
                <w:b/>
                <w:color w:val="auto"/>
                <w:highlight w:val="none"/>
              </w:rPr>
              <w:t>开</w:t>
            </w:r>
            <w:r>
              <w:rPr>
                <w:b/>
                <w:color w:val="auto"/>
                <w:highlight w:val="none"/>
              </w:rPr>
              <w:t xml:space="preserve"> </w:t>
            </w:r>
            <w:r>
              <w:rPr>
                <w:rFonts w:hint="eastAsia"/>
                <w:b/>
                <w:color w:val="auto"/>
                <w:highlight w:val="none"/>
              </w:rPr>
              <w:t>户</w:t>
            </w:r>
            <w:r>
              <w:rPr>
                <w:b/>
                <w:color w:val="auto"/>
                <w:highlight w:val="none"/>
              </w:rPr>
              <w:t xml:space="preserve"> </w:t>
            </w:r>
            <w:r>
              <w:rPr>
                <w:rFonts w:hint="eastAsia"/>
                <w:b/>
                <w:color w:val="auto"/>
                <w:highlight w:val="none"/>
              </w:rPr>
              <w:t>名：中捷通信有限公司</w:t>
            </w:r>
          </w:p>
        </w:tc>
        <w:tc>
          <w:tcPr>
            <w:tcW w:w="3556" w:type="dxa"/>
            <w:tcBorders>
              <w:top w:val="nil"/>
              <w:left w:val="nil"/>
              <w:bottom w:val="single" w:color="auto" w:sz="4" w:space="0"/>
              <w:right w:val="single" w:color="auto" w:sz="4" w:space="0"/>
            </w:tcBorders>
            <w:vAlign w:val="center"/>
          </w:tcPr>
          <w:p>
            <w:pPr>
              <w:spacing w:line="276" w:lineRule="auto"/>
              <w:rPr>
                <w:b/>
                <w:color w:val="auto"/>
                <w:highlight w:val="none"/>
              </w:rPr>
            </w:pPr>
            <w:r>
              <w:rPr>
                <w:rFonts w:hint="eastAsia"/>
                <w:b/>
                <w:color w:val="auto"/>
                <w:highlight w:val="none"/>
              </w:rPr>
              <w:t>　</w:t>
            </w:r>
          </w:p>
        </w:tc>
      </w:tr>
      <w:tr>
        <w:tblPrEx>
          <w:tblCellMar>
            <w:top w:w="0" w:type="dxa"/>
            <w:left w:w="108" w:type="dxa"/>
            <w:bottom w:w="0" w:type="dxa"/>
            <w:right w:w="108" w:type="dxa"/>
          </w:tblCellMar>
        </w:tblPrEx>
        <w:trPr>
          <w:trHeight w:val="50" w:hRule="atLeast"/>
        </w:trPr>
        <w:tc>
          <w:tcPr>
            <w:tcW w:w="5113" w:type="dxa"/>
            <w:tcBorders>
              <w:top w:val="nil"/>
              <w:left w:val="single" w:color="auto" w:sz="4" w:space="0"/>
              <w:bottom w:val="single" w:color="auto" w:sz="4" w:space="0"/>
              <w:right w:val="single" w:color="auto" w:sz="4" w:space="0"/>
            </w:tcBorders>
            <w:vAlign w:val="center"/>
          </w:tcPr>
          <w:p>
            <w:pPr>
              <w:spacing w:line="360" w:lineRule="auto"/>
              <w:rPr>
                <w:b/>
                <w:color w:val="auto"/>
                <w:highlight w:val="none"/>
              </w:rPr>
            </w:pPr>
            <w:r>
              <w:rPr>
                <w:rFonts w:hint="eastAsia"/>
                <w:b/>
                <w:color w:val="auto"/>
                <w:highlight w:val="none"/>
              </w:rPr>
              <w:t>开户银行：中信银行广州花园支行</w:t>
            </w:r>
          </w:p>
        </w:tc>
        <w:tc>
          <w:tcPr>
            <w:tcW w:w="3556" w:type="dxa"/>
            <w:tcBorders>
              <w:top w:val="nil"/>
              <w:left w:val="nil"/>
              <w:bottom w:val="single" w:color="auto" w:sz="4" w:space="0"/>
              <w:right w:val="single" w:color="auto" w:sz="4" w:space="0"/>
            </w:tcBorders>
            <w:vAlign w:val="center"/>
          </w:tcPr>
          <w:p>
            <w:pPr>
              <w:spacing w:line="276" w:lineRule="auto"/>
              <w:rPr>
                <w:b/>
                <w:color w:val="auto"/>
                <w:highlight w:val="none"/>
              </w:rPr>
            </w:pPr>
            <w:r>
              <w:rPr>
                <w:rFonts w:hint="eastAsia"/>
                <w:b/>
                <w:color w:val="auto"/>
                <w:highlight w:val="none"/>
              </w:rPr>
              <w:t>　</w:t>
            </w:r>
          </w:p>
        </w:tc>
      </w:tr>
      <w:tr>
        <w:tblPrEx>
          <w:tblCellMar>
            <w:top w:w="0" w:type="dxa"/>
            <w:left w:w="108" w:type="dxa"/>
            <w:bottom w:w="0" w:type="dxa"/>
            <w:right w:w="108" w:type="dxa"/>
          </w:tblCellMar>
        </w:tblPrEx>
        <w:trPr>
          <w:trHeight w:val="50" w:hRule="atLeast"/>
        </w:trPr>
        <w:tc>
          <w:tcPr>
            <w:tcW w:w="5113" w:type="dxa"/>
            <w:tcBorders>
              <w:top w:val="nil"/>
              <w:left w:val="single" w:color="auto" w:sz="4" w:space="0"/>
              <w:bottom w:val="single" w:color="auto" w:sz="4" w:space="0"/>
              <w:right w:val="single" w:color="auto" w:sz="4" w:space="0"/>
            </w:tcBorders>
            <w:vAlign w:val="center"/>
          </w:tcPr>
          <w:p>
            <w:pPr>
              <w:spacing w:line="360" w:lineRule="auto"/>
              <w:rPr>
                <w:rFonts w:hint="eastAsia" w:eastAsia="宋体"/>
                <w:b/>
                <w:color w:val="auto"/>
                <w:highlight w:val="none"/>
                <w:lang w:eastAsia="zh-CN"/>
              </w:rPr>
            </w:pPr>
            <w:r>
              <w:rPr>
                <w:rFonts w:hint="eastAsia"/>
                <w:b/>
                <w:color w:val="auto"/>
                <w:highlight w:val="none"/>
              </w:rPr>
              <w:t>帐</w:t>
            </w:r>
            <w:r>
              <w:rPr>
                <w:b/>
                <w:color w:val="auto"/>
                <w:highlight w:val="none"/>
              </w:rPr>
              <w:t xml:space="preserve">    </w:t>
            </w:r>
            <w:r>
              <w:rPr>
                <w:rFonts w:hint="eastAsia"/>
                <w:b/>
                <w:color w:val="auto"/>
                <w:highlight w:val="none"/>
              </w:rPr>
              <w:t>号：</w:t>
            </w:r>
            <w:r>
              <w:rPr>
                <w:rFonts w:hint="eastAsia"/>
                <w:b/>
                <w:color w:val="auto"/>
                <w:highlight w:val="none"/>
                <w:lang w:eastAsia="zh-CN"/>
              </w:rPr>
              <w:t>3110910043850015024</w:t>
            </w:r>
          </w:p>
        </w:tc>
        <w:tc>
          <w:tcPr>
            <w:tcW w:w="3556" w:type="dxa"/>
            <w:tcBorders>
              <w:top w:val="nil"/>
              <w:left w:val="nil"/>
              <w:bottom w:val="single" w:color="auto" w:sz="4" w:space="0"/>
              <w:right w:val="single" w:color="auto" w:sz="4" w:space="0"/>
            </w:tcBorders>
            <w:vAlign w:val="center"/>
          </w:tcPr>
          <w:p>
            <w:pPr>
              <w:spacing w:line="276" w:lineRule="auto"/>
              <w:rPr>
                <w:b/>
                <w:color w:val="auto"/>
                <w:highlight w:val="none"/>
              </w:rPr>
            </w:pPr>
            <w:r>
              <w:rPr>
                <w:rFonts w:hint="eastAsia"/>
                <w:b/>
                <w:color w:val="auto"/>
                <w:highlight w:val="none"/>
              </w:rPr>
              <w:t>　</w:t>
            </w:r>
          </w:p>
        </w:tc>
      </w:tr>
    </w:tbl>
    <w:p>
      <w:pPr>
        <w:spacing w:line="360" w:lineRule="auto"/>
        <w:ind w:firstLine="600"/>
        <w:rPr>
          <w:b/>
          <w:color w:val="auto"/>
          <w:sz w:val="24"/>
          <w:highlight w:val="none"/>
        </w:rPr>
      </w:pPr>
      <w:r>
        <w:rPr>
          <w:rFonts w:hint="eastAsia"/>
          <w:b/>
          <w:color w:val="auto"/>
          <w:sz w:val="24"/>
          <w:highlight w:val="none"/>
        </w:rPr>
        <w:t>若我司未按前述期限支付代理服务费，贵司有权直接在应付我司任何一笔款项中直接扣除。</w:t>
      </w:r>
    </w:p>
    <w:p>
      <w:pPr>
        <w:spacing w:line="360" w:lineRule="auto"/>
        <w:ind w:firstLine="600"/>
        <w:rPr>
          <w:b/>
          <w:color w:val="auto"/>
          <w:sz w:val="24"/>
          <w:highlight w:val="none"/>
        </w:rPr>
      </w:pPr>
      <w:r>
        <w:rPr>
          <w:rFonts w:hint="eastAsia"/>
          <w:b/>
          <w:color w:val="auto"/>
          <w:sz w:val="24"/>
          <w:highlight w:val="none"/>
        </w:rPr>
        <w:t>因本函所述事项发生争议，我方同意将争议提交北海国际仲裁院在广州仲裁解决。</w:t>
      </w:r>
    </w:p>
    <w:p>
      <w:pPr>
        <w:spacing w:line="360" w:lineRule="auto"/>
        <w:ind w:firstLine="600"/>
        <w:rPr>
          <w:b/>
          <w:color w:val="auto"/>
          <w:sz w:val="24"/>
          <w:highlight w:val="none"/>
        </w:rPr>
      </w:pPr>
      <w:r>
        <w:rPr>
          <w:b/>
          <w:color w:val="auto"/>
          <w:sz w:val="28"/>
          <w:szCs w:val="28"/>
          <w:highlight w:val="none"/>
        </w:rPr>
        <w:t xml:space="preserve">                           </w:t>
      </w:r>
      <w:r>
        <w:rPr>
          <w:rFonts w:hint="eastAsia"/>
          <w:b/>
          <w:color w:val="auto"/>
          <w:sz w:val="28"/>
          <w:szCs w:val="28"/>
          <w:highlight w:val="none"/>
        </w:rPr>
        <w:t xml:space="preserve">       </w:t>
      </w:r>
      <w:r>
        <w:rPr>
          <w:b/>
          <w:color w:val="auto"/>
          <w:sz w:val="28"/>
          <w:szCs w:val="28"/>
          <w:highlight w:val="none"/>
        </w:rPr>
        <w:t xml:space="preserve"> </w:t>
      </w:r>
      <w:r>
        <w:rPr>
          <w:rFonts w:hint="eastAsia"/>
          <w:b/>
          <w:color w:val="auto"/>
          <w:sz w:val="24"/>
          <w:highlight w:val="none"/>
        </w:rPr>
        <w:t>参选人（盖章）：</w:t>
      </w:r>
      <w:r>
        <w:rPr>
          <w:b/>
          <w:color w:val="auto"/>
          <w:sz w:val="24"/>
          <w:highlight w:val="none"/>
        </w:rPr>
        <w:t>XXX</w:t>
      </w:r>
      <w:r>
        <w:rPr>
          <w:rFonts w:hint="eastAsia"/>
          <w:b/>
          <w:color w:val="auto"/>
          <w:sz w:val="24"/>
          <w:highlight w:val="none"/>
        </w:rPr>
        <w:t>公司</w:t>
      </w:r>
    </w:p>
    <w:p>
      <w:pPr>
        <w:spacing w:line="360" w:lineRule="auto"/>
        <w:ind w:right="360" w:firstLine="600"/>
        <w:jc w:val="right"/>
        <w:rPr>
          <w:b/>
          <w:color w:val="auto"/>
          <w:sz w:val="24"/>
          <w:highlight w:val="none"/>
        </w:rPr>
      </w:pPr>
      <w:r>
        <w:rPr>
          <w:b/>
          <w:color w:val="auto"/>
          <w:sz w:val="24"/>
          <w:highlight w:val="none"/>
        </w:rPr>
        <w:t xml:space="preserve">                                      </w:t>
      </w:r>
    </w:p>
    <w:p>
      <w:pPr>
        <w:spacing w:line="360" w:lineRule="auto"/>
        <w:ind w:firstLine="600"/>
        <w:jc w:val="right"/>
        <w:rPr>
          <w:b/>
          <w:color w:val="auto"/>
          <w:sz w:val="24"/>
          <w:highlight w:val="none"/>
        </w:rPr>
      </w:pPr>
      <w:r>
        <w:rPr>
          <w:rFonts w:hint="eastAsia"/>
          <w:b/>
          <w:color w:val="auto"/>
          <w:sz w:val="24"/>
          <w:highlight w:val="none"/>
        </w:rPr>
        <w:t>年</w:t>
      </w:r>
      <w:r>
        <w:rPr>
          <w:b/>
          <w:color w:val="auto"/>
          <w:sz w:val="24"/>
          <w:highlight w:val="none"/>
        </w:rPr>
        <w:t xml:space="preserve">  </w:t>
      </w:r>
      <w:r>
        <w:rPr>
          <w:rFonts w:hint="eastAsia"/>
          <w:b/>
          <w:color w:val="auto"/>
          <w:sz w:val="24"/>
          <w:highlight w:val="none"/>
        </w:rPr>
        <w:t>月</w:t>
      </w:r>
      <w:r>
        <w:rPr>
          <w:b/>
          <w:color w:val="auto"/>
          <w:sz w:val="24"/>
          <w:highlight w:val="none"/>
        </w:rPr>
        <w:t xml:space="preserve">  </w:t>
      </w:r>
      <w:r>
        <w:rPr>
          <w:rFonts w:hint="eastAsia"/>
          <w:b/>
          <w:color w:val="auto"/>
          <w:sz w:val="24"/>
          <w:highlight w:val="none"/>
        </w:rPr>
        <w:t>日</w:t>
      </w:r>
    </w:p>
    <w:p>
      <w:pPr>
        <w:spacing w:line="360" w:lineRule="auto"/>
        <w:ind w:right="480" w:firstLine="600"/>
        <w:jc w:val="right"/>
        <w:rPr>
          <w:color w:val="auto"/>
          <w:sz w:val="24"/>
          <w:highlight w:val="none"/>
        </w:rPr>
      </w:pPr>
    </w:p>
    <w:p>
      <w:pPr>
        <w:spacing w:line="360" w:lineRule="auto"/>
        <w:rPr>
          <w:i/>
          <w:color w:val="auto"/>
          <w:sz w:val="24"/>
          <w:highlight w:val="none"/>
          <w:u w:val="single"/>
        </w:rPr>
      </w:pPr>
      <w:r>
        <w:rPr>
          <w:rFonts w:hint="eastAsia"/>
          <w:i/>
          <w:color w:val="auto"/>
          <w:sz w:val="24"/>
          <w:highlight w:val="none"/>
          <w:u w:val="single"/>
        </w:rPr>
        <w:t>注：本函内容必须填写，否则视为非响应性参选。</w:t>
      </w:r>
    </w:p>
    <w:p>
      <w:pPr>
        <w:spacing w:line="360" w:lineRule="auto"/>
        <w:ind w:firstLine="482"/>
        <w:rPr>
          <w:b/>
          <w:bCs/>
          <w:color w:val="auto"/>
          <w:sz w:val="24"/>
          <w:highlight w:val="none"/>
        </w:rPr>
      </w:pPr>
      <w:r>
        <w:rPr>
          <w:rFonts w:hint="eastAsia"/>
          <w:color w:val="auto"/>
          <w:sz w:val="24"/>
          <w:highlight w:val="none"/>
        </w:rPr>
        <w:t>附注：招标代理服务收费按差额定率累进法计算，</w:t>
      </w:r>
      <w:r>
        <w:rPr>
          <w:rFonts w:hint="eastAsia"/>
          <w:bCs/>
          <w:color w:val="auto"/>
          <w:sz w:val="24"/>
          <w:highlight w:val="none"/>
        </w:rPr>
        <w:t>收费标准如下：</w:t>
      </w:r>
    </w:p>
    <w:p>
      <w:pPr>
        <w:ind w:firstLine="424" w:firstLineChars="202"/>
        <w:rPr>
          <w:color w:val="auto"/>
          <w:highlight w:val="none"/>
        </w:rPr>
      </w:pPr>
      <w:r>
        <w:rPr>
          <w:color w:val="auto"/>
          <w:highlight w:val="none"/>
        </w:rPr>
        <w:t>1.</w:t>
      </w:r>
      <w:r>
        <w:rPr>
          <w:rFonts w:hint="eastAsia"/>
          <w:color w:val="auto"/>
          <w:highlight w:val="none"/>
        </w:rPr>
        <w:t>按本函附表费率计算的收费为招标代理服务全过程的收费基准价格，单独提供编制招标文件（有标底的含标底）服务的，可按规定标准的</w:t>
      </w:r>
      <w:r>
        <w:rPr>
          <w:color w:val="auto"/>
          <w:highlight w:val="none"/>
        </w:rPr>
        <w:t>30%</w:t>
      </w:r>
      <w:r>
        <w:rPr>
          <w:rFonts w:hint="eastAsia"/>
          <w:color w:val="auto"/>
          <w:highlight w:val="none"/>
        </w:rPr>
        <w:t>计收。</w:t>
      </w:r>
    </w:p>
    <w:p>
      <w:pPr>
        <w:ind w:firstLine="424" w:firstLineChars="202"/>
        <w:rPr>
          <w:color w:val="auto"/>
          <w:highlight w:val="none"/>
        </w:rPr>
      </w:pPr>
      <w:r>
        <w:rPr>
          <w:color w:val="auto"/>
          <w:highlight w:val="none"/>
        </w:rPr>
        <w:t>2.</w:t>
      </w:r>
      <w:r>
        <w:rPr>
          <w:rFonts w:hint="eastAsia"/>
          <w:color w:val="auto"/>
          <w:highlight w:val="none"/>
        </w:rPr>
        <w:t>招标代理服务按本函费率标准（详见附表），以差额定率累进法计算后按</w:t>
      </w:r>
      <w:r>
        <w:rPr>
          <w:color w:val="auto"/>
          <w:highlight w:val="none"/>
          <w:u w:val="single"/>
        </w:rPr>
        <w:t>6</w:t>
      </w:r>
      <w:r>
        <w:rPr>
          <w:rFonts w:hint="eastAsia"/>
          <w:color w:val="auto"/>
          <w:highlight w:val="none"/>
          <w:u w:val="single"/>
        </w:rPr>
        <w:t>7</w:t>
      </w:r>
      <w:r>
        <w:rPr>
          <w:color w:val="auto"/>
          <w:highlight w:val="none"/>
        </w:rPr>
        <w:t>%</w:t>
      </w:r>
      <w:r>
        <w:rPr>
          <w:rFonts w:hint="eastAsia"/>
          <w:color w:val="auto"/>
          <w:highlight w:val="none"/>
        </w:rPr>
        <w:t>结算。例如：某工程招标代理业务中标金额为</w:t>
      </w:r>
      <w:r>
        <w:rPr>
          <w:color w:val="auto"/>
          <w:highlight w:val="none"/>
        </w:rPr>
        <w:t>6000</w:t>
      </w:r>
      <w:r>
        <w:rPr>
          <w:rFonts w:hint="eastAsia"/>
          <w:color w:val="auto"/>
          <w:highlight w:val="none"/>
        </w:rPr>
        <w:t>万元，计算招标代理服务收费额如下：</w:t>
      </w:r>
    </w:p>
    <w:p>
      <w:pPr>
        <w:ind w:firstLine="424" w:firstLineChars="202"/>
        <w:rPr>
          <w:color w:val="auto"/>
          <w:highlight w:val="none"/>
        </w:rPr>
      </w:pPr>
      <w:r>
        <w:rPr>
          <w:color w:val="auto"/>
          <w:highlight w:val="none"/>
        </w:rPr>
        <w:t>100</w:t>
      </w:r>
      <w:r>
        <w:rPr>
          <w:rFonts w:hint="eastAsia"/>
          <w:color w:val="auto"/>
          <w:highlight w:val="none"/>
        </w:rPr>
        <w:t>万元×</w:t>
      </w:r>
      <w:r>
        <w:rPr>
          <w:color w:val="auto"/>
          <w:highlight w:val="none"/>
        </w:rPr>
        <w:t>1.0</w:t>
      </w:r>
      <w:r>
        <w:rPr>
          <w:rFonts w:hint="eastAsia"/>
          <w:color w:val="auto"/>
          <w:highlight w:val="none"/>
        </w:rPr>
        <w:t>％</w:t>
      </w:r>
      <w:r>
        <w:rPr>
          <w:color w:val="auto"/>
          <w:highlight w:val="none"/>
        </w:rPr>
        <w:t>=1</w:t>
      </w:r>
      <w:r>
        <w:rPr>
          <w:rFonts w:hint="eastAsia"/>
          <w:color w:val="auto"/>
          <w:highlight w:val="none"/>
        </w:rPr>
        <w:t>万元</w:t>
      </w:r>
    </w:p>
    <w:p>
      <w:pPr>
        <w:ind w:firstLine="424" w:firstLineChars="202"/>
        <w:rPr>
          <w:color w:val="auto"/>
          <w:highlight w:val="none"/>
        </w:rPr>
      </w:pPr>
      <w:r>
        <w:rPr>
          <w:rFonts w:hint="eastAsia"/>
          <w:color w:val="auto"/>
          <w:highlight w:val="none"/>
        </w:rPr>
        <w:t>（</w:t>
      </w:r>
      <w:r>
        <w:rPr>
          <w:color w:val="auto"/>
          <w:highlight w:val="none"/>
        </w:rPr>
        <w:t>500-100</w:t>
      </w:r>
      <w:r>
        <w:rPr>
          <w:rFonts w:hint="eastAsia"/>
          <w:color w:val="auto"/>
          <w:highlight w:val="none"/>
        </w:rPr>
        <w:t>）万元×</w:t>
      </w:r>
      <w:r>
        <w:rPr>
          <w:color w:val="auto"/>
          <w:highlight w:val="none"/>
        </w:rPr>
        <w:t>0.7</w:t>
      </w:r>
      <w:r>
        <w:rPr>
          <w:rFonts w:hint="eastAsia"/>
          <w:color w:val="auto"/>
          <w:highlight w:val="none"/>
        </w:rPr>
        <w:t>％</w:t>
      </w:r>
      <w:r>
        <w:rPr>
          <w:color w:val="auto"/>
          <w:highlight w:val="none"/>
        </w:rPr>
        <w:t xml:space="preserve"> = 2.8</w:t>
      </w:r>
      <w:r>
        <w:rPr>
          <w:rFonts w:hint="eastAsia"/>
          <w:color w:val="auto"/>
          <w:highlight w:val="none"/>
        </w:rPr>
        <w:t>万元</w:t>
      </w:r>
    </w:p>
    <w:p>
      <w:pPr>
        <w:ind w:firstLine="424" w:firstLineChars="202"/>
        <w:rPr>
          <w:color w:val="auto"/>
          <w:highlight w:val="none"/>
        </w:rPr>
      </w:pPr>
      <w:r>
        <w:rPr>
          <w:rFonts w:hint="eastAsia"/>
          <w:color w:val="auto"/>
          <w:highlight w:val="none"/>
        </w:rPr>
        <w:t>（</w:t>
      </w:r>
      <w:r>
        <w:rPr>
          <w:color w:val="auto"/>
          <w:highlight w:val="none"/>
        </w:rPr>
        <w:t>1000-500</w:t>
      </w:r>
      <w:r>
        <w:rPr>
          <w:rFonts w:hint="eastAsia"/>
          <w:color w:val="auto"/>
          <w:highlight w:val="none"/>
        </w:rPr>
        <w:t>）万元×</w:t>
      </w:r>
      <w:r>
        <w:rPr>
          <w:color w:val="auto"/>
          <w:highlight w:val="none"/>
        </w:rPr>
        <w:t>0.55</w:t>
      </w:r>
      <w:r>
        <w:rPr>
          <w:rFonts w:hint="eastAsia"/>
          <w:color w:val="auto"/>
          <w:highlight w:val="none"/>
        </w:rPr>
        <w:t>％</w:t>
      </w:r>
      <w:r>
        <w:rPr>
          <w:color w:val="auto"/>
          <w:highlight w:val="none"/>
        </w:rPr>
        <w:t xml:space="preserve"> = 2.75</w:t>
      </w:r>
      <w:r>
        <w:rPr>
          <w:rFonts w:hint="eastAsia"/>
          <w:color w:val="auto"/>
          <w:highlight w:val="none"/>
        </w:rPr>
        <w:t>万元</w:t>
      </w:r>
    </w:p>
    <w:p>
      <w:pPr>
        <w:ind w:firstLine="424" w:firstLineChars="202"/>
        <w:rPr>
          <w:color w:val="auto"/>
          <w:highlight w:val="none"/>
        </w:rPr>
      </w:pPr>
      <w:r>
        <w:rPr>
          <w:rFonts w:hint="eastAsia"/>
          <w:color w:val="auto"/>
          <w:highlight w:val="none"/>
        </w:rPr>
        <w:t>（</w:t>
      </w:r>
      <w:r>
        <w:rPr>
          <w:color w:val="auto"/>
          <w:highlight w:val="none"/>
        </w:rPr>
        <w:t>5000-1000</w:t>
      </w:r>
      <w:r>
        <w:rPr>
          <w:rFonts w:hint="eastAsia"/>
          <w:color w:val="auto"/>
          <w:highlight w:val="none"/>
        </w:rPr>
        <w:t>）万元×</w:t>
      </w:r>
      <w:r>
        <w:rPr>
          <w:color w:val="auto"/>
          <w:highlight w:val="none"/>
        </w:rPr>
        <w:t>0.35</w:t>
      </w:r>
      <w:r>
        <w:rPr>
          <w:rFonts w:hint="eastAsia"/>
          <w:color w:val="auto"/>
          <w:highlight w:val="none"/>
        </w:rPr>
        <w:t>％</w:t>
      </w:r>
      <w:r>
        <w:rPr>
          <w:color w:val="auto"/>
          <w:highlight w:val="none"/>
        </w:rPr>
        <w:t xml:space="preserve"> = 14</w:t>
      </w:r>
      <w:r>
        <w:rPr>
          <w:rFonts w:hint="eastAsia"/>
          <w:color w:val="auto"/>
          <w:highlight w:val="none"/>
        </w:rPr>
        <w:t>万元</w:t>
      </w:r>
    </w:p>
    <w:p>
      <w:pPr>
        <w:ind w:firstLine="424" w:firstLineChars="202"/>
        <w:rPr>
          <w:color w:val="auto"/>
          <w:highlight w:val="none"/>
        </w:rPr>
      </w:pPr>
      <w:r>
        <w:rPr>
          <w:rFonts w:hint="eastAsia"/>
          <w:color w:val="auto"/>
          <w:highlight w:val="none"/>
        </w:rPr>
        <w:t>（</w:t>
      </w:r>
      <w:r>
        <w:rPr>
          <w:color w:val="auto"/>
          <w:highlight w:val="none"/>
        </w:rPr>
        <w:t>6000-5000</w:t>
      </w:r>
      <w:r>
        <w:rPr>
          <w:rFonts w:hint="eastAsia"/>
          <w:color w:val="auto"/>
          <w:highlight w:val="none"/>
        </w:rPr>
        <w:t>）万元×</w:t>
      </w:r>
      <w:r>
        <w:rPr>
          <w:color w:val="auto"/>
          <w:highlight w:val="none"/>
        </w:rPr>
        <w:t>0.2</w:t>
      </w:r>
      <w:r>
        <w:rPr>
          <w:rFonts w:hint="eastAsia"/>
          <w:color w:val="auto"/>
          <w:highlight w:val="none"/>
        </w:rPr>
        <w:t>％</w:t>
      </w:r>
      <w:r>
        <w:rPr>
          <w:color w:val="auto"/>
          <w:highlight w:val="none"/>
        </w:rPr>
        <w:t xml:space="preserve"> = 2</w:t>
      </w:r>
      <w:r>
        <w:rPr>
          <w:rFonts w:hint="eastAsia"/>
          <w:color w:val="auto"/>
          <w:highlight w:val="none"/>
        </w:rPr>
        <w:t>万元</w:t>
      </w:r>
    </w:p>
    <w:p>
      <w:pPr>
        <w:rPr>
          <w:color w:val="auto"/>
          <w:highlight w:val="none"/>
        </w:rPr>
      </w:pPr>
      <w:r>
        <w:rPr>
          <w:rFonts w:hint="eastAsia"/>
          <w:color w:val="auto"/>
          <w:highlight w:val="none"/>
        </w:rPr>
        <w:t>合计收费</w:t>
      </w:r>
      <w:r>
        <w:rPr>
          <w:color w:val="auto"/>
          <w:highlight w:val="none"/>
        </w:rPr>
        <w:t xml:space="preserve"> =</w:t>
      </w:r>
      <w:r>
        <w:rPr>
          <w:rFonts w:hint="eastAsia"/>
          <w:color w:val="auto"/>
          <w:highlight w:val="none"/>
        </w:rPr>
        <w:t>（</w:t>
      </w:r>
      <w:r>
        <w:rPr>
          <w:color w:val="auto"/>
          <w:highlight w:val="none"/>
        </w:rPr>
        <w:t>1 + 2.8 + 2.75 + 14 + 2</w:t>
      </w:r>
      <w:r>
        <w:rPr>
          <w:rFonts w:hint="eastAsia"/>
          <w:color w:val="auto"/>
          <w:highlight w:val="none"/>
        </w:rPr>
        <w:t>）×</w:t>
      </w:r>
      <w:r>
        <w:rPr>
          <w:rFonts w:hint="eastAsia"/>
          <w:color w:val="auto"/>
          <w:highlight w:val="none"/>
          <w:u w:val="single"/>
        </w:rPr>
        <w:t>67</w:t>
      </w:r>
      <w:r>
        <w:rPr>
          <w:color w:val="auto"/>
          <w:highlight w:val="none"/>
        </w:rPr>
        <w:t xml:space="preserve">%= </w:t>
      </w:r>
      <w:r>
        <w:rPr>
          <w:color w:val="auto"/>
          <w:highlight w:val="none"/>
          <w:u w:val="single"/>
        </w:rPr>
        <w:t>15.</w:t>
      </w:r>
      <w:r>
        <w:rPr>
          <w:rFonts w:hint="eastAsia"/>
          <w:color w:val="auto"/>
          <w:highlight w:val="none"/>
          <w:u w:val="single"/>
        </w:rPr>
        <w:t>1085</w:t>
      </w:r>
      <w:r>
        <w:rPr>
          <w:rFonts w:hint="eastAsia"/>
          <w:color w:val="auto"/>
          <w:highlight w:val="none"/>
        </w:rPr>
        <w:t>（万元）</w:t>
      </w:r>
    </w:p>
    <w:p>
      <w:pPr>
        <w:rPr>
          <w:color w:val="auto"/>
          <w:highlight w:val="none"/>
        </w:rPr>
      </w:pPr>
    </w:p>
    <w:p>
      <w:pPr>
        <w:rPr>
          <w:color w:val="auto"/>
          <w:highlight w:val="none"/>
        </w:rPr>
      </w:pPr>
    </w:p>
    <w:p>
      <w:pPr>
        <w:rPr>
          <w:color w:val="auto"/>
          <w:highlight w:val="none"/>
        </w:rPr>
      </w:pPr>
    </w:p>
    <w:p>
      <w:pPr>
        <w:rPr>
          <w:color w:val="auto"/>
          <w:highlight w:val="none"/>
        </w:rPr>
      </w:pPr>
    </w:p>
    <w:p>
      <w:pPr>
        <w:pStyle w:val="35"/>
        <w:numPr>
          <w:ilvl w:val="0"/>
          <w:numId w:val="31"/>
        </w:numPr>
        <w:tabs>
          <w:tab w:val="left" w:pos="0"/>
        </w:tabs>
        <w:snapToGrid w:val="0"/>
        <w:spacing w:before="120" w:after="120" w:line="440" w:lineRule="exact"/>
        <w:jc w:val="left"/>
        <w:outlineLvl w:val="1"/>
        <w:rPr>
          <w:rFonts w:ascii="宋体" w:hAnsi="宋体"/>
          <w:color w:val="auto"/>
          <w:sz w:val="28"/>
          <w:szCs w:val="24"/>
          <w:highlight w:val="none"/>
        </w:rPr>
      </w:pPr>
      <w:bookmarkStart w:id="959" w:name="_Toc17203578"/>
      <w:bookmarkStart w:id="960" w:name="_Toc17202863"/>
      <w:bookmarkStart w:id="961" w:name="_Toc489610820"/>
      <w:bookmarkStart w:id="962" w:name="_Toc17203063"/>
      <w:bookmarkStart w:id="963" w:name="_Toc28583"/>
      <w:r>
        <w:rPr>
          <w:rFonts w:hint="eastAsia" w:ascii="宋体" w:hAnsi="宋体"/>
          <w:color w:val="auto"/>
          <w:sz w:val="28"/>
          <w:szCs w:val="24"/>
          <w:highlight w:val="none"/>
        </w:rPr>
        <w:t>参选保证金凭证</w:t>
      </w:r>
      <w:bookmarkEnd w:id="959"/>
      <w:bookmarkEnd w:id="960"/>
      <w:bookmarkEnd w:id="961"/>
      <w:bookmarkEnd w:id="962"/>
      <w:bookmarkEnd w:id="963"/>
    </w:p>
    <w:p>
      <w:pPr>
        <w:rPr>
          <w:color w:val="auto"/>
          <w:highlight w:val="none"/>
        </w:rPr>
      </w:pPr>
    </w:p>
    <w:p>
      <w:pPr>
        <w:pStyle w:val="2"/>
        <w:spacing w:line="386" w:lineRule="auto"/>
        <w:ind w:left="520" w:right="84"/>
        <w:rPr>
          <w:rFonts w:asciiTheme="majorEastAsia" w:hAnsiTheme="majorEastAsia" w:eastAsiaTheme="majorEastAsia"/>
          <w:color w:val="auto"/>
          <w:sz w:val="21"/>
          <w:szCs w:val="21"/>
          <w:highlight w:val="none"/>
        </w:rPr>
      </w:pPr>
      <w:bookmarkStart w:id="964" w:name="_Hlk49788509"/>
      <w:r>
        <w:rPr>
          <w:rFonts w:hint="eastAsia" w:asciiTheme="majorEastAsia" w:hAnsiTheme="majorEastAsia" w:eastAsiaTheme="majorEastAsia"/>
          <w:color w:val="auto"/>
          <w:sz w:val="21"/>
          <w:szCs w:val="21"/>
          <w:highlight w:val="none"/>
        </w:rPr>
        <w:t>1、如</w:t>
      </w:r>
      <w:r>
        <w:rPr>
          <w:rFonts w:asciiTheme="majorEastAsia" w:hAnsiTheme="majorEastAsia" w:eastAsiaTheme="majorEastAsia"/>
          <w:color w:val="auto"/>
          <w:sz w:val="21"/>
          <w:szCs w:val="21"/>
          <w:highlight w:val="none"/>
        </w:rPr>
        <w:t>采用</w:t>
      </w:r>
      <w:r>
        <w:rPr>
          <w:rFonts w:hint="eastAsia" w:asciiTheme="majorEastAsia" w:hAnsiTheme="majorEastAsia" w:eastAsiaTheme="majorEastAsia"/>
          <w:color w:val="auto"/>
          <w:sz w:val="21"/>
          <w:szCs w:val="21"/>
          <w:highlight w:val="none"/>
        </w:rPr>
        <w:t>银行电汇方式的</w:t>
      </w:r>
      <w:r>
        <w:rPr>
          <w:rFonts w:asciiTheme="majorEastAsia" w:hAnsiTheme="majorEastAsia" w:eastAsiaTheme="majorEastAsia"/>
          <w:color w:val="auto"/>
          <w:sz w:val="21"/>
          <w:szCs w:val="21"/>
          <w:highlight w:val="none"/>
        </w:rPr>
        <w:t>，</w:t>
      </w:r>
      <w:r>
        <w:rPr>
          <w:rFonts w:hint="eastAsia" w:asciiTheme="majorEastAsia" w:hAnsiTheme="majorEastAsia" w:eastAsiaTheme="majorEastAsia"/>
          <w:color w:val="auto"/>
          <w:sz w:val="21"/>
          <w:szCs w:val="21"/>
          <w:highlight w:val="none"/>
        </w:rPr>
        <w:t>参选</w:t>
      </w:r>
      <w:r>
        <w:rPr>
          <w:rFonts w:asciiTheme="majorEastAsia" w:hAnsiTheme="majorEastAsia" w:eastAsiaTheme="majorEastAsia"/>
          <w:color w:val="auto"/>
          <w:sz w:val="21"/>
          <w:szCs w:val="21"/>
          <w:highlight w:val="none"/>
        </w:rPr>
        <w:t>人应在此提供汇款凭证的复印</w:t>
      </w:r>
      <w:r>
        <w:rPr>
          <w:rFonts w:hint="eastAsia" w:asciiTheme="majorEastAsia" w:hAnsiTheme="majorEastAsia" w:eastAsiaTheme="majorEastAsia"/>
          <w:color w:val="auto"/>
          <w:sz w:val="21"/>
          <w:szCs w:val="21"/>
          <w:highlight w:val="none"/>
        </w:rPr>
        <w:t>件。</w:t>
      </w:r>
    </w:p>
    <w:p>
      <w:pPr>
        <w:pStyle w:val="2"/>
        <w:spacing w:line="386" w:lineRule="auto"/>
        <w:ind w:left="520" w:right="84"/>
        <w:rPr>
          <w:rFonts w:asciiTheme="majorEastAsia" w:hAnsiTheme="majorEastAsia" w:eastAsiaTheme="majorEastAsia"/>
          <w:color w:val="auto"/>
          <w:sz w:val="21"/>
          <w:szCs w:val="21"/>
          <w:highlight w:val="none"/>
        </w:rPr>
      </w:pPr>
      <w:r>
        <w:rPr>
          <w:rFonts w:hint="eastAsia" w:asciiTheme="majorEastAsia" w:hAnsiTheme="majorEastAsia" w:eastAsiaTheme="majorEastAsia"/>
          <w:color w:val="auto"/>
          <w:sz w:val="21"/>
          <w:szCs w:val="21"/>
          <w:highlight w:val="none"/>
        </w:rPr>
        <w:t>2、</w:t>
      </w:r>
      <w:r>
        <w:rPr>
          <w:rFonts w:asciiTheme="majorEastAsia" w:hAnsiTheme="majorEastAsia" w:eastAsiaTheme="majorEastAsia"/>
          <w:color w:val="auto"/>
          <w:sz w:val="21"/>
          <w:szCs w:val="21"/>
          <w:highlight w:val="none"/>
        </w:rPr>
        <w:t>如采用银行保函</w:t>
      </w:r>
      <w:r>
        <w:rPr>
          <w:rFonts w:hint="eastAsia" w:asciiTheme="majorEastAsia" w:hAnsiTheme="majorEastAsia" w:eastAsiaTheme="majorEastAsia"/>
          <w:color w:val="auto"/>
          <w:sz w:val="21"/>
          <w:szCs w:val="21"/>
          <w:highlight w:val="none"/>
        </w:rPr>
        <w:t>方式</w:t>
      </w:r>
      <w:r>
        <w:rPr>
          <w:rFonts w:asciiTheme="majorEastAsia" w:hAnsiTheme="majorEastAsia" w:eastAsiaTheme="majorEastAsia"/>
          <w:color w:val="auto"/>
          <w:sz w:val="21"/>
          <w:szCs w:val="21"/>
          <w:highlight w:val="none"/>
        </w:rPr>
        <w:t>的，</w:t>
      </w:r>
      <w:r>
        <w:rPr>
          <w:rFonts w:hint="eastAsia" w:asciiTheme="majorEastAsia" w:hAnsiTheme="majorEastAsia" w:eastAsiaTheme="majorEastAsia"/>
          <w:color w:val="auto"/>
          <w:sz w:val="21"/>
          <w:szCs w:val="21"/>
          <w:highlight w:val="none"/>
        </w:rPr>
        <w:t>请参选</w:t>
      </w:r>
      <w:r>
        <w:rPr>
          <w:rFonts w:asciiTheme="majorEastAsia" w:hAnsiTheme="majorEastAsia" w:eastAsiaTheme="majorEastAsia"/>
          <w:color w:val="auto"/>
          <w:sz w:val="21"/>
          <w:szCs w:val="21"/>
          <w:highlight w:val="none"/>
        </w:rPr>
        <w:t>人</w:t>
      </w:r>
      <w:r>
        <w:rPr>
          <w:rFonts w:hint="eastAsia" w:asciiTheme="majorEastAsia" w:hAnsiTheme="majorEastAsia" w:eastAsiaTheme="majorEastAsia"/>
          <w:color w:val="auto"/>
          <w:sz w:val="21"/>
          <w:szCs w:val="21"/>
          <w:highlight w:val="none"/>
        </w:rPr>
        <w:t>按</w:t>
      </w:r>
      <w:r>
        <w:rPr>
          <w:rFonts w:asciiTheme="majorEastAsia" w:hAnsiTheme="majorEastAsia" w:eastAsiaTheme="majorEastAsia"/>
          <w:color w:val="auto"/>
          <w:sz w:val="21"/>
          <w:szCs w:val="21"/>
          <w:highlight w:val="none"/>
        </w:rPr>
        <w:t>如下</w:t>
      </w:r>
      <w:r>
        <w:rPr>
          <w:rFonts w:hint="eastAsia" w:asciiTheme="majorEastAsia" w:hAnsiTheme="majorEastAsia" w:eastAsiaTheme="majorEastAsia"/>
          <w:color w:val="auto"/>
          <w:sz w:val="21"/>
          <w:szCs w:val="21"/>
          <w:highlight w:val="none"/>
        </w:rPr>
        <w:t>格式</w:t>
      </w:r>
      <w:r>
        <w:rPr>
          <w:rFonts w:asciiTheme="majorEastAsia" w:hAnsiTheme="majorEastAsia" w:eastAsiaTheme="majorEastAsia"/>
          <w:color w:val="auto"/>
          <w:sz w:val="21"/>
          <w:szCs w:val="21"/>
          <w:highlight w:val="none"/>
        </w:rPr>
        <w:t>提供有效的</w:t>
      </w:r>
      <w:r>
        <w:rPr>
          <w:rFonts w:hint="eastAsia" w:asciiTheme="majorEastAsia" w:hAnsiTheme="majorEastAsia" w:eastAsiaTheme="majorEastAsia"/>
          <w:color w:val="auto"/>
          <w:sz w:val="21"/>
          <w:szCs w:val="21"/>
          <w:highlight w:val="none"/>
        </w:rPr>
        <w:t>银行</w:t>
      </w:r>
      <w:r>
        <w:rPr>
          <w:rFonts w:asciiTheme="majorEastAsia" w:hAnsiTheme="majorEastAsia" w:eastAsiaTheme="majorEastAsia"/>
          <w:color w:val="auto"/>
          <w:sz w:val="21"/>
          <w:szCs w:val="21"/>
          <w:highlight w:val="none"/>
        </w:rPr>
        <w:t>保函</w:t>
      </w:r>
      <w:r>
        <w:rPr>
          <w:rFonts w:hint="eastAsia" w:asciiTheme="majorEastAsia" w:hAnsiTheme="majorEastAsia" w:eastAsiaTheme="majorEastAsia"/>
          <w:color w:val="auto"/>
          <w:sz w:val="21"/>
          <w:szCs w:val="21"/>
          <w:highlight w:val="none"/>
        </w:rPr>
        <w:t>原件</w:t>
      </w:r>
      <w:r>
        <w:rPr>
          <w:rFonts w:asciiTheme="majorEastAsia" w:hAnsiTheme="majorEastAsia" w:eastAsiaTheme="majorEastAsia"/>
          <w:color w:val="auto"/>
          <w:sz w:val="21"/>
          <w:szCs w:val="21"/>
          <w:highlight w:val="none"/>
        </w:rPr>
        <w:t>。</w:t>
      </w:r>
    </w:p>
    <w:p>
      <w:pPr>
        <w:pStyle w:val="2"/>
        <w:ind w:firstLine="400"/>
        <w:rPr>
          <w:rFonts w:asciiTheme="majorEastAsia" w:hAnsiTheme="majorEastAsia" w:eastAsiaTheme="majorEastAsia"/>
          <w:color w:val="auto"/>
          <w:sz w:val="21"/>
          <w:szCs w:val="21"/>
          <w:highlight w:val="none"/>
        </w:rPr>
      </w:pPr>
    </w:p>
    <w:p>
      <w:pPr>
        <w:pStyle w:val="2"/>
        <w:ind w:firstLine="400"/>
        <w:rPr>
          <w:rFonts w:asciiTheme="majorEastAsia" w:hAnsiTheme="majorEastAsia" w:eastAsiaTheme="majorEastAsia"/>
          <w:color w:val="auto"/>
          <w:sz w:val="21"/>
          <w:szCs w:val="21"/>
          <w:highlight w:val="none"/>
        </w:rPr>
      </w:pPr>
    </w:p>
    <w:p>
      <w:pPr>
        <w:pStyle w:val="2"/>
        <w:jc w:val="center"/>
        <w:rPr>
          <w:rFonts w:asciiTheme="majorEastAsia" w:hAnsiTheme="majorEastAsia" w:eastAsiaTheme="majorEastAsia"/>
          <w:b/>
          <w:color w:val="auto"/>
          <w:sz w:val="21"/>
          <w:szCs w:val="21"/>
          <w:highlight w:val="none"/>
        </w:rPr>
      </w:pPr>
      <w:r>
        <w:rPr>
          <w:rFonts w:hint="eastAsia" w:asciiTheme="majorEastAsia" w:hAnsiTheme="majorEastAsia" w:eastAsiaTheme="majorEastAsia"/>
          <w:b/>
          <w:color w:val="auto"/>
          <w:sz w:val="21"/>
          <w:szCs w:val="21"/>
          <w:highlight w:val="none"/>
        </w:rPr>
        <w:t>关于</w:t>
      </w:r>
      <w:r>
        <w:rPr>
          <w:rFonts w:asciiTheme="majorEastAsia" w:hAnsiTheme="majorEastAsia" w:eastAsiaTheme="majorEastAsia"/>
          <w:b/>
          <w:color w:val="auto"/>
          <w:sz w:val="21"/>
          <w:szCs w:val="21"/>
          <w:highlight w:val="none"/>
          <w:u w:val="single"/>
        </w:rPr>
        <w:t xml:space="preserve">        </w:t>
      </w:r>
      <w:r>
        <w:rPr>
          <w:rFonts w:asciiTheme="majorEastAsia" w:hAnsiTheme="majorEastAsia" w:eastAsiaTheme="majorEastAsia"/>
          <w:b/>
          <w:color w:val="auto"/>
          <w:sz w:val="21"/>
          <w:szCs w:val="21"/>
          <w:highlight w:val="none"/>
        </w:rPr>
        <w:t>项目的</w:t>
      </w:r>
      <w:r>
        <w:rPr>
          <w:rFonts w:hint="eastAsia" w:asciiTheme="majorEastAsia" w:hAnsiTheme="majorEastAsia" w:eastAsiaTheme="majorEastAsia"/>
          <w:b/>
          <w:color w:val="auto"/>
          <w:sz w:val="21"/>
          <w:szCs w:val="21"/>
          <w:highlight w:val="none"/>
        </w:rPr>
        <w:t>参选</w:t>
      </w:r>
      <w:r>
        <w:rPr>
          <w:rFonts w:asciiTheme="majorEastAsia" w:hAnsiTheme="majorEastAsia" w:eastAsiaTheme="majorEastAsia"/>
          <w:b/>
          <w:color w:val="auto"/>
          <w:sz w:val="21"/>
          <w:szCs w:val="21"/>
          <w:highlight w:val="none"/>
        </w:rPr>
        <w:t>保证金保函</w:t>
      </w:r>
    </w:p>
    <w:p>
      <w:pPr>
        <w:pStyle w:val="2"/>
        <w:tabs>
          <w:tab w:val="left" w:pos="1780"/>
        </w:tabs>
        <w:spacing w:before="132"/>
        <w:ind w:left="100"/>
        <w:rPr>
          <w:rFonts w:asciiTheme="majorEastAsia" w:hAnsiTheme="majorEastAsia" w:eastAsiaTheme="majorEastAsia"/>
          <w:color w:val="auto"/>
          <w:sz w:val="21"/>
          <w:szCs w:val="21"/>
          <w:highlight w:val="none"/>
        </w:rPr>
      </w:pPr>
      <w:r>
        <w:rPr>
          <w:rFonts w:asciiTheme="majorEastAsia" w:hAnsiTheme="majorEastAsia" w:eastAsiaTheme="majorEastAsia"/>
          <w:color w:val="auto"/>
          <w:sz w:val="21"/>
          <w:szCs w:val="21"/>
          <w:highlight w:val="none"/>
          <w:u w:val="single"/>
        </w:rPr>
        <w:t xml:space="preserve"> </w:t>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rPr>
        <w:t>（</w:t>
      </w:r>
      <w:r>
        <w:rPr>
          <w:rFonts w:hint="eastAsia" w:asciiTheme="majorEastAsia" w:hAnsiTheme="majorEastAsia" w:eastAsiaTheme="majorEastAsia"/>
          <w:color w:val="auto"/>
          <w:sz w:val="21"/>
          <w:szCs w:val="21"/>
          <w:highlight w:val="none"/>
        </w:rPr>
        <w:t>比选</w:t>
      </w:r>
      <w:r>
        <w:rPr>
          <w:rFonts w:asciiTheme="majorEastAsia" w:hAnsiTheme="majorEastAsia" w:eastAsiaTheme="majorEastAsia"/>
          <w:color w:val="auto"/>
          <w:sz w:val="21"/>
          <w:szCs w:val="21"/>
          <w:highlight w:val="none"/>
        </w:rPr>
        <w:t>人</w:t>
      </w:r>
      <w:r>
        <w:rPr>
          <w:rFonts w:asciiTheme="majorEastAsia" w:hAnsiTheme="majorEastAsia" w:eastAsiaTheme="majorEastAsia"/>
          <w:color w:val="auto"/>
          <w:spacing w:val="-3"/>
          <w:sz w:val="21"/>
          <w:szCs w:val="21"/>
          <w:highlight w:val="none"/>
        </w:rPr>
        <w:t>名</w:t>
      </w:r>
      <w:r>
        <w:rPr>
          <w:rFonts w:asciiTheme="majorEastAsia" w:hAnsiTheme="majorEastAsia" w:eastAsiaTheme="majorEastAsia"/>
          <w:color w:val="auto"/>
          <w:sz w:val="21"/>
          <w:szCs w:val="21"/>
          <w:highlight w:val="none"/>
        </w:rPr>
        <w:t>称</w:t>
      </w:r>
      <w:r>
        <w:rPr>
          <w:rFonts w:asciiTheme="majorEastAsia" w:hAnsiTheme="majorEastAsia" w:eastAsiaTheme="majorEastAsia"/>
          <w:color w:val="auto"/>
          <w:spacing w:val="-108"/>
          <w:sz w:val="21"/>
          <w:szCs w:val="21"/>
          <w:highlight w:val="none"/>
        </w:rPr>
        <w:t>）</w:t>
      </w:r>
      <w:r>
        <w:rPr>
          <w:rFonts w:asciiTheme="majorEastAsia" w:hAnsiTheme="majorEastAsia" w:eastAsiaTheme="majorEastAsia"/>
          <w:color w:val="auto"/>
          <w:sz w:val="21"/>
          <w:szCs w:val="21"/>
          <w:highlight w:val="none"/>
        </w:rPr>
        <w:t>：</w:t>
      </w:r>
    </w:p>
    <w:p>
      <w:pPr>
        <w:pStyle w:val="2"/>
        <w:ind w:firstLine="400"/>
        <w:rPr>
          <w:rFonts w:asciiTheme="majorEastAsia" w:hAnsiTheme="majorEastAsia" w:eastAsiaTheme="majorEastAsia"/>
          <w:color w:val="auto"/>
          <w:sz w:val="21"/>
          <w:szCs w:val="21"/>
          <w:highlight w:val="none"/>
        </w:rPr>
      </w:pPr>
    </w:p>
    <w:p>
      <w:pPr>
        <w:pStyle w:val="2"/>
        <w:spacing w:before="10"/>
        <w:ind w:firstLine="400"/>
        <w:rPr>
          <w:rFonts w:asciiTheme="majorEastAsia" w:hAnsiTheme="majorEastAsia" w:eastAsiaTheme="majorEastAsia"/>
          <w:color w:val="auto"/>
          <w:sz w:val="21"/>
          <w:szCs w:val="21"/>
          <w:highlight w:val="none"/>
        </w:rPr>
      </w:pPr>
    </w:p>
    <w:p>
      <w:pPr>
        <w:pStyle w:val="2"/>
        <w:tabs>
          <w:tab w:val="left" w:pos="2272"/>
          <w:tab w:val="left" w:pos="2395"/>
          <w:tab w:val="left" w:pos="6163"/>
          <w:tab w:val="left" w:pos="6538"/>
          <w:tab w:val="left" w:pos="7481"/>
          <w:tab w:val="left" w:pos="7874"/>
        </w:tabs>
        <w:spacing w:before="36" w:line="338" w:lineRule="auto"/>
        <w:ind w:left="102" w:right="153" w:firstLine="420"/>
        <w:rPr>
          <w:rFonts w:asciiTheme="majorEastAsia" w:hAnsiTheme="majorEastAsia" w:eastAsiaTheme="majorEastAsia"/>
          <w:color w:val="auto"/>
          <w:sz w:val="21"/>
          <w:szCs w:val="21"/>
          <w:highlight w:val="none"/>
        </w:rPr>
      </w:pPr>
      <w:r>
        <w:rPr>
          <w:rFonts w:asciiTheme="majorEastAsia" w:hAnsiTheme="majorEastAsia" w:eastAsiaTheme="majorEastAsia"/>
          <w:color w:val="auto"/>
          <w:sz w:val="21"/>
          <w:szCs w:val="21"/>
          <w:highlight w:val="none"/>
        </w:rPr>
        <w:t>鉴于</w:t>
      </w:r>
      <w:r>
        <w:rPr>
          <w:rFonts w:asciiTheme="majorEastAsia" w:hAnsiTheme="majorEastAsia" w:eastAsiaTheme="majorEastAsia"/>
          <w:color w:val="auto"/>
          <w:sz w:val="21"/>
          <w:szCs w:val="21"/>
          <w:highlight w:val="none"/>
          <w:u w:val="single"/>
        </w:rPr>
        <w:t xml:space="preserve"> </w:t>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pacing w:val="-3"/>
          <w:sz w:val="21"/>
          <w:szCs w:val="21"/>
          <w:highlight w:val="none"/>
        </w:rPr>
        <w:t>（</w:t>
      </w:r>
      <w:r>
        <w:rPr>
          <w:rFonts w:hint="eastAsia" w:asciiTheme="majorEastAsia" w:hAnsiTheme="majorEastAsia" w:eastAsiaTheme="majorEastAsia"/>
          <w:color w:val="auto"/>
          <w:spacing w:val="-3"/>
          <w:sz w:val="21"/>
          <w:szCs w:val="21"/>
          <w:highlight w:val="none"/>
        </w:rPr>
        <w:t>参选</w:t>
      </w:r>
      <w:r>
        <w:rPr>
          <w:rFonts w:asciiTheme="majorEastAsia" w:hAnsiTheme="majorEastAsia" w:eastAsiaTheme="majorEastAsia"/>
          <w:color w:val="auto"/>
          <w:sz w:val="21"/>
          <w:szCs w:val="21"/>
          <w:highlight w:val="none"/>
        </w:rPr>
        <w:t>人</w:t>
      </w:r>
      <w:r>
        <w:rPr>
          <w:rFonts w:asciiTheme="majorEastAsia" w:hAnsiTheme="majorEastAsia" w:eastAsiaTheme="majorEastAsia"/>
          <w:color w:val="auto"/>
          <w:spacing w:val="-3"/>
          <w:sz w:val="21"/>
          <w:szCs w:val="21"/>
          <w:highlight w:val="none"/>
        </w:rPr>
        <w:t>名</w:t>
      </w:r>
      <w:r>
        <w:rPr>
          <w:rFonts w:asciiTheme="majorEastAsia" w:hAnsiTheme="majorEastAsia" w:eastAsiaTheme="majorEastAsia"/>
          <w:color w:val="auto"/>
          <w:sz w:val="21"/>
          <w:szCs w:val="21"/>
          <w:highlight w:val="none"/>
        </w:rPr>
        <w:t>称</w:t>
      </w:r>
      <w:r>
        <w:rPr>
          <w:rFonts w:asciiTheme="majorEastAsia" w:hAnsiTheme="majorEastAsia" w:eastAsiaTheme="majorEastAsia"/>
          <w:color w:val="auto"/>
          <w:spacing w:val="-125"/>
          <w:sz w:val="21"/>
          <w:szCs w:val="21"/>
          <w:highlight w:val="none"/>
        </w:rPr>
        <w:t>）</w:t>
      </w:r>
      <w:r>
        <w:rPr>
          <w:rFonts w:asciiTheme="majorEastAsia" w:hAnsiTheme="majorEastAsia" w:eastAsiaTheme="majorEastAsia"/>
          <w:color w:val="auto"/>
          <w:sz w:val="21"/>
          <w:szCs w:val="21"/>
          <w:highlight w:val="none"/>
        </w:rPr>
        <w:t>（</w:t>
      </w:r>
      <w:r>
        <w:rPr>
          <w:rFonts w:asciiTheme="majorEastAsia" w:hAnsiTheme="majorEastAsia" w:eastAsiaTheme="majorEastAsia"/>
          <w:color w:val="auto"/>
          <w:spacing w:val="-3"/>
          <w:sz w:val="21"/>
          <w:szCs w:val="21"/>
          <w:highlight w:val="none"/>
        </w:rPr>
        <w:t>以</w:t>
      </w:r>
      <w:r>
        <w:rPr>
          <w:rFonts w:asciiTheme="majorEastAsia" w:hAnsiTheme="majorEastAsia" w:eastAsiaTheme="majorEastAsia"/>
          <w:color w:val="auto"/>
          <w:spacing w:val="-1"/>
          <w:sz w:val="21"/>
          <w:szCs w:val="21"/>
          <w:highlight w:val="none"/>
        </w:rPr>
        <w:t>下</w:t>
      </w:r>
      <w:r>
        <w:rPr>
          <w:rFonts w:asciiTheme="majorEastAsia" w:hAnsiTheme="majorEastAsia" w:eastAsiaTheme="majorEastAsia"/>
          <w:color w:val="auto"/>
          <w:sz w:val="21"/>
          <w:szCs w:val="21"/>
          <w:highlight w:val="none"/>
        </w:rPr>
        <w:t>称</w:t>
      </w:r>
      <w:r>
        <w:rPr>
          <w:rFonts w:asciiTheme="majorEastAsia" w:hAnsiTheme="majorEastAsia" w:eastAsiaTheme="majorEastAsia"/>
          <w:color w:val="auto"/>
          <w:spacing w:val="-3"/>
          <w:sz w:val="21"/>
          <w:szCs w:val="21"/>
          <w:highlight w:val="none"/>
        </w:rPr>
        <w:t>“</w:t>
      </w:r>
      <w:r>
        <w:rPr>
          <w:rFonts w:hint="eastAsia" w:asciiTheme="majorEastAsia" w:hAnsiTheme="majorEastAsia" w:eastAsiaTheme="majorEastAsia"/>
          <w:color w:val="auto"/>
          <w:sz w:val="21"/>
          <w:szCs w:val="21"/>
          <w:highlight w:val="none"/>
        </w:rPr>
        <w:t>参选</w:t>
      </w:r>
      <w:r>
        <w:rPr>
          <w:rFonts w:asciiTheme="majorEastAsia" w:hAnsiTheme="majorEastAsia" w:eastAsiaTheme="majorEastAsia"/>
          <w:color w:val="auto"/>
          <w:sz w:val="21"/>
          <w:szCs w:val="21"/>
          <w:highlight w:val="none"/>
        </w:rPr>
        <w:t>人</w:t>
      </w:r>
      <w:r>
        <w:rPr>
          <w:rFonts w:asciiTheme="majorEastAsia" w:hAnsiTheme="majorEastAsia" w:eastAsiaTheme="majorEastAsia"/>
          <w:color w:val="auto"/>
          <w:spacing w:val="-1"/>
          <w:sz w:val="21"/>
          <w:szCs w:val="21"/>
          <w:highlight w:val="none"/>
        </w:rPr>
        <w:t>”</w:t>
      </w:r>
      <w:r>
        <w:rPr>
          <w:rFonts w:asciiTheme="majorEastAsia" w:hAnsiTheme="majorEastAsia" w:eastAsiaTheme="majorEastAsia"/>
          <w:color w:val="auto"/>
          <w:spacing w:val="-20"/>
          <w:sz w:val="21"/>
          <w:szCs w:val="21"/>
          <w:highlight w:val="none"/>
        </w:rPr>
        <w:t>）</w:t>
      </w:r>
      <w:r>
        <w:rPr>
          <w:rFonts w:asciiTheme="majorEastAsia" w:hAnsiTheme="majorEastAsia" w:eastAsiaTheme="majorEastAsia"/>
          <w:color w:val="auto"/>
          <w:sz w:val="21"/>
          <w:szCs w:val="21"/>
          <w:highlight w:val="none"/>
        </w:rPr>
        <w:t>于</w:t>
      </w:r>
      <w:r>
        <w:rPr>
          <w:rFonts w:asciiTheme="majorEastAsia" w:hAnsiTheme="majorEastAsia" w:eastAsiaTheme="majorEastAsia"/>
          <w:color w:val="auto"/>
          <w:sz w:val="21"/>
          <w:szCs w:val="21"/>
          <w:highlight w:val="none"/>
          <w:u w:val="single"/>
        </w:rPr>
        <w:t xml:space="preserve"> </w:t>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rPr>
        <w:t>年</w:t>
      </w:r>
      <w:r>
        <w:rPr>
          <w:rFonts w:asciiTheme="majorEastAsia" w:hAnsiTheme="majorEastAsia" w:eastAsiaTheme="majorEastAsia"/>
          <w:color w:val="auto"/>
          <w:sz w:val="21"/>
          <w:szCs w:val="21"/>
          <w:highlight w:val="none"/>
          <w:u w:val="single"/>
        </w:rPr>
        <w:t xml:space="preserve"> </w:t>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rPr>
        <w:t>月</w:t>
      </w:r>
      <w:r>
        <w:rPr>
          <w:rFonts w:asciiTheme="majorEastAsia" w:hAnsiTheme="majorEastAsia" w:eastAsiaTheme="majorEastAsia"/>
          <w:color w:val="auto"/>
          <w:sz w:val="21"/>
          <w:szCs w:val="21"/>
          <w:highlight w:val="none"/>
          <w:u w:val="single"/>
        </w:rPr>
        <w:t xml:space="preserve"> </w:t>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rPr>
        <w:t>日参加</w:t>
      </w:r>
      <w:r>
        <w:rPr>
          <w:rFonts w:asciiTheme="majorEastAsia" w:hAnsiTheme="majorEastAsia" w:eastAsiaTheme="majorEastAsia"/>
          <w:color w:val="auto"/>
          <w:sz w:val="21"/>
          <w:szCs w:val="21"/>
          <w:highlight w:val="none"/>
          <w:u w:val="single"/>
        </w:rPr>
        <w:t xml:space="preserve"> </w:t>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pacing w:val="-7"/>
          <w:sz w:val="21"/>
          <w:szCs w:val="21"/>
          <w:highlight w:val="none"/>
        </w:rPr>
        <w:t>（项目名称）的</w:t>
      </w:r>
      <w:r>
        <w:rPr>
          <w:rFonts w:hint="eastAsia" w:asciiTheme="majorEastAsia" w:hAnsiTheme="majorEastAsia" w:eastAsiaTheme="majorEastAsia"/>
          <w:color w:val="auto"/>
          <w:spacing w:val="-7"/>
          <w:sz w:val="21"/>
          <w:szCs w:val="21"/>
          <w:highlight w:val="none"/>
        </w:rPr>
        <w:t>比选</w:t>
      </w:r>
      <w:r>
        <w:rPr>
          <w:rFonts w:asciiTheme="majorEastAsia" w:hAnsiTheme="majorEastAsia" w:eastAsiaTheme="majorEastAsia"/>
          <w:color w:val="auto"/>
          <w:spacing w:val="-7"/>
          <w:sz w:val="21"/>
          <w:szCs w:val="21"/>
          <w:highlight w:val="none"/>
        </w:rPr>
        <w:t>，</w:t>
      </w:r>
      <w:r>
        <w:rPr>
          <w:rFonts w:asciiTheme="majorEastAsia" w:hAnsiTheme="majorEastAsia" w:eastAsiaTheme="majorEastAsia"/>
          <w:color w:val="auto"/>
          <w:spacing w:val="-7"/>
          <w:sz w:val="21"/>
          <w:szCs w:val="21"/>
          <w:highlight w:val="none"/>
          <w:u w:val="single"/>
        </w:rPr>
        <w:t xml:space="preserve"> </w:t>
      </w:r>
      <w:r>
        <w:rPr>
          <w:rFonts w:asciiTheme="majorEastAsia" w:hAnsiTheme="majorEastAsia" w:eastAsiaTheme="majorEastAsia"/>
          <w:color w:val="auto"/>
          <w:spacing w:val="-7"/>
          <w:sz w:val="21"/>
          <w:szCs w:val="21"/>
          <w:highlight w:val="none"/>
          <w:u w:val="single"/>
        </w:rPr>
        <w:tab/>
      </w:r>
      <w:r>
        <w:rPr>
          <w:rFonts w:asciiTheme="majorEastAsia" w:hAnsiTheme="majorEastAsia" w:eastAsiaTheme="majorEastAsia"/>
          <w:color w:val="auto"/>
          <w:spacing w:val="-4"/>
          <w:sz w:val="21"/>
          <w:szCs w:val="21"/>
          <w:highlight w:val="none"/>
        </w:rPr>
        <w:t>（担保人名称，以下简称“我</w:t>
      </w:r>
      <w:r>
        <w:rPr>
          <w:rFonts w:asciiTheme="majorEastAsia" w:hAnsiTheme="majorEastAsia" w:eastAsiaTheme="majorEastAsia"/>
          <w:color w:val="auto"/>
          <w:spacing w:val="-3"/>
          <w:sz w:val="21"/>
          <w:szCs w:val="21"/>
          <w:highlight w:val="none"/>
        </w:rPr>
        <w:t>方”）无条件地、不可撤销地保证：若</w:t>
      </w:r>
      <w:r>
        <w:rPr>
          <w:rFonts w:hint="eastAsia" w:asciiTheme="majorEastAsia" w:hAnsiTheme="majorEastAsia" w:eastAsiaTheme="majorEastAsia"/>
          <w:color w:val="auto"/>
          <w:spacing w:val="-3"/>
          <w:sz w:val="21"/>
          <w:szCs w:val="21"/>
          <w:highlight w:val="none"/>
        </w:rPr>
        <w:t>参选</w:t>
      </w:r>
      <w:r>
        <w:rPr>
          <w:rFonts w:asciiTheme="majorEastAsia" w:hAnsiTheme="majorEastAsia" w:eastAsiaTheme="majorEastAsia"/>
          <w:color w:val="auto"/>
          <w:spacing w:val="-3"/>
          <w:sz w:val="21"/>
          <w:szCs w:val="21"/>
          <w:highlight w:val="none"/>
        </w:rPr>
        <w:t>人在</w:t>
      </w:r>
      <w:r>
        <w:rPr>
          <w:rFonts w:hint="eastAsia" w:asciiTheme="majorEastAsia" w:hAnsiTheme="majorEastAsia" w:eastAsiaTheme="majorEastAsia"/>
          <w:color w:val="auto"/>
          <w:spacing w:val="-3"/>
          <w:sz w:val="21"/>
          <w:szCs w:val="21"/>
          <w:highlight w:val="none"/>
        </w:rPr>
        <w:t>参选</w:t>
      </w:r>
      <w:r>
        <w:rPr>
          <w:rFonts w:asciiTheme="majorEastAsia" w:hAnsiTheme="majorEastAsia" w:eastAsiaTheme="majorEastAsia"/>
          <w:color w:val="auto"/>
          <w:spacing w:val="-3"/>
          <w:sz w:val="21"/>
          <w:szCs w:val="21"/>
          <w:highlight w:val="none"/>
        </w:rPr>
        <w:t>有效期内撤销</w:t>
      </w:r>
      <w:r>
        <w:rPr>
          <w:rFonts w:hint="eastAsia" w:asciiTheme="majorEastAsia" w:hAnsiTheme="majorEastAsia" w:eastAsiaTheme="majorEastAsia"/>
          <w:color w:val="auto"/>
          <w:spacing w:val="-3"/>
          <w:sz w:val="21"/>
          <w:szCs w:val="21"/>
          <w:highlight w:val="none"/>
        </w:rPr>
        <w:t>参选</w:t>
      </w:r>
      <w:r>
        <w:rPr>
          <w:rFonts w:asciiTheme="majorEastAsia" w:hAnsiTheme="majorEastAsia" w:eastAsiaTheme="majorEastAsia"/>
          <w:color w:val="auto"/>
          <w:spacing w:val="-3"/>
          <w:sz w:val="21"/>
          <w:szCs w:val="21"/>
          <w:highlight w:val="none"/>
        </w:rPr>
        <w:t>文件</w:t>
      </w:r>
      <w:r>
        <w:rPr>
          <w:rFonts w:hint="eastAsia" w:asciiTheme="majorEastAsia" w:hAnsiTheme="majorEastAsia" w:eastAsiaTheme="majorEastAsia"/>
          <w:color w:val="auto"/>
          <w:sz w:val="21"/>
          <w:szCs w:val="21"/>
          <w:highlight w:val="none"/>
        </w:rPr>
        <w:t>，</w:t>
      </w:r>
      <w:r>
        <w:rPr>
          <w:rFonts w:asciiTheme="majorEastAsia" w:hAnsiTheme="majorEastAsia" w:eastAsiaTheme="majorEastAsia"/>
          <w:color w:val="auto"/>
          <w:spacing w:val="-3"/>
          <w:sz w:val="21"/>
          <w:szCs w:val="21"/>
          <w:highlight w:val="none"/>
        </w:rPr>
        <w:t>中</w:t>
      </w:r>
      <w:r>
        <w:rPr>
          <w:rFonts w:hint="eastAsia" w:asciiTheme="majorEastAsia" w:hAnsiTheme="majorEastAsia" w:eastAsiaTheme="majorEastAsia"/>
          <w:color w:val="auto"/>
          <w:spacing w:val="-3"/>
          <w:sz w:val="21"/>
          <w:szCs w:val="21"/>
          <w:highlight w:val="none"/>
        </w:rPr>
        <w:t>选</w:t>
      </w:r>
      <w:r>
        <w:rPr>
          <w:rFonts w:asciiTheme="majorEastAsia" w:hAnsiTheme="majorEastAsia" w:eastAsiaTheme="majorEastAsia"/>
          <w:color w:val="auto"/>
          <w:spacing w:val="-3"/>
          <w:sz w:val="21"/>
          <w:szCs w:val="21"/>
          <w:highlight w:val="none"/>
        </w:rPr>
        <w:t>后无正当理由</w:t>
      </w:r>
      <w:r>
        <w:rPr>
          <w:rFonts w:asciiTheme="majorEastAsia" w:hAnsiTheme="majorEastAsia" w:eastAsiaTheme="majorEastAsia"/>
          <w:color w:val="auto"/>
          <w:spacing w:val="-1"/>
          <w:sz w:val="21"/>
          <w:szCs w:val="21"/>
          <w:highlight w:val="none"/>
        </w:rPr>
        <w:t>不与</w:t>
      </w:r>
      <w:r>
        <w:rPr>
          <w:rFonts w:hint="eastAsia" w:asciiTheme="majorEastAsia" w:hAnsiTheme="majorEastAsia" w:eastAsiaTheme="majorEastAsia"/>
          <w:color w:val="auto"/>
          <w:spacing w:val="-1"/>
          <w:sz w:val="21"/>
          <w:szCs w:val="21"/>
          <w:highlight w:val="none"/>
        </w:rPr>
        <w:t>比选</w:t>
      </w:r>
      <w:r>
        <w:rPr>
          <w:rFonts w:asciiTheme="majorEastAsia" w:hAnsiTheme="majorEastAsia" w:eastAsiaTheme="majorEastAsia"/>
          <w:color w:val="auto"/>
          <w:spacing w:val="-1"/>
          <w:sz w:val="21"/>
          <w:szCs w:val="21"/>
          <w:highlight w:val="none"/>
        </w:rPr>
        <w:t>人订立合同，在签订合同时向</w:t>
      </w:r>
      <w:r>
        <w:rPr>
          <w:rFonts w:hint="eastAsia" w:asciiTheme="majorEastAsia" w:hAnsiTheme="majorEastAsia" w:eastAsiaTheme="majorEastAsia"/>
          <w:color w:val="auto"/>
          <w:spacing w:val="-1"/>
          <w:sz w:val="21"/>
          <w:szCs w:val="21"/>
          <w:highlight w:val="none"/>
        </w:rPr>
        <w:t>比选</w:t>
      </w:r>
      <w:r>
        <w:rPr>
          <w:rFonts w:asciiTheme="majorEastAsia" w:hAnsiTheme="majorEastAsia" w:eastAsiaTheme="majorEastAsia"/>
          <w:color w:val="auto"/>
          <w:spacing w:val="-1"/>
          <w:sz w:val="21"/>
          <w:szCs w:val="21"/>
          <w:highlight w:val="none"/>
        </w:rPr>
        <w:t>人提出附加条件，不按照</w:t>
      </w:r>
      <w:r>
        <w:rPr>
          <w:rFonts w:hint="eastAsia" w:asciiTheme="majorEastAsia" w:hAnsiTheme="majorEastAsia" w:eastAsiaTheme="majorEastAsia"/>
          <w:color w:val="auto"/>
          <w:spacing w:val="-1"/>
          <w:sz w:val="21"/>
          <w:szCs w:val="21"/>
          <w:highlight w:val="none"/>
        </w:rPr>
        <w:t>比选</w:t>
      </w:r>
      <w:r>
        <w:rPr>
          <w:rFonts w:asciiTheme="majorEastAsia" w:hAnsiTheme="majorEastAsia" w:eastAsiaTheme="majorEastAsia"/>
          <w:color w:val="auto"/>
          <w:spacing w:val="-1"/>
          <w:sz w:val="21"/>
          <w:szCs w:val="21"/>
          <w:highlight w:val="none"/>
        </w:rPr>
        <w:t>文件要求提交履约保证金，</w:t>
      </w:r>
      <w:r>
        <w:rPr>
          <w:rFonts w:hint="eastAsia" w:asciiTheme="majorEastAsia" w:hAnsiTheme="majorEastAsia" w:eastAsiaTheme="majorEastAsia"/>
          <w:color w:val="auto"/>
          <w:sz w:val="21"/>
          <w:szCs w:val="21"/>
          <w:highlight w:val="none"/>
        </w:rPr>
        <w:t>参选人有串通参选、弄虚作假等行为</w:t>
      </w:r>
      <w:r>
        <w:rPr>
          <w:rFonts w:hint="eastAsia" w:asciiTheme="majorEastAsia" w:hAnsiTheme="majorEastAsia" w:eastAsiaTheme="majorEastAsia"/>
          <w:color w:val="auto"/>
          <w:spacing w:val="-1"/>
          <w:sz w:val="21"/>
          <w:szCs w:val="21"/>
          <w:highlight w:val="none"/>
        </w:rPr>
        <w:t>的，参选人未能及时按比选文件及中选通知书的要求交纳比选代理服务费的；</w:t>
      </w:r>
      <w:r>
        <w:rPr>
          <w:rFonts w:asciiTheme="majorEastAsia" w:hAnsiTheme="majorEastAsia" w:eastAsiaTheme="majorEastAsia"/>
          <w:color w:val="auto"/>
          <w:spacing w:val="-1"/>
          <w:sz w:val="21"/>
          <w:szCs w:val="21"/>
          <w:highlight w:val="none"/>
        </w:rPr>
        <w:t>或者发生</w:t>
      </w:r>
      <w:r>
        <w:rPr>
          <w:rFonts w:hint="eastAsia" w:asciiTheme="majorEastAsia" w:hAnsiTheme="majorEastAsia" w:eastAsiaTheme="majorEastAsia"/>
          <w:color w:val="auto"/>
          <w:spacing w:val="-1"/>
          <w:sz w:val="21"/>
          <w:szCs w:val="21"/>
          <w:highlight w:val="none"/>
        </w:rPr>
        <w:t>比选</w:t>
      </w:r>
      <w:r>
        <w:rPr>
          <w:rFonts w:asciiTheme="majorEastAsia" w:hAnsiTheme="majorEastAsia" w:eastAsiaTheme="majorEastAsia"/>
          <w:color w:val="auto"/>
          <w:spacing w:val="-1"/>
          <w:sz w:val="21"/>
          <w:szCs w:val="21"/>
          <w:highlight w:val="none"/>
        </w:rPr>
        <w:t>文件明确规定可以不予退还</w:t>
      </w:r>
      <w:r>
        <w:rPr>
          <w:rFonts w:hint="eastAsia" w:asciiTheme="majorEastAsia" w:hAnsiTheme="majorEastAsia" w:eastAsiaTheme="majorEastAsia"/>
          <w:color w:val="auto"/>
          <w:spacing w:val="-1"/>
          <w:sz w:val="21"/>
          <w:szCs w:val="21"/>
          <w:highlight w:val="none"/>
        </w:rPr>
        <w:t>参选</w:t>
      </w:r>
      <w:r>
        <w:rPr>
          <w:rFonts w:asciiTheme="majorEastAsia" w:hAnsiTheme="majorEastAsia" w:eastAsiaTheme="majorEastAsia"/>
          <w:color w:val="auto"/>
          <w:spacing w:val="-1"/>
          <w:sz w:val="21"/>
          <w:szCs w:val="21"/>
          <w:highlight w:val="none"/>
        </w:rPr>
        <w:t>保证金的其他情形，我方承担保证责任。</w:t>
      </w:r>
      <w:r>
        <w:rPr>
          <w:rFonts w:asciiTheme="majorEastAsia" w:hAnsiTheme="majorEastAsia" w:eastAsiaTheme="majorEastAsia"/>
          <w:color w:val="auto"/>
          <w:sz w:val="21"/>
          <w:szCs w:val="21"/>
          <w:highlight w:val="none"/>
        </w:rPr>
        <w:t>收到你方书面通知后，我方在</w:t>
      </w:r>
      <w:r>
        <w:rPr>
          <w:rFonts w:asciiTheme="majorEastAsia" w:hAnsiTheme="majorEastAsia" w:eastAsiaTheme="majorEastAsia"/>
          <w:color w:val="auto"/>
          <w:spacing w:val="-54"/>
          <w:sz w:val="21"/>
          <w:szCs w:val="21"/>
          <w:highlight w:val="none"/>
        </w:rPr>
        <w:t xml:space="preserve"> </w:t>
      </w:r>
      <w:r>
        <w:rPr>
          <w:rFonts w:asciiTheme="majorEastAsia" w:hAnsiTheme="majorEastAsia" w:eastAsiaTheme="majorEastAsia"/>
          <w:color w:val="auto"/>
          <w:sz w:val="21"/>
          <w:szCs w:val="21"/>
          <w:highlight w:val="none"/>
        </w:rPr>
        <w:t>7</w:t>
      </w:r>
      <w:r>
        <w:rPr>
          <w:rFonts w:asciiTheme="majorEastAsia" w:hAnsiTheme="majorEastAsia" w:eastAsiaTheme="majorEastAsia"/>
          <w:color w:val="auto"/>
          <w:spacing w:val="-4"/>
          <w:sz w:val="21"/>
          <w:szCs w:val="21"/>
          <w:highlight w:val="none"/>
        </w:rPr>
        <w:t xml:space="preserve"> </w:t>
      </w:r>
      <w:r>
        <w:rPr>
          <w:rFonts w:asciiTheme="majorEastAsia" w:hAnsiTheme="majorEastAsia" w:eastAsiaTheme="majorEastAsia"/>
          <w:color w:val="auto"/>
          <w:sz w:val="21"/>
          <w:szCs w:val="21"/>
          <w:highlight w:val="none"/>
        </w:rPr>
        <w:t>日内向你方无条件支付人民币</w:t>
      </w:r>
      <w:r>
        <w:rPr>
          <w:rFonts w:asciiTheme="majorEastAsia" w:hAnsiTheme="majorEastAsia" w:eastAsiaTheme="majorEastAsia"/>
          <w:color w:val="auto"/>
          <w:sz w:val="21"/>
          <w:szCs w:val="21"/>
          <w:highlight w:val="none"/>
          <w:u w:val="single"/>
        </w:rPr>
        <w:t xml:space="preserve">       </w:t>
      </w:r>
      <w:r>
        <w:rPr>
          <w:rFonts w:hint="eastAsia" w:asciiTheme="majorEastAsia" w:hAnsiTheme="majorEastAsia" w:eastAsiaTheme="majorEastAsia"/>
          <w:color w:val="auto"/>
          <w:sz w:val="21"/>
          <w:szCs w:val="21"/>
          <w:highlight w:val="none"/>
        </w:rPr>
        <w:t>元</w:t>
      </w:r>
      <w:r>
        <w:rPr>
          <w:rFonts w:asciiTheme="majorEastAsia" w:hAnsiTheme="majorEastAsia" w:eastAsiaTheme="majorEastAsia"/>
          <w:color w:val="auto"/>
          <w:sz w:val="21"/>
          <w:szCs w:val="21"/>
          <w:highlight w:val="none"/>
        </w:rPr>
        <w:t>，（大写</w:t>
      </w:r>
      <w:r>
        <w:rPr>
          <w:rFonts w:hint="eastAsia" w:asciiTheme="majorEastAsia" w:hAnsiTheme="majorEastAsia" w:eastAsiaTheme="majorEastAsia"/>
          <w:color w:val="auto"/>
          <w:sz w:val="21"/>
          <w:szCs w:val="21"/>
          <w:highlight w:val="none"/>
        </w:rPr>
        <w:t>：</w:t>
      </w:r>
      <w:r>
        <w:rPr>
          <w:rFonts w:asciiTheme="majorEastAsia" w:hAnsiTheme="majorEastAsia" w:eastAsiaTheme="majorEastAsia"/>
          <w:color w:val="auto"/>
          <w:sz w:val="21"/>
          <w:szCs w:val="21"/>
          <w:highlight w:val="none"/>
          <w:u w:val="single"/>
        </w:rPr>
        <w:t xml:space="preserve">      </w:t>
      </w:r>
      <w:r>
        <w:rPr>
          <w:rFonts w:asciiTheme="majorEastAsia" w:hAnsiTheme="majorEastAsia" w:eastAsiaTheme="majorEastAsia"/>
          <w:color w:val="auto"/>
          <w:sz w:val="21"/>
          <w:szCs w:val="21"/>
          <w:highlight w:val="none"/>
        </w:rPr>
        <w:t>）。</w:t>
      </w:r>
    </w:p>
    <w:p>
      <w:pPr>
        <w:pStyle w:val="2"/>
        <w:spacing w:before="46" w:line="386" w:lineRule="auto"/>
        <w:ind w:left="100" w:firstLine="420"/>
        <w:rPr>
          <w:rFonts w:asciiTheme="majorEastAsia" w:hAnsiTheme="majorEastAsia" w:eastAsiaTheme="majorEastAsia"/>
          <w:color w:val="auto"/>
          <w:sz w:val="21"/>
          <w:szCs w:val="21"/>
          <w:highlight w:val="none"/>
        </w:rPr>
      </w:pPr>
      <w:r>
        <w:rPr>
          <w:rFonts w:asciiTheme="majorEastAsia" w:hAnsiTheme="majorEastAsia" w:eastAsiaTheme="majorEastAsia"/>
          <w:color w:val="auto"/>
          <w:sz w:val="21"/>
          <w:szCs w:val="21"/>
          <w:highlight w:val="none"/>
        </w:rPr>
        <w:t>本保函在</w:t>
      </w:r>
      <w:r>
        <w:rPr>
          <w:rFonts w:hint="eastAsia" w:asciiTheme="majorEastAsia" w:hAnsiTheme="majorEastAsia" w:eastAsiaTheme="majorEastAsia"/>
          <w:color w:val="auto"/>
          <w:sz w:val="21"/>
          <w:szCs w:val="21"/>
          <w:highlight w:val="none"/>
        </w:rPr>
        <w:t>参选</w:t>
      </w:r>
      <w:r>
        <w:rPr>
          <w:rFonts w:asciiTheme="majorEastAsia" w:hAnsiTheme="majorEastAsia" w:eastAsiaTheme="majorEastAsia"/>
          <w:color w:val="auto"/>
          <w:sz w:val="21"/>
          <w:szCs w:val="21"/>
          <w:highlight w:val="none"/>
        </w:rPr>
        <w:t>有效期内保持有效。要求我方承担保证责任的通知应在</w:t>
      </w:r>
      <w:r>
        <w:rPr>
          <w:rFonts w:hint="eastAsia" w:asciiTheme="majorEastAsia" w:hAnsiTheme="majorEastAsia" w:eastAsiaTheme="majorEastAsia"/>
          <w:color w:val="auto"/>
          <w:sz w:val="21"/>
          <w:szCs w:val="21"/>
          <w:highlight w:val="none"/>
        </w:rPr>
        <w:t>参选</w:t>
      </w:r>
      <w:r>
        <w:rPr>
          <w:rFonts w:asciiTheme="majorEastAsia" w:hAnsiTheme="majorEastAsia" w:eastAsiaTheme="majorEastAsia"/>
          <w:color w:val="auto"/>
          <w:sz w:val="21"/>
          <w:szCs w:val="21"/>
          <w:highlight w:val="none"/>
        </w:rPr>
        <w:t>有效期内送达我方。</w:t>
      </w:r>
    </w:p>
    <w:p>
      <w:pPr>
        <w:pStyle w:val="2"/>
        <w:spacing w:before="46" w:line="386" w:lineRule="auto"/>
        <w:ind w:left="100" w:firstLine="420"/>
        <w:jc w:val="right"/>
        <w:rPr>
          <w:rFonts w:asciiTheme="majorEastAsia" w:hAnsiTheme="majorEastAsia" w:eastAsiaTheme="majorEastAsia"/>
          <w:color w:val="auto"/>
          <w:sz w:val="21"/>
          <w:szCs w:val="21"/>
          <w:highlight w:val="none"/>
        </w:rPr>
      </w:pPr>
      <w:r>
        <w:rPr>
          <w:rFonts w:asciiTheme="majorEastAsia" w:hAnsiTheme="majorEastAsia" w:eastAsiaTheme="majorEastAsia"/>
          <w:color w:val="auto"/>
          <w:sz w:val="21"/>
          <w:szCs w:val="21"/>
          <w:highlight w:val="none"/>
        </w:rPr>
        <w:t>保函</w:t>
      </w:r>
      <w:r>
        <w:rPr>
          <w:rFonts w:hint="eastAsia" w:asciiTheme="majorEastAsia" w:hAnsiTheme="majorEastAsia" w:eastAsiaTheme="majorEastAsia"/>
          <w:color w:val="auto"/>
          <w:sz w:val="21"/>
          <w:szCs w:val="21"/>
          <w:highlight w:val="none"/>
        </w:rPr>
        <w:t>开立</w:t>
      </w:r>
      <w:r>
        <w:rPr>
          <w:rFonts w:asciiTheme="majorEastAsia" w:hAnsiTheme="majorEastAsia" w:eastAsiaTheme="majorEastAsia"/>
          <w:color w:val="auto"/>
          <w:sz w:val="21"/>
          <w:szCs w:val="21"/>
          <w:highlight w:val="none"/>
        </w:rPr>
        <w:t>银行名称</w:t>
      </w:r>
      <w:r>
        <w:rPr>
          <w:rFonts w:hint="eastAsia" w:asciiTheme="majorEastAsia" w:hAnsiTheme="majorEastAsia" w:eastAsiaTheme="majorEastAsia"/>
          <w:color w:val="auto"/>
          <w:sz w:val="21"/>
          <w:szCs w:val="21"/>
          <w:highlight w:val="none"/>
        </w:rPr>
        <w:t>：</w:t>
      </w:r>
      <w:r>
        <w:rPr>
          <w:rFonts w:asciiTheme="majorEastAsia" w:hAnsiTheme="majorEastAsia" w:eastAsiaTheme="majorEastAsia"/>
          <w:color w:val="auto"/>
          <w:sz w:val="21"/>
          <w:szCs w:val="21"/>
          <w:highlight w:val="none"/>
          <w:u w:val="single"/>
        </w:rPr>
        <w:t xml:space="preserve">                                  （</w:t>
      </w:r>
      <w:r>
        <w:rPr>
          <w:rFonts w:hint="eastAsia" w:asciiTheme="majorEastAsia" w:hAnsiTheme="majorEastAsia" w:eastAsiaTheme="majorEastAsia"/>
          <w:color w:val="auto"/>
          <w:sz w:val="21"/>
          <w:szCs w:val="21"/>
          <w:highlight w:val="none"/>
        </w:rPr>
        <w:t>盖章）</w:t>
      </w:r>
    </w:p>
    <w:p>
      <w:pPr>
        <w:pStyle w:val="2"/>
        <w:spacing w:before="46" w:line="386" w:lineRule="auto"/>
        <w:ind w:left="279" w:leftChars="133" w:firstLine="420"/>
        <w:jc w:val="right"/>
        <w:rPr>
          <w:rFonts w:asciiTheme="majorEastAsia" w:hAnsiTheme="majorEastAsia" w:eastAsiaTheme="majorEastAsia"/>
          <w:color w:val="auto"/>
          <w:sz w:val="21"/>
          <w:szCs w:val="21"/>
          <w:highlight w:val="none"/>
        </w:rPr>
      </w:pPr>
      <w:r>
        <w:rPr>
          <w:rFonts w:hint="eastAsia" w:asciiTheme="majorEastAsia" w:hAnsiTheme="majorEastAsia" w:eastAsiaTheme="majorEastAsia"/>
          <w:color w:val="auto"/>
          <w:sz w:val="21"/>
          <w:szCs w:val="21"/>
          <w:highlight w:val="none"/>
        </w:rPr>
        <w:t>银行法定代表人或负责人：</w:t>
      </w:r>
      <w:r>
        <w:rPr>
          <w:rFonts w:asciiTheme="majorEastAsia" w:hAnsiTheme="majorEastAsia" w:eastAsiaTheme="majorEastAsia"/>
          <w:color w:val="auto"/>
          <w:sz w:val="21"/>
          <w:szCs w:val="21"/>
          <w:highlight w:val="none"/>
          <w:u w:val="single"/>
        </w:rPr>
        <w:t xml:space="preserve">              </w:t>
      </w:r>
      <w:r>
        <w:rPr>
          <w:rFonts w:hint="eastAsia" w:asciiTheme="majorEastAsia" w:hAnsiTheme="majorEastAsia" w:eastAsiaTheme="majorEastAsia"/>
          <w:color w:val="auto"/>
          <w:sz w:val="21"/>
          <w:szCs w:val="21"/>
          <w:highlight w:val="none"/>
        </w:rPr>
        <w:t>（签字或盖章）</w:t>
      </w:r>
    </w:p>
    <w:p>
      <w:pPr>
        <w:pStyle w:val="2"/>
        <w:spacing w:before="46" w:line="386" w:lineRule="auto"/>
        <w:ind w:left="100" w:firstLine="420"/>
        <w:jc w:val="right"/>
        <w:rPr>
          <w:rFonts w:asciiTheme="majorEastAsia" w:hAnsiTheme="majorEastAsia" w:eastAsiaTheme="majorEastAsia"/>
          <w:color w:val="auto"/>
          <w:sz w:val="21"/>
          <w:szCs w:val="21"/>
          <w:highlight w:val="none"/>
        </w:rPr>
      </w:pPr>
      <w:r>
        <w:rPr>
          <w:rFonts w:hint="eastAsia" w:asciiTheme="majorEastAsia" w:hAnsiTheme="majorEastAsia" w:eastAsiaTheme="majorEastAsia"/>
          <w:color w:val="auto"/>
          <w:sz w:val="21"/>
          <w:szCs w:val="21"/>
          <w:highlight w:val="none"/>
        </w:rPr>
        <w:t>地</w:t>
      </w:r>
      <w:r>
        <w:rPr>
          <w:rFonts w:asciiTheme="majorEastAsia" w:hAnsiTheme="majorEastAsia" w:eastAsiaTheme="majorEastAsia"/>
          <w:color w:val="auto"/>
          <w:sz w:val="21"/>
          <w:szCs w:val="21"/>
          <w:highlight w:val="none"/>
        </w:rPr>
        <w:t xml:space="preserve">    </w:t>
      </w:r>
      <w:r>
        <w:rPr>
          <w:rFonts w:hint="eastAsia" w:asciiTheme="majorEastAsia" w:hAnsiTheme="majorEastAsia" w:eastAsiaTheme="majorEastAsia"/>
          <w:color w:val="auto"/>
          <w:sz w:val="21"/>
          <w:szCs w:val="21"/>
          <w:highlight w:val="none"/>
        </w:rPr>
        <w:t>址：</w:t>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p>
    <w:p>
      <w:pPr>
        <w:pStyle w:val="2"/>
        <w:spacing w:before="46" w:line="386" w:lineRule="auto"/>
        <w:ind w:left="100" w:firstLine="420"/>
        <w:jc w:val="right"/>
        <w:rPr>
          <w:rFonts w:asciiTheme="majorEastAsia" w:hAnsiTheme="majorEastAsia" w:eastAsiaTheme="majorEastAsia"/>
          <w:color w:val="auto"/>
          <w:sz w:val="21"/>
          <w:szCs w:val="21"/>
          <w:highlight w:val="none"/>
          <w:u w:val="single"/>
        </w:rPr>
      </w:pPr>
      <w:r>
        <w:rPr>
          <w:rFonts w:hint="eastAsia" w:asciiTheme="majorEastAsia" w:hAnsiTheme="majorEastAsia" w:eastAsiaTheme="majorEastAsia"/>
          <w:color w:val="auto"/>
          <w:sz w:val="21"/>
          <w:szCs w:val="21"/>
          <w:highlight w:val="none"/>
        </w:rPr>
        <w:t>邮政编码：</w:t>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p>
    <w:p>
      <w:pPr>
        <w:pStyle w:val="2"/>
        <w:spacing w:before="46" w:line="386" w:lineRule="auto"/>
        <w:ind w:left="100" w:firstLine="420"/>
        <w:jc w:val="right"/>
        <w:rPr>
          <w:rFonts w:asciiTheme="majorEastAsia" w:hAnsiTheme="majorEastAsia" w:eastAsiaTheme="majorEastAsia"/>
          <w:color w:val="auto"/>
          <w:sz w:val="21"/>
          <w:szCs w:val="21"/>
          <w:highlight w:val="none"/>
        </w:rPr>
      </w:pPr>
      <w:r>
        <w:rPr>
          <w:rFonts w:hint="eastAsia" w:asciiTheme="majorEastAsia" w:hAnsiTheme="majorEastAsia" w:eastAsiaTheme="majorEastAsia"/>
          <w:color w:val="auto"/>
          <w:sz w:val="21"/>
          <w:szCs w:val="21"/>
          <w:highlight w:val="none"/>
        </w:rPr>
        <w:t>电话：</w:t>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r>
        <w:rPr>
          <w:rFonts w:asciiTheme="majorEastAsia" w:hAnsiTheme="majorEastAsia" w:eastAsiaTheme="majorEastAsia"/>
          <w:color w:val="auto"/>
          <w:sz w:val="21"/>
          <w:szCs w:val="21"/>
          <w:highlight w:val="none"/>
          <w:u w:val="single"/>
        </w:rPr>
        <w:tab/>
      </w:r>
    </w:p>
    <w:p>
      <w:pPr>
        <w:jc w:val="right"/>
        <w:rPr>
          <w:color w:val="auto"/>
          <w:szCs w:val="21"/>
          <w:highlight w:val="none"/>
        </w:rPr>
      </w:pPr>
      <w:r>
        <w:rPr>
          <w:rFonts w:hint="eastAsia"/>
          <w:color w:val="auto"/>
          <w:szCs w:val="21"/>
          <w:highlight w:val="none"/>
        </w:rPr>
        <w:t>日</w:t>
      </w:r>
      <w:r>
        <w:rPr>
          <w:color w:val="auto"/>
          <w:szCs w:val="21"/>
          <w:highlight w:val="none"/>
        </w:rPr>
        <w:t xml:space="preserve">    </w:t>
      </w:r>
      <w:r>
        <w:rPr>
          <w:rFonts w:hint="eastAsia"/>
          <w:color w:val="auto"/>
          <w:szCs w:val="21"/>
          <w:highlight w:val="none"/>
        </w:rPr>
        <w:t xml:space="preserve">期： 年 </w:t>
      </w:r>
      <w:r>
        <w:rPr>
          <w:color w:val="auto"/>
          <w:szCs w:val="21"/>
          <w:highlight w:val="none"/>
        </w:rPr>
        <w:t xml:space="preserve"> </w:t>
      </w:r>
      <w:r>
        <w:rPr>
          <w:rFonts w:hint="eastAsia"/>
          <w:color w:val="auto"/>
          <w:szCs w:val="21"/>
          <w:highlight w:val="none"/>
        </w:rPr>
        <w:t xml:space="preserve">月 </w:t>
      </w:r>
      <w:r>
        <w:rPr>
          <w:color w:val="auto"/>
          <w:szCs w:val="21"/>
          <w:highlight w:val="none"/>
        </w:rPr>
        <w:t xml:space="preserve"> </w:t>
      </w:r>
      <w:r>
        <w:rPr>
          <w:rFonts w:hint="eastAsia"/>
          <w:color w:val="auto"/>
          <w:szCs w:val="21"/>
          <w:highlight w:val="none"/>
        </w:rPr>
        <w:t>日</w:t>
      </w:r>
    </w:p>
    <w:bookmarkEnd w:id="964"/>
    <w:p>
      <w:pPr>
        <w:rPr>
          <w:color w:val="auto"/>
          <w:highlight w:val="none"/>
        </w:rPr>
      </w:pPr>
    </w:p>
    <w:p>
      <w:pPr>
        <w:rPr>
          <w:color w:val="auto"/>
          <w:highlight w:val="none"/>
        </w:rPr>
      </w:pPr>
    </w:p>
    <w:p>
      <w:pPr>
        <w:pStyle w:val="35"/>
        <w:numPr>
          <w:ilvl w:val="0"/>
          <w:numId w:val="31"/>
        </w:numPr>
        <w:tabs>
          <w:tab w:val="left" w:pos="0"/>
        </w:tabs>
        <w:snapToGrid w:val="0"/>
        <w:spacing w:before="120" w:after="120" w:line="440" w:lineRule="exact"/>
        <w:jc w:val="left"/>
        <w:outlineLvl w:val="1"/>
        <w:rPr>
          <w:rFonts w:ascii="宋体" w:hAnsi="宋体"/>
          <w:color w:val="auto"/>
          <w:sz w:val="28"/>
          <w:szCs w:val="24"/>
          <w:highlight w:val="none"/>
        </w:rPr>
      </w:pPr>
      <w:bookmarkStart w:id="965" w:name="_四、投标保证金凭证"/>
      <w:bookmarkEnd w:id="965"/>
      <w:bookmarkStart w:id="966" w:name="_Toc17203064"/>
      <w:bookmarkStart w:id="967" w:name="_Toc20738"/>
      <w:bookmarkStart w:id="968" w:name="_Toc489610821"/>
      <w:bookmarkStart w:id="969" w:name="_Toc17203579"/>
      <w:bookmarkStart w:id="970" w:name="_Toc17202864"/>
      <w:r>
        <w:rPr>
          <w:rFonts w:hint="eastAsia" w:ascii="宋体" w:hAnsi="宋体"/>
          <w:color w:val="auto"/>
          <w:sz w:val="28"/>
          <w:szCs w:val="24"/>
          <w:highlight w:val="none"/>
        </w:rPr>
        <w:t>中国人民银行颁发的基本账户开户证明</w:t>
      </w:r>
      <w:bookmarkEnd w:id="966"/>
      <w:bookmarkEnd w:id="967"/>
      <w:bookmarkEnd w:id="968"/>
      <w:bookmarkEnd w:id="969"/>
      <w:bookmarkEnd w:id="970"/>
      <w:r>
        <w:rPr>
          <w:rFonts w:ascii="宋体" w:hAnsi="宋体"/>
          <w:color w:val="auto"/>
          <w:sz w:val="28"/>
          <w:szCs w:val="24"/>
          <w:highlight w:val="none"/>
        </w:rPr>
        <w:t xml:space="preserve"> </w:t>
      </w:r>
    </w:p>
    <w:p>
      <w:pPr>
        <w:rPr>
          <w:rFonts w:hint="eastAsia"/>
          <w:color w:val="auto"/>
          <w:highlight w:val="none"/>
        </w:rPr>
      </w:pPr>
      <w:r>
        <w:rPr>
          <w:rFonts w:hint="eastAsia"/>
          <w:color w:val="auto"/>
          <w:highlight w:val="none"/>
        </w:rPr>
        <w:t>说明：参选保证金必须从参选人的基本账户转出，并提供中国人民银行颁发的基本账户开户证明复印件或“基本账户信息”说明材料等，否则将导致参选被否决。</w:t>
      </w:r>
    </w:p>
    <w:p>
      <w:pPr>
        <w:pStyle w:val="2"/>
        <w:rPr>
          <w:rFonts w:hint="eastAsia"/>
          <w:color w:val="auto"/>
          <w:highlight w:val="none"/>
        </w:rPr>
      </w:pPr>
    </w:p>
    <w:p>
      <w:pPr>
        <w:pStyle w:val="2"/>
        <w:rPr>
          <w:rFonts w:hint="eastAsia"/>
          <w:color w:val="auto"/>
          <w:highlight w:val="none"/>
        </w:rPr>
      </w:pPr>
    </w:p>
    <w:p>
      <w:pPr>
        <w:pStyle w:val="2"/>
        <w:rPr>
          <w:rFonts w:hint="eastAsia"/>
          <w:color w:val="auto"/>
          <w:highlight w:val="none"/>
        </w:rPr>
      </w:pPr>
    </w:p>
    <w:p>
      <w:pPr>
        <w:pStyle w:val="2"/>
        <w:rPr>
          <w:rFonts w:hint="eastAsia"/>
          <w:color w:val="auto"/>
          <w:highlight w:val="none"/>
        </w:rPr>
      </w:pPr>
    </w:p>
    <w:p>
      <w:pPr>
        <w:pStyle w:val="35"/>
        <w:numPr>
          <w:ilvl w:val="0"/>
          <w:numId w:val="31"/>
        </w:numPr>
        <w:tabs>
          <w:tab w:val="left" w:pos="0"/>
        </w:tabs>
        <w:snapToGrid w:val="0"/>
        <w:spacing w:before="120" w:after="120" w:line="440" w:lineRule="exact"/>
        <w:jc w:val="left"/>
        <w:outlineLvl w:val="1"/>
        <w:rPr>
          <w:rFonts w:hint="eastAsia" w:ascii="宋体" w:hAnsi="宋体"/>
          <w:color w:val="auto"/>
          <w:sz w:val="28"/>
          <w:szCs w:val="24"/>
          <w:highlight w:val="none"/>
        </w:rPr>
      </w:pPr>
      <w:r>
        <w:rPr>
          <w:rFonts w:hint="eastAsia" w:ascii="宋体" w:hAnsi="宋体"/>
          <w:color w:val="auto"/>
          <w:sz w:val="28"/>
          <w:szCs w:val="24"/>
          <w:highlight w:val="none"/>
        </w:rPr>
        <w:t>中选意向承诺书（用于分标段且规定中选人中选标段数量的项目）</w:t>
      </w:r>
    </w:p>
    <w:p>
      <w:pPr>
        <w:rPr>
          <w:rFonts w:hint="eastAsia" w:ascii="宋体" w:hAnsi="宋体" w:eastAsia="宋体" w:cs="宋体"/>
          <w:b/>
          <w:bCs w:val="0"/>
          <w:color w:val="auto"/>
          <w:kern w:val="0"/>
          <w:sz w:val="28"/>
          <w:szCs w:val="28"/>
          <w:highlight w:val="none"/>
        </w:rPr>
      </w:pPr>
    </w:p>
    <w:p>
      <w:pPr>
        <w:spacing w:before="120" w:beforeLines="50" w:line="360" w:lineRule="auto"/>
        <w:jc w:val="center"/>
        <w:rPr>
          <w:rFonts w:ascii="宋体" w:hAnsi="宋体"/>
          <w:b/>
          <w:sz w:val="28"/>
          <w:szCs w:val="21"/>
          <w:highlight w:val="none"/>
        </w:rPr>
      </w:pPr>
      <w:r>
        <w:rPr>
          <w:rFonts w:hint="eastAsia" w:ascii="宋体" w:hAnsi="宋体"/>
          <w:b/>
          <w:sz w:val="28"/>
          <w:szCs w:val="21"/>
          <w:highlight w:val="none"/>
        </w:rPr>
        <w:t>中选意向承诺书</w:t>
      </w:r>
    </w:p>
    <w:p>
      <w:pPr>
        <w:spacing w:before="120" w:beforeLines="50" w:line="360" w:lineRule="auto"/>
        <w:jc w:val="center"/>
        <w:rPr>
          <w:rFonts w:ascii="宋体" w:hAnsi="宋体"/>
          <w:szCs w:val="21"/>
          <w:highlight w:val="none"/>
        </w:rPr>
      </w:pPr>
    </w:p>
    <w:p>
      <w:pPr>
        <w:spacing w:line="360" w:lineRule="auto"/>
        <w:rPr>
          <w:rFonts w:ascii="宋体" w:hAnsi="宋体"/>
          <w:szCs w:val="21"/>
          <w:highlight w:val="none"/>
        </w:rPr>
      </w:pPr>
      <w:r>
        <w:rPr>
          <w:rFonts w:hint="eastAsia" w:ascii="宋体" w:hAnsi="宋体"/>
          <w:szCs w:val="21"/>
          <w:highlight w:val="none"/>
        </w:rPr>
        <w:t>致</w:t>
      </w:r>
      <w:r>
        <w:rPr>
          <w:rFonts w:hint="eastAsia" w:ascii="宋体" w:hAnsi="宋体"/>
          <w:szCs w:val="21"/>
          <w:highlight w:val="none"/>
          <w:u w:val="single"/>
        </w:rPr>
        <w:t>（比选人）</w:t>
      </w:r>
      <w:r>
        <w:rPr>
          <w:rFonts w:hint="eastAsia" w:ascii="宋体" w:hAnsi="宋体"/>
          <w:szCs w:val="21"/>
          <w:highlight w:val="none"/>
        </w:rPr>
        <w:t>：</w:t>
      </w:r>
    </w:p>
    <w:p>
      <w:pPr>
        <w:spacing w:line="360" w:lineRule="auto"/>
        <w:ind w:firstLine="420" w:firstLineChars="200"/>
        <w:rPr>
          <w:rFonts w:ascii="宋体" w:hAnsi="宋体"/>
          <w:szCs w:val="21"/>
          <w:highlight w:val="none"/>
        </w:rPr>
      </w:pPr>
      <w:r>
        <w:rPr>
          <w:rFonts w:hint="eastAsia" w:ascii="宋体" w:hAnsi="宋体"/>
          <w:szCs w:val="21"/>
          <w:highlight w:val="none"/>
        </w:rPr>
        <w:t>在贵公司组织的</w:t>
      </w:r>
      <w:r>
        <w:rPr>
          <w:rFonts w:hint="eastAsia" w:ascii="宋体" w:hAnsi="宋体"/>
          <w:szCs w:val="21"/>
          <w:highlight w:val="none"/>
          <w:u w:val="single"/>
        </w:rPr>
        <w:t xml:space="preserve">           项目</w:t>
      </w:r>
      <w:r>
        <w:rPr>
          <w:rFonts w:hint="eastAsia" w:ascii="宋体" w:hAnsi="宋体"/>
          <w:szCs w:val="21"/>
          <w:highlight w:val="none"/>
        </w:rPr>
        <w:t>比选中，我公司同时参与</w:t>
      </w:r>
      <w:r>
        <w:rPr>
          <w:rFonts w:hint="eastAsia" w:ascii="宋体" w:hAnsi="宋体"/>
          <w:szCs w:val="21"/>
          <w:highlight w:val="none"/>
          <w:u w:val="single"/>
        </w:rPr>
        <w:t xml:space="preserve"> </w:t>
      </w:r>
      <w:r>
        <w:rPr>
          <w:rFonts w:hint="eastAsia" w:ascii="宋体" w:hAnsi="宋体"/>
          <w:b/>
          <w:i/>
          <w:szCs w:val="21"/>
          <w:highlight w:val="none"/>
          <w:u w:val="single"/>
        </w:rPr>
        <w:t>(自行填写所参与的所有标段名称)</w:t>
      </w:r>
      <w:r>
        <w:rPr>
          <w:rFonts w:hint="eastAsia" w:ascii="宋体" w:hAnsi="宋体"/>
          <w:szCs w:val="21"/>
          <w:highlight w:val="none"/>
        </w:rPr>
        <w:t>的参选。我公司尊重、理解比选人对各条款的关注并信守比选人在比选文件对参选人违背合同条款的相应处理规定。我公司承诺：如在评选过程中出现我公司同时在多个标段中获得第一推荐中选候选人的权利，我公司愿意按照以下的排列优先顺序，选择</w:t>
      </w:r>
      <w:r>
        <w:rPr>
          <w:rFonts w:hint="eastAsia" w:ascii="宋体" w:hAnsi="宋体"/>
          <w:b/>
          <w:i/>
          <w:szCs w:val="21"/>
          <w:highlight w:val="none"/>
          <w:u w:val="single"/>
        </w:rPr>
        <w:t>（自行填写数量，数量不得大于比选文件规定的数量）</w:t>
      </w:r>
      <w:r>
        <w:rPr>
          <w:rFonts w:hint="eastAsia" w:ascii="宋体" w:hAnsi="宋体"/>
          <w:szCs w:val="21"/>
          <w:highlight w:val="none"/>
        </w:rPr>
        <w:t>个标段中选，放弃其余标段的中选机会。</w:t>
      </w:r>
    </w:p>
    <w:p>
      <w:pPr>
        <w:spacing w:line="360" w:lineRule="auto"/>
        <w:ind w:firstLine="422" w:firstLineChars="200"/>
        <w:rPr>
          <w:rFonts w:ascii="宋体" w:hAnsi="宋体"/>
          <w:b/>
          <w:szCs w:val="21"/>
          <w:highlight w:val="none"/>
        </w:rPr>
      </w:pPr>
      <w:r>
        <w:rPr>
          <w:rFonts w:hint="eastAsia" w:ascii="宋体" w:hAnsi="宋体"/>
          <w:b/>
          <w:szCs w:val="21"/>
          <w:highlight w:val="none"/>
        </w:rPr>
        <w:t>请列出所参加的全部标段的优选次序：</w:t>
      </w:r>
    </w:p>
    <w:p>
      <w:pPr>
        <w:numPr>
          <w:ilvl w:val="0"/>
          <w:numId w:val="33"/>
        </w:numPr>
        <w:spacing w:line="360" w:lineRule="auto"/>
        <w:rPr>
          <w:rFonts w:ascii="宋体" w:hAnsi="宋体"/>
          <w:szCs w:val="21"/>
          <w:highlight w:val="none"/>
        </w:rPr>
      </w:pPr>
      <w:r>
        <w:rPr>
          <w:rFonts w:hint="eastAsia" w:ascii="宋体" w:hAnsi="宋体"/>
          <w:szCs w:val="21"/>
          <w:highlight w:val="none"/>
        </w:rPr>
        <w:t>（比选项目标段名称）</w:t>
      </w:r>
    </w:p>
    <w:p>
      <w:pPr>
        <w:numPr>
          <w:ilvl w:val="0"/>
          <w:numId w:val="33"/>
        </w:numPr>
        <w:spacing w:line="360" w:lineRule="auto"/>
        <w:rPr>
          <w:rFonts w:ascii="宋体" w:hAnsi="宋体"/>
          <w:szCs w:val="21"/>
          <w:highlight w:val="none"/>
        </w:rPr>
      </w:pPr>
      <w:r>
        <w:rPr>
          <w:rFonts w:hint="eastAsia" w:ascii="宋体" w:hAnsi="宋体"/>
          <w:szCs w:val="21"/>
          <w:highlight w:val="none"/>
        </w:rPr>
        <w:t>（比选项目标段名称）</w:t>
      </w:r>
    </w:p>
    <w:p>
      <w:pPr>
        <w:numPr>
          <w:ilvl w:val="0"/>
          <w:numId w:val="33"/>
        </w:numPr>
        <w:spacing w:line="360" w:lineRule="auto"/>
        <w:rPr>
          <w:rFonts w:ascii="宋体" w:hAnsi="宋体"/>
          <w:szCs w:val="21"/>
          <w:highlight w:val="none"/>
        </w:rPr>
      </w:pPr>
      <w:r>
        <w:rPr>
          <w:rFonts w:hint="eastAsia" w:ascii="宋体" w:hAnsi="宋体"/>
          <w:szCs w:val="21"/>
          <w:highlight w:val="none"/>
        </w:rPr>
        <w:t>（比选项目标段名称）</w:t>
      </w:r>
    </w:p>
    <w:p>
      <w:pPr>
        <w:numPr>
          <w:ilvl w:val="0"/>
          <w:numId w:val="33"/>
        </w:numPr>
        <w:spacing w:line="360" w:lineRule="auto"/>
        <w:rPr>
          <w:rFonts w:ascii="宋体" w:hAnsi="宋体"/>
          <w:szCs w:val="21"/>
          <w:highlight w:val="none"/>
        </w:rPr>
      </w:pPr>
      <w:r>
        <w:rPr>
          <w:rFonts w:hint="eastAsia" w:ascii="宋体" w:hAnsi="宋体"/>
          <w:szCs w:val="21"/>
          <w:highlight w:val="none"/>
        </w:rPr>
        <w:t>。。。。。。。</w:t>
      </w:r>
    </w:p>
    <w:p>
      <w:pPr>
        <w:ind w:left="420" w:right="1205"/>
        <w:jc w:val="center"/>
        <w:rPr>
          <w:rFonts w:ascii="宋体" w:hAnsi="宋体"/>
          <w:bCs/>
          <w:szCs w:val="21"/>
          <w:highlight w:val="none"/>
        </w:rPr>
      </w:pPr>
      <w:r>
        <w:rPr>
          <w:rFonts w:hint="eastAsia" w:ascii="宋体" w:hAnsi="宋体"/>
          <w:b/>
          <w:szCs w:val="21"/>
          <w:highlight w:val="none"/>
        </w:rPr>
        <w:t xml:space="preserve">                                       参选人（盖章）：     </w:t>
      </w:r>
    </w:p>
    <w:p>
      <w:pPr>
        <w:jc w:val="right"/>
        <w:rPr>
          <w:rFonts w:ascii="宋体" w:hAnsi="宋体"/>
          <w:szCs w:val="21"/>
          <w:highlight w:val="none"/>
        </w:rPr>
      </w:pPr>
      <w:r>
        <w:rPr>
          <w:rFonts w:hint="eastAsia" w:ascii="宋体" w:hAnsi="宋体"/>
          <w:b/>
          <w:szCs w:val="21"/>
          <w:highlight w:val="none"/>
        </w:rPr>
        <w:t>年    月     日</w:t>
      </w:r>
    </w:p>
    <w:p>
      <w:pPr>
        <w:rPr>
          <w:rFonts w:hint="eastAsia" w:ascii="宋体" w:hAnsi="宋体" w:eastAsia="宋体" w:cs="宋体"/>
          <w:b/>
          <w:bCs w:val="0"/>
          <w:color w:val="auto"/>
          <w:kern w:val="0"/>
          <w:sz w:val="28"/>
          <w:szCs w:val="28"/>
          <w:highlight w:val="none"/>
        </w:rPr>
      </w:pPr>
      <w:r>
        <w:rPr>
          <w:rFonts w:hint="eastAsia" w:ascii="宋体" w:hAnsi="宋体" w:eastAsia="宋体" w:cs="宋体"/>
          <w:b/>
          <w:bCs w:val="0"/>
          <w:kern w:val="0"/>
          <w:sz w:val="28"/>
          <w:szCs w:val="28"/>
          <w:highlight w:val="none"/>
        </w:rPr>
        <w:br w:type="page"/>
      </w:r>
    </w:p>
    <w:p>
      <w:pPr>
        <w:pStyle w:val="44"/>
        <w:spacing w:before="240" w:after="120"/>
        <w:jc w:val="left"/>
        <w:rPr>
          <w:rFonts w:ascii="宋体" w:hAnsi="宋体" w:eastAsia="宋体" w:cs="宋体"/>
          <w:b/>
          <w:bCs w:val="0"/>
          <w:color w:val="auto"/>
          <w:kern w:val="0"/>
          <w:sz w:val="28"/>
          <w:szCs w:val="28"/>
          <w:highlight w:val="none"/>
        </w:rPr>
      </w:pPr>
      <w:bookmarkStart w:id="971" w:name="_Toc22556"/>
      <w:r>
        <w:rPr>
          <w:rFonts w:hint="eastAsia" w:ascii="宋体" w:hAnsi="宋体" w:eastAsia="宋体" w:cs="宋体"/>
          <w:b/>
          <w:bCs w:val="0"/>
          <w:color w:val="auto"/>
          <w:kern w:val="0"/>
          <w:sz w:val="28"/>
          <w:szCs w:val="28"/>
          <w:highlight w:val="none"/>
        </w:rPr>
        <w:t>第七章  其他</w:t>
      </w:r>
      <w:bookmarkEnd w:id="971"/>
    </w:p>
    <w:p>
      <w:pPr>
        <w:pStyle w:val="35"/>
        <w:snapToGrid w:val="0"/>
        <w:spacing w:before="0" w:after="0" w:line="360" w:lineRule="auto"/>
        <w:ind w:right="84" w:rightChars="40"/>
        <w:rPr>
          <w:rFonts w:asciiTheme="minorEastAsia" w:hAnsiTheme="minorEastAsia" w:eastAsiaTheme="minorEastAsia"/>
          <w:sz w:val="28"/>
          <w:szCs w:val="28"/>
          <w:highlight w:val="none"/>
        </w:rPr>
      </w:pPr>
      <w:bookmarkStart w:id="972" w:name="_Toc31619"/>
      <w:bookmarkStart w:id="973" w:name="_Toc12555"/>
      <w:bookmarkStart w:id="974" w:name="_Toc82534762"/>
      <w:bookmarkStart w:id="975" w:name="_Toc71068822"/>
      <w:r>
        <w:rPr>
          <w:rFonts w:hint="eastAsia" w:asciiTheme="minorEastAsia" w:hAnsiTheme="minorEastAsia" w:eastAsiaTheme="minorEastAsia"/>
          <w:sz w:val="28"/>
          <w:szCs w:val="28"/>
          <w:highlight w:val="none"/>
        </w:rPr>
        <w:t>中国电信供应商不良行为管理规则</w:t>
      </w:r>
      <w:bookmarkEnd w:id="972"/>
      <w:bookmarkEnd w:id="973"/>
      <w:bookmarkEnd w:id="974"/>
    </w:p>
    <w:p>
      <w:pPr>
        <w:snapToGrid w:val="0"/>
        <w:spacing w:line="360" w:lineRule="auto"/>
        <w:jc w:val="center"/>
        <w:rPr>
          <w:rFonts w:hint="eastAsia" w:asciiTheme="minorEastAsia" w:hAnsiTheme="minorEastAsia" w:eastAsiaTheme="minorEastAsia"/>
          <w:sz w:val="28"/>
          <w:szCs w:val="28"/>
          <w:highlight w:val="none"/>
          <w:lang w:eastAsia="zh-CN"/>
        </w:rPr>
      </w:pPr>
      <w:r>
        <w:rPr>
          <w:rFonts w:hint="eastAsia" w:asciiTheme="minorEastAsia" w:hAnsiTheme="minorEastAsia" w:eastAsiaTheme="minorEastAsia"/>
          <w:sz w:val="28"/>
          <w:szCs w:val="28"/>
          <w:highlight w:val="none"/>
        </w:rPr>
        <w:t>（版本号</w:t>
      </w:r>
      <w:r>
        <w:rPr>
          <w:sz w:val="28"/>
          <w:szCs w:val="28"/>
          <w:highlight w:val="none"/>
        </w:rPr>
        <w:t>V20220120</w:t>
      </w:r>
      <w:r>
        <w:rPr>
          <w:rFonts w:hint="eastAsia" w:asciiTheme="minorEastAsia" w:hAnsiTheme="minorEastAsia" w:eastAsiaTheme="minorEastAsia"/>
          <w:sz w:val="28"/>
          <w:szCs w:val="28"/>
          <w:highlight w:val="none"/>
        </w:rPr>
        <w:t>）</w:t>
      </w:r>
    </w:p>
    <w:p>
      <w:pPr>
        <w:wordWrap w:val="0"/>
        <w:snapToGrid w:val="0"/>
        <w:spacing w:line="360" w:lineRule="auto"/>
        <w:rPr>
          <w:rFonts w:asciiTheme="minorEastAsia" w:hAnsiTheme="minorEastAsia" w:eastAsiaTheme="minorEastAsia"/>
          <w:szCs w:val="21"/>
          <w:highlight w:val="none"/>
        </w:rPr>
      </w:pPr>
      <w:r>
        <w:rPr>
          <w:rFonts w:hint="eastAsia" w:asciiTheme="minorEastAsia" w:hAnsiTheme="minorEastAsia" w:eastAsiaTheme="minorEastAsia"/>
          <w:szCs w:val="21"/>
          <w:highlight w:val="none"/>
        </w:rPr>
        <w:t>[《中国电信供应商不良行为管理规则》不定期更新，在编制招标文件时，请务必登录中国电信供应链系统（CTSC）（https://caigou.chinatelecom.com.cn/ctsc-portal/ctscPortal）后在“通知-系统公告”</w:t>
      </w:r>
      <w:r>
        <w:rPr>
          <w:rFonts w:hint="eastAsia"/>
          <w:szCs w:val="21"/>
          <w:highlight w:val="none"/>
        </w:rPr>
        <w:t>模块</w:t>
      </w:r>
      <w:r>
        <w:rPr>
          <w:rFonts w:hint="eastAsia" w:asciiTheme="minorEastAsia" w:hAnsiTheme="minorEastAsia" w:eastAsiaTheme="minorEastAsia"/>
          <w:szCs w:val="21"/>
          <w:highlight w:val="none"/>
        </w:rPr>
        <w:t>查询并使用最新版本]</w:t>
      </w:r>
    </w:p>
    <w:p>
      <w:pPr>
        <w:rPr>
          <w:rFonts w:asciiTheme="minorEastAsia" w:hAnsiTheme="minorEastAsia" w:eastAsiaTheme="minorEastAsia"/>
          <w:highlight w:val="none"/>
        </w:rPr>
      </w:pPr>
    </w:p>
    <w:p>
      <w:pPr>
        <w:snapToGrid w:val="0"/>
        <w:spacing w:before="120" w:beforeLines="50" w:after="120" w:afterLines="50" w:line="360" w:lineRule="auto"/>
        <w:jc w:val="center"/>
        <w:rPr>
          <w:szCs w:val="21"/>
          <w:highlight w:val="none"/>
        </w:rPr>
      </w:pPr>
      <w:r>
        <w:rPr>
          <w:rFonts w:hint="eastAsia"/>
          <w:szCs w:val="21"/>
          <w:highlight w:val="none"/>
        </w:rPr>
        <w:t>第</w:t>
      </w:r>
      <w:r>
        <w:rPr>
          <w:szCs w:val="21"/>
          <w:highlight w:val="none"/>
        </w:rPr>
        <w:t>一章 总则</w:t>
      </w:r>
    </w:p>
    <w:p>
      <w:pPr>
        <w:pStyle w:val="78"/>
        <w:tabs>
          <w:tab w:val="left" w:pos="1800"/>
        </w:tabs>
        <w:adjustRightIn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第一条 为加强供应商管理，为中国电信汇聚优质供应资源，构建正向激励与负面惩戒相结合的供应商管理体系，遏制供应商违规失信等不良行为，淘汰劣质供应商，净化采购环境，鼓励供应商诚信经营，履行企业社会责任，根据国家相关法律法规并结合中国电信采购的具体情况，特制订本管理规则。</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第二条 本管理规则所称“供应商”，是指已经或有可能通过中国电信的采购活动为中国电信提供货物、服务或工程的法人或其他组织、自然人。合作开发类、合作经营类、代收费类的合作方，不属于本管理规则所指的供应商范围。</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第三条 供应商不良行为管理主要包括不良行为信息目录及相关基础管理、处理规则管理、不良行为认定及信息提报、处理结果确定、台账记录及信息发布、处理结果应用等工作。</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第四条 依照本管理规则进行的供应商不良行为管理，主要面向在完成不良行为认定并确定处理结果以后，在采购工作中对供应商进行处理的工作。</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针对在采购实施过程中发生、发现的供应商违法违规行为，按照法律法规、采购制度、采购文件进行及时处理，并按本管理规则进行不良行为认定及后续处理；针对在合同履行过程中发生、发现的供应商违约行为，按照本管理规则和合同约定处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依照本管理规则对供应商不良行为的处理不替代对合同项下供应商违约及其他法律责任的追究，合同另有约定的情况除外。</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如遇特殊情形，中国电信经分析研究、决策审批后，可对实际执行的处理措施做出相应调整。</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第五条 供应商不良行为管理遵循合法合规、“公开、公平、公正”以及严肃认真、维护采供双方合法权益、保障中国电信的生产供应、维护中国电信企业整体利益的原则。</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第六条 本管理规则适用于中国电信集团有限公司（以下简称电信集团公司）及其所属企业在中华人民共和国境内（不包括香港、澳门特别行政区及中国台湾地区）组织开展的供应商不良行为管理工作。</w:t>
      </w:r>
    </w:p>
    <w:p>
      <w:pPr>
        <w:snapToGrid w:val="0"/>
        <w:spacing w:before="120" w:beforeLines="50" w:after="120" w:afterLines="50" w:line="360" w:lineRule="auto"/>
        <w:jc w:val="center"/>
        <w:rPr>
          <w:szCs w:val="21"/>
          <w:highlight w:val="none"/>
        </w:rPr>
      </w:pPr>
      <w:r>
        <w:rPr>
          <w:rFonts w:hint="eastAsia"/>
          <w:szCs w:val="21"/>
          <w:highlight w:val="none"/>
        </w:rPr>
        <w:t>第二</w:t>
      </w:r>
      <w:r>
        <w:rPr>
          <w:szCs w:val="21"/>
          <w:highlight w:val="none"/>
        </w:rPr>
        <w:t xml:space="preserve">章 </w:t>
      </w:r>
      <w:r>
        <w:rPr>
          <w:rFonts w:hint="eastAsia"/>
          <w:szCs w:val="21"/>
          <w:highlight w:val="none"/>
        </w:rPr>
        <w:t>机构</w:t>
      </w:r>
      <w:r>
        <w:rPr>
          <w:szCs w:val="21"/>
          <w:highlight w:val="none"/>
        </w:rPr>
        <w:t>与职责</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第七条 中国电信机构或部门在供应商不良行为管理中的职责分工，由中国电信内部规定。</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第八条 中国电信纪检监察机构对信访反映或案件查办中发现的供应商不良行为定期（或不定期）向采购部门反馈，对供应商不良行为中涉及采购部门相关人员违规违纪违法的，依照有关规定，予以严肃查处。</w:t>
      </w:r>
    </w:p>
    <w:p>
      <w:pPr>
        <w:snapToGrid w:val="0"/>
        <w:spacing w:before="120" w:beforeLines="50" w:after="120" w:afterLines="50" w:line="360" w:lineRule="auto"/>
        <w:jc w:val="center"/>
        <w:rPr>
          <w:szCs w:val="21"/>
          <w:highlight w:val="none"/>
        </w:rPr>
      </w:pPr>
      <w:r>
        <w:rPr>
          <w:rFonts w:hint="eastAsia"/>
          <w:szCs w:val="21"/>
          <w:highlight w:val="none"/>
        </w:rPr>
        <w:t>第三章</w:t>
      </w:r>
      <w:r>
        <w:rPr>
          <w:szCs w:val="21"/>
          <w:highlight w:val="none"/>
        </w:rPr>
        <w:t xml:space="preserve"> 供应商不良行为</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第九条 本管理规则所称供应商不良行为是指供应商发生的列入中国电信供应商不良行为信息管理目录（见附表1）的行为或事件（以下统称为“不良行为”）。</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第十条 各类不良行为的基本事实性标准由中国电信供应商不良行为信息管理目录明确。原则上不良行为认定的信息、线索，来源于中国电信收悉的有关行政、司法、纪检监察等管理监督机构的通知、公告，及在中国电信企业内部相关工作中发现的情况。</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第十一条 电信集团公司可根据工作需要对供应商不良行为信息管理目录及分级情况进行补充、调整。</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hint="eastAsia" w:ascii="宋体" w:hAnsi="宋体"/>
          <w:szCs w:val="21"/>
          <w:highlight w:val="none"/>
        </w:rPr>
        <w:t>第四</w:t>
      </w:r>
      <w:r>
        <w:rPr>
          <w:rFonts w:ascii="宋体" w:hAnsi="宋体"/>
          <w:szCs w:val="21"/>
          <w:highlight w:val="none"/>
        </w:rPr>
        <w:t xml:space="preserve">章 </w:t>
      </w:r>
      <w:r>
        <w:rPr>
          <w:rFonts w:hint="eastAsia" w:ascii="宋体" w:hAnsi="宋体"/>
          <w:szCs w:val="21"/>
          <w:highlight w:val="none"/>
        </w:rPr>
        <w:t>处理</w:t>
      </w:r>
      <w:r>
        <w:rPr>
          <w:rFonts w:ascii="宋体" w:hAnsi="宋体"/>
          <w:szCs w:val="21"/>
          <w:highlight w:val="none"/>
        </w:rPr>
        <w:t>对象</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第十二条 处理对象是指由于供应商不良行为、按本管理规则被处理的供应商及产品品类。</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第十三条 处理对象分为两类：</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1.供应商及其所有产品品类；</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2.供应商及其部分产品品类。</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对法人供应商的处理结果适用于该供应商下属的各非法人分支机构，对非法人供应商的处理结果不向上追溯适用。产品分类口径以电信集团公司管理的评估产品目录为准，但电信集团公司有权对这一产品分类口径、管理方式等进行调整。</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第十四条 处理一般针对不良行为涉及的产品品类（以下统称“涉事产品品类”）。</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当根据不良行为性质需要对供应商整体处理时或者无法确定涉事产品品类时，处理针对所有产品品类。需要对供应商整体处理的不良行为主要包括：单位行贿罪、有行贿或提供不正当利益行为、合同诈骗罪、造成安全生产事故（特别重大事故）、被认定为失信被执行人、严重违法经营、“涉及围绕企业经商、靠企吃企、关联交易、违规经商办企业、内外勾结等违规违纪事项”等，具体以附表2为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第十五条 针对不良行为主体及涉事产品品类的认定，有以下规则：</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1.当同一项业务涉及联合体各方或原厂商及其代理商等多个有关联的主体时，将不良行为的主要责任方认定为发生不良行为的供应商，确实无法区分责任主次时，将各责任方均认定为发生不良行为的供应商。如果由供应商确定的分销商发生与分销产品直接相关的不良行为，则认定分销商和供应商均发生不良行为。</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2.当不良行为涉及的具体产品是与该供应商主要产品配合使用的配件、辅助材料或服务时，原则上认定相关主要产品品类为不良行为涉事产品品类。</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hint="eastAsia" w:ascii="宋体" w:hAnsi="宋体"/>
          <w:szCs w:val="21"/>
          <w:highlight w:val="none"/>
        </w:rPr>
        <w:t>第五</w:t>
      </w:r>
      <w:r>
        <w:rPr>
          <w:rFonts w:ascii="宋体" w:hAnsi="宋体"/>
          <w:szCs w:val="21"/>
          <w:highlight w:val="none"/>
        </w:rPr>
        <w:t>章 采购领域</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第十六条 将各产品品类划分到充足供应源市场和有限供应源两个采购领域。原则上根据两个领域的特点设置不同的处理规则。</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第十七条 采购领域划分实行电信集团公司和电信省公司两级管理。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1.针对集团级采购涉及的产品品类，由电信集团公司采购实施部门确定所属采购领域，由电信集团公司采购归口管理部门统一汇总发布划分结果。针对省内采购涉及的产品品类，由电信省公司采购实施部门确定所属采购领域，由电信省公司采购归口管理部门统一汇总发布划分结果。</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2.划分结果将在中国电信全集团范围发布、共享相关信息，并在中国电信阳光采购网进行对外公告（涉及国家秘密及其他另有规定的情况除外）。中国电信还可将划分结果信息以点对点站内信（通过中国电信阳光采购网向供应商在该网站上的账户发送）方式通知供应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3.原则上划分结果按年度发布，划分依据情况有重要变动、特殊情况的，以及有必要对划分结果补充或补正的，及时补充更正发布。发布次日开始生效（因技术原因导致在中国电信外部和内部发布时间不一致的，以及按本管理规则不对外公开发布的，发布时间以在中国电信内部发布时间为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4.未发布采购领域的产品，根据参与采购竞争的供应商数量进行确定，竞争方数量不超过5家的，确定为有限供应源市场，否则确定为充足供应源市场。</w:t>
      </w:r>
    </w:p>
    <w:p>
      <w:pPr>
        <w:snapToGrid w:val="0"/>
        <w:spacing w:before="120" w:beforeLines="50" w:after="120" w:afterLines="50" w:line="360" w:lineRule="auto"/>
        <w:jc w:val="center"/>
        <w:rPr>
          <w:szCs w:val="21"/>
          <w:highlight w:val="none"/>
        </w:rPr>
      </w:pPr>
      <w:r>
        <w:rPr>
          <w:rFonts w:hint="eastAsia"/>
          <w:szCs w:val="21"/>
          <w:highlight w:val="none"/>
        </w:rPr>
        <w:t>第六</w:t>
      </w:r>
      <w:r>
        <w:rPr>
          <w:szCs w:val="21"/>
          <w:highlight w:val="none"/>
        </w:rPr>
        <w:t xml:space="preserve">章 </w:t>
      </w:r>
      <w:r>
        <w:rPr>
          <w:rFonts w:hint="eastAsia"/>
          <w:szCs w:val="21"/>
          <w:highlight w:val="none"/>
        </w:rPr>
        <w:t>处理规则</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第十八条 中国电信有权对供应商发生的每一例不良行为采取处理措施、明确处理结果。</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第十九条 禁限期是处理结果有效时间范围。</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禁限期一般从处理结果发布之次日起算，不同的不良行为类目可设置不同长度的禁限期。部分不良行为结合其终止确认条件设置禁限期。</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法律法规和/或有关管理监督机构另有规定或要求的，以及其他另有规定的，时间有效性以相关规定、要求为准。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第二十条 处理结果的适用范围。</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根据不良行为的性质、涉及采购业务范围、影响程度等因素综合确定（详见附表2）。处理范围为“全集团”的，在中国电信全集团采购工作范围执行相应处理结果；处理范围为“本省公司”的，在本省采购工作范围执行相应处理结果。</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第二十一条 针对不良行为可采取的处理措施主要有以下类型：</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1.禁止采购：指取消处理对象禁限期内参与竞争性采购资格，其中竞争性采购包括招标、比选、询价、竞争性谈判等采购方式。</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2.限制采购：禁限期内处理对象参与竞争性采购时，扣减其采购评审的综合得分（当采用经评审的最低投标价法时，核增其评审价）。</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3.取消份额、调减份额、暂停执行份额：指取消、调减或暂停执行当期处理对象涉及的集中采购项目的未执行份额。此类处理措施为一次性执行措施，一般以禁限期开始日作为基准时间以确定当期的未执行份额情况。因暂停执行份额造成集中采购份额不能完全执行的，供应商的相关风险和损失由其自行承担。此类措施不适用于单一来源采购，也不影响已经签订的一事一议合同的执行。</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4.降级：下调处理对象的供应商分级。此类措施在每例行为处理结果确定后对当前分级结果执行一次调整，并可作为后续重新分级的依据。</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5.约谈：指由中国电信采购实施部门牵头组织约见相关供应商，通过当面沟通对其进行提醒、警示、督促改进等。</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hint="eastAsia" w:ascii="宋体" w:hAnsi="宋体"/>
          <w:szCs w:val="21"/>
          <w:highlight w:val="none"/>
        </w:rPr>
        <w:t>第二十二条 具体规则</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hint="eastAsia" w:ascii="宋体" w:hAnsi="宋体"/>
          <w:szCs w:val="21"/>
          <w:highlight w:val="none"/>
        </w:rPr>
        <w:t>各类不良行为所对应的具体处理规则明细，包括具体禁限期、处理措施（含限制采购措施的采购评审具体扣分值、调减份额措施的具体调减比例）等详见附表</w:t>
      </w:r>
      <w:r>
        <w:rPr>
          <w:rFonts w:ascii="宋体" w:hAnsi="宋体"/>
          <w:szCs w:val="21"/>
          <w:highlight w:val="none"/>
        </w:rPr>
        <w:t>2</w:t>
      </w:r>
      <w:r>
        <w:rPr>
          <w:rFonts w:hint="eastAsia" w:ascii="宋体" w:hAnsi="宋体"/>
          <w:szCs w:val="21"/>
          <w:highlight w:val="none"/>
        </w:rPr>
        <w:t>。</w:t>
      </w:r>
    </w:p>
    <w:p>
      <w:pPr>
        <w:snapToGrid w:val="0"/>
        <w:spacing w:before="120" w:beforeLines="50" w:after="120" w:afterLines="50" w:line="360" w:lineRule="auto"/>
        <w:jc w:val="center"/>
        <w:rPr>
          <w:szCs w:val="21"/>
          <w:highlight w:val="none"/>
        </w:rPr>
      </w:pPr>
      <w:r>
        <w:rPr>
          <w:rFonts w:hint="eastAsia"/>
          <w:szCs w:val="21"/>
          <w:highlight w:val="none"/>
        </w:rPr>
        <w:t>第七</w:t>
      </w:r>
      <w:r>
        <w:rPr>
          <w:szCs w:val="21"/>
          <w:highlight w:val="none"/>
        </w:rPr>
        <w:t xml:space="preserve">章 </w:t>
      </w:r>
      <w:r>
        <w:rPr>
          <w:rFonts w:hint="eastAsia"/>
          <w:szCs w:val="21"/>
          <w:highlight w:val="none"/>
        </w:rPr>
        <w:t>不良行为信息台账</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hint="eastAsia" w:ascii="宋体" w:hAnsi="宋体"/>
          <w:szCs w:val="21"/>
          <w:highlight w:val="none"/>
        </w:rPr>
        <w:t>第二十三条 建立供应商不良行为信息台账，实现对不良行为认定信息、处理结果信息以及其他相关信息的清单式管理。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第二十四条 实施不良行为信息台账分层管理。台账分为集团和省公司两个层级。涉及中国电信集团级采购业务以及其他需要在中国电信全集团范围处理供应商的不良行为，信息记入集团级台账，由电信集团公司统一负责记账，在全集团范围的采购工作中执行处理结果；其他不良行为，信息记入相关电信省级公司台账，由电信省级公司负责记账，在本省级公司范围的采购工作中执行处理结果。中国电信可将集团级和省级公司台账信息在中国电信全集团范围共享。</w:t>
      </w:r>
    </w:p>
    <w:p>
      <w:pPr>
        <w:snapToGrid w:val="0"/>
        <w:spacing w:before="120" w:beforeLines="50" w:after="120" w:afterLines="50" w:line="360" w:lineRule="auto"/>
        <w:jc w:val="center"/>
        <w:rPr>
          <w:szCs w:val="21"/>
          <w:highlight w:val="none"/>
        </w:rPr>
      </w:pPr>
      <w:r>
        <w:rPr>
          <w:rFonts w:hint="eastAsia"/>
          <w:szCs w:val="21"/>
          <w:highlight w:val="none"/>
        </w:rPr>
        <w:t>第八</w:t>
      </w:r>
      <w:r>
        <w:rPr>
          <w:szCs w:val="21"/>
          <w:highlight w:val="none"/>
        </w:rPr>
        <w:t xml:space="preserve">章 </w:t>
      </w:r>
      <w:r>
        <w:rPr>
          <w:rFonts w:hint="eastAsia"/>
          <w:szCs w:val="21"/>
          <w:highlight w:val="none"/>
        </w:rPr>
        <w:t>工作流程及相关规定</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第二十五条 不良行为管理的工作流程涉及不良行为认定及信息提报、处理结果确定、台账记录及信息发布、处理结果应用等环节。该工作流程独立于采购过程，不受具体项目采购进程的影响。</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第二十六条 认定结果信息中体现的发生不良行为的供应商或产品品类等信息不够准确或不够全面，但不影响准确全面确定处理对象的，中国电信采购归口管理部门可结合认定信息其他内容和所掌握的确凿证据进行调整、补充，准确全面确定处理对象。</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第二十七条 关于台账记录及信息发布环节的主要规定如下：</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1.完成台账记录的供应商不良行为认定及处理结果，将在中国电信全集团范围发布、共享相关信息。中国电信有权在中国电信阳光采购网对供应商不良行为处理结果进行对外公告。电信集团公司采购归口管理部门有权根据管理监督机构的要求或有关工作需要，在遵守国家和公司保密工作制度的前提下，与中国电信之外的单位共享供应商不良行为主要情况及处理结果信息。</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中国电信还可将处理结果信息以点对点站内信（通过中国电信阳光采购网向供应商在该网站上的账户发送）方式通知供应商。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2.如有中国电信认为不宜直接对中国电信外部公开相关信息等特殊情况的，中国电信有权视具体情况确定对外公告事宜，包括但不限于认定及处理结果不对中国电信外部公告或者遮盖供应商名称信息后公告。</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3.经发布的信息如有变化，以中国电信更新发布的为准。更新发布的信息自发布次日起生效（因技术原因导致在中国电信外部和内部发布时间不一致的，以及按本管理规则不对外公开发布的，发布时间以在中国电信内部发布时间为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第二十八条 关于处理结果应用的主要规定如下：</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1.处理结果应用的基本要求</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（1）处于有效状态的供应商不良行为处理结果，原则上自信息发布之次日开始应用，禁限期终止日期之次日停止应用（另有规定的除外）。</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2）中国电信在处理结果应用前进行条件符合性判断，保证被处理的供应商及产品品类以及应用场景所处于的采购业务范围（或采购工作范围）等具体情况与拟应用处理结果所指定的处理对象、处理范围等关键条件对应相符。</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i.参与采购的供应商为原厂商(指设备/产品制造商或软件著作权人、主要标的服务实际提供方等)委托的代理商时，原厂商或代理商中任何一方及其参加采购的产品（含服务）与不良行为处理结果中处理对象相符的，视为处理对象条件相符。</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ii.参与采购的供应商为联合体时，联合体各方中任何一方及其责任分工涉及的产品（含服务）与不良行为处理结果中处理对象相符的，视为处理对象条件相符。</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iii.参与采购的供应商单位不是独立法人的，供应商本身和其所属法人（若有）中任一个主体及供应商参加采购的产品（含服务）与不良行为处理结果中处理对象相符的，视为处理对象条件相符。</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（3）当存在多例有效且条件相符的不良行为处理结果时，应根据各例处理结果进行累计、合并，形成实际执行的处理措施并予以执行。</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2.在采购实施及份额管理工作中应用</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（1）中国电信采购文件中要求供应商承诺接受本管理规则的，供应商应承诺接受。</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采购评审中应用供应商不良行为处理结果时，所涉及的产品品类范围按照采购文件明确的主要评估产品品类。处理结果中产品品类代表所有产品品类的，视为符合所有采购评审的产品品类范围；处理结果中产品品类代表所有充分竞争领域的产品品类的，视为符合所有采购评审的充足供应源市场产品品类范围；处理结果中产品品类代表所有有限供应源市场的产品品类的，视为符合所有采购评审的有限供应源市场产品品类范围。</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2）供应商不良行为处理结果在中国电信采购实施及份额管理等相关工作中应用。禁止采购、限制采购、取消份额、调减份额、暂停份额措施不适用于单一来源采购；限制采购措施不在采购实施的资格审查中应用。</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3）不良行为处理结果在采购实施中应用的基准日期为采购应答截止日期，中国电信采购实施部门提取该基准日期的相关处理结果并在采购评审中应用。采购项目对该项基准日期有特殊要求的，以采购文件中明确的为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在采购合同签订前，中国电信有权针对候选或拟签约供应商的不良行为处理结果变化等情况进行确认（不考虑涉及采购领域划分结果可能的变化），如果有新增的相关禁止采购类处理结果，在不违反相关法律法规规定的前提下取消与相关供应商的合同签订。</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4）同一采购标包/标段下涉及多个评估产品品类的，如果供应商及其参与采购的部分或全部产品品类涉及相关禁止采购类的不良行为处理结果，按照该供应商不符合参与此标包/标段采购的资格条件处理；如果供应商及其参与采购的部分或全部产品品类涉及相关限制采购类的处理结果，采用综合评估法进行评审的，相关处理措施中的扣分以供应商在标包/标段的总得分为基础，采用经评审的最低投标价法进行评审的，调增评审价格以供应商在标包/标段的总评审价格为基础。</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采购项目未划分标包/标段的整个项目视同一个标包/标段。</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5）不良行为处理结果中涉及的取消、调减、暂停执行份额等措施，执行范围只针对供应商在已经承诺接受本管理规则的情况下签订的合同、协议。采取此类措施后，为保障供应，中国电信可根据法律法规以及中国电信内部的有关规定，调增其他供应商的份额。</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3.在供应商管理中应用</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中国电信有权将供应商不良行为处理结果在供应商管理工作中进行应用。在处理结果要求的应用之外，供应商不良行为认定及处理结果信息还可作为供应商管理的评价因素，并不受禁限期、处理范围等条件的影响。</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4.在付款管理中应用</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中国电信负责发起向供应商付款的部门，有权针对供应商不良行为的处理结果及相关更新，牵头组织研判付款风险，依据合同及法律法规予以应对，在必要情况下暂停支付以维护中国电信资金安全。</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5.特殊情况下的应用</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（1）中国电信认为采购实施工作遇到特殊情况且必须对实际执行的不良行为处理措施做出调整的，可以进行调整。调整涉及采购实施过程的，在相关采购文件中告知采购项目各参与方。</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2）联合采购场景下的应用。在中国电信与其他方联合采购的项目，针对专属于中国电信的标包、标段，除另有说明的情况之外，应按规则应用中国电信供应商不良行为管理结果；在中国电信与其他联合采购方共同涉及的标包、标段（含未划分标包、标段的采购项目），是否及如何应用中国电信和/或其他联合采购方的供应商不良行为处理结果，应由各联合采购方协商一致并在采购文件中明确。</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3）联合建设场景下的应用。如果供应商“在第三方发生不良行为”且处于被该第三方禁止采购/限制采购（或纳入黑名单等任何相当于禁止采购/限制采购的处理）的状态，则在中国电信与该第三方联合建设项目的范围内，中国电信有权在其认为可行的条件下，响应该第三方要求减少或避免采购、应用该供应商的产品，且不因此承担任何违约责任。</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4）废旧闲置物资处置项目中的应用。以招标、比选、竞争性谈判等各类竞争性采购形式进行的中国电信的废旧闲置物资处置项目，原则上应用不良行为处理结果。以拍卖方式进行的废旧闲置物资处置项目是否应用不良行为处理结果，在拍卖公告、拍卖规则等相关文件中明确。</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在废旧闲置物资处置项目中应用不良行为处理结果时，禁止采购的处理措施理解为取消相关供应商参与竞争的资格；限制采购的处理措施在以评分方法择优时理解为相应扣减评分，在以价格为标准择优时理解为相应核减价格（拍卖方式下不适用限制采购的处理措施）。</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6.参考性应用</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源自符合条件的第三方共享到电信集团公司并被接受的供应商不良行为信息（“在第三方发生不良行为”信息），通过信息台账提供中国电信全集团作参考性应用(另有规定的情况除外)。信息台账中共享发布的其他不良行为认定及处理结果信息，除中国电信相关单位需要按规定执行处理结果之外，中国电信各单位还可以作参考性应用。</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参考性应用时，中国电信相关单位可结合具体情况评估风险，在合法合规的前提下，依据采购文件规定、合同约定或商业惯例或其他合理依据，组织确定是否对本单位与相关供应商的采购交易和/或合同履行采取风险规避、风险减轻等应对措施。参考性应用不受禁限期和处理范围的限制。</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hint="eastAsia" w:ascii="宋体" w:hAnsi="宋体"/>
          <w:szCs w:val="21"/>
          <w:highlight w:val="none"/>
        </w:rPr>
        <w:t>第二十九条 在</w:t>
      </w:r>
      <w:r>
        <w:rPr>
          <w:rFonts w:ascii="宋体" w:hAnsi="宋体"/>
          <w:szCs w:val="21"/>
          <w:highlight w:val="none"/>
        </w:rPr>
        <w:t>中国电信供应商</w:t>
      </w:r>
      <w:r>
        <w:rPr>
          <w:rFonts w:hint="eastAsia" w:ascii="宋体" w:hAnsi="宋体"/>
          <w:szCs w:val="21"/>
          <w:highlight w:val="none"/>
        </w:rPr>
        <w:t>不良行为管理工作中，针对涉密或信息不宜公开的情况，</w:t>
      </w:r>
      <w:r>
        <w:rPr>
          <w:rFonts w:ascii="宋体" w:hAnsi="宋体"/>
          <w:szCs w:val="21"/>
          <w:highlight w:val="none"/>
        </w:rPr>
        <w:t>有如下规则</w:t>
      </w:r>
      <w:r>
        <w:rPr>
          <w:rFonts w:hint="eastAsia" w:ascii="宋体" w:hAnsi="宋体"/>
          <w:szCs w:val="21"/>
          <w:highlight w:val="none"/>
        </w:rPr>
        <w:t>：</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hint="eastAsia" w:ascii="宋体" w:hAnsi="宋体"/>
          <w:szCs w:val="21"/>
          <w:highlight w:val="none"/>
        </w:rPr>
        <w:t>1.中国</w:t>
      </w:r>
      <w:r>
        <w:rPr>
          <w:rFonts w:ascii="宋体" w:hAnsi="宋体"/>
          <w:szCs w:val="21"/>
          <w:highlight w:val="none"/>
        </w:rPr>
        <w:t>电信</w:t>
      </w:r>
      <w:r>
        <w:rPr>
          <w:rFonts w:hint="eastAsia" w:ascii="宋体" w:hAnsi="宋体"/>
          <w:szCs w:val="21"/>
          <w:highlight w:val="none"/>
        </w:rPr>
        <w:t>各单位发现供应商泄露国家秘密的行为，有权予以制止，并按保密规定向有关单位报告。</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hint="eastAsia" w:ascii="宋体" w:hAnsi="宋体"/>
          <w:szCs w:val="21"/>
          <w:highlight w:val="none"/>
        </w:rPr>
        <w:t>2.不良行为提报信息、线索信息等信息涉及国家秘密的，中国</w:t>
      </w:r>
      <w:r>
        <w:rPr>
          <w:rFonts w:ascii="宋体" w:hAnsi="宋体"/>
          <w:szCs w:val="21"/>
          <w:highlight w:val="none"/>
        </w:rPr>
        <w:t>电信</w:t>
      </w:r>
      <w:r>
        <w:rPr>
          <w:rFonts w:hint="eastAsia" w:ascii="宋体" w:hAnsi="宋体"/>
          <w:szCs w:val="21"/>
          <w:highlight w:val="none"/>
        </w:rPr>
        <w:t>有关</w:t>
      </w:r>
      <w:r>
        <w:rPr>
          <w:rFonts w:ascii="宋体" w:hAnsi="宋体"/>
          <w:szCs w:val="21"/>
          <w:highlight w:val="none"/>
        </w:rPr>
        <w:t>单位</w:t>
      </w:r>
      <w:r>
        <w:rPr>
          <w:rFonts w:hint="eastAsia" w:ascii="宋体" w:hAnsi="宋体"/>
          <w:szCs w:val="21"/>
          <w:highlight w:val="none"/>
        </w:rPr>
        <w:t>按照保密工作的制度、要求进行处理，相关处理结果以利于保密的方式和范围提供特定采购实施单位应用。</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hint="eastAsia" w:ascii="宋体" w:hAnsi="宋体"/>
          <w:szCs w:val="21"/>
          <w:highlight w:val="none"/>
        </w:rPr>
        <w:t>3.针对“在第三方发生不良行为”的情况，共享输入信息的第三方对中国电信有相关保密要求或共享范围限制的，或存在其他特殊情况不适宜公开共享相关信息的，中国电信</w:t>
      </w:r>
      <w:r>
        <w:rPr>
          <w:rFonts w:ascii="宋体" w:hAnsi="宋体"/>
          <w:szCs w:val="21"/>
          <w:highlight w:val="none"/>
        </w:rPr>
        <w:t>有权</w:t>
      </w:r>
      <w:r>
        <w:rPr>
          <w:rFonts w:hint="eastAsia" w:ascii="宋体" w:hAnsi="宋体"/>
          <w:szCs w:val="21"/>
          <w:highlight w:val="none"/>
        </w:rPr>
        <w:t>针对具体情况采取加密、脱密、</w:t>
      </w:r>
      <w:r>
        <w:rPr>
          <w:rFonts w:ascii="宋体" w:hAnsi="宋体"/>
          <w:szCs w:val="21"/>
          <w:highlight w:val="none"/>
        </w:rPr>
        <w:t>改变</w:t>
      </w:r>
      <w:r>
        <w:rPr>
          <w:rFonts w:hint="eastAsia" w:ascii="宋体" w:hAnsi="宋体"/>
          <w:szCs w:val="21"/>
          <w:highlight w:val="none"/>
        </w:rPr>
        <w:t>台账</w:t>
      </w:r>
      <w:r>
        <w:rPr>
          <w:rFonts w:ascii="宋体" w:hAnsi="宋体"/>
          <w:szCs w:val="21"/>
          <w:highlight w:val="none"/>
        </w:rPr>
        <w:t>记录及信息发布方式</w:t>
      </w:r>
      <w:r>
        <w:rPr>
          <w:rFonts w:hint="eastAsia" w:ascii="宋体" w:hAnsi="宋体"/>
          <w:szCs w:val="21"/>
          <w:highlight w:val="none"/>
        </w:rPr>
        <w:t>、减小信息</w:t>
      </w:r>
      <w:r>
        <w:rPr>
          <w:rFonts w:ascii="宋体" w:hAnsi="宋体"/>
          <w:szCs w:val="21"/>
          <w:highlight w:val="none"/>
        </w:rPr>
        <w:t>发布</w:t>
      </w:r>
      <w:r>
        <w:rPr>
          <w:rFonts w:hint="eastAsia" w:ascii="宋体" w:hAnsi="宋体"/>
          <w:szCs w:val="21"/>
          <w:highlight w:val="none"/>
        </w:rPr>
        <w:t>范围、或</w:t>
      </w:r>
      <w:r>
        <w:rPr>
          <w:rFonts w:ascii="宋体" w:hAnsi="宋体"/>
          <w:szCs w:val="21"/>
          <w:highlight w:val="none"/>
        </w:rPr>
        <w:t>免于</w:t>
      </w:r>
      <w:r>
        <w:rPr>
          <w:rFonts w:hint="eastAsia" w:ascii="宋体" w:hAnsi="宋体"/>
          <w:szCs w:val="21"/>
          <w:highlight w:val="none"/>
        </w:rPr>
        <w:t>向中国</w:t>
      </w:r>
      <w:r>
        <w:rPr>
          <w:rFonts w:ascii="宋体" w:hAnsi="宋体"/>
          <w:szCs w:val="21"/>
          <w:highlight w:val="none"/>
        </w:rPr>
        <w:t>电信</w:t>
      </w:r>
      <w:r>
        <w:rPr>
          <w:rFonts w:hint="eastAsia" w:ascii="宋体" w:hAnsi="宋体"/>
          <w:szCs w:val="21"/>
          <w:highlight w:val="none"/>
        </w:rPr>
        <w:t>外部发</w:t>
      </w:r>
      <w:r>
        <w:rPr>
          <w:rFonts w:ascii="宋体" w:hAnsi="宋体"/>
          <w:szCs w:val="21"/>
          <w:highlight w:val="none"/>
        </w:rPr>
        <w:t>布信息</w:t>
      </w:r>
      <w:r>
        <w:rPr>
          <w:rFonts w:hint="eastAsia" w:ascii="宋体" w:hAnsi="宋体"/>
          <w:szCs w:val="21"/>
          <w:highlight w:val="none"/>
        </w:rPr>
        <w:t>等措施，必要时可不作认定，或不编制、不发布处理结果。</w:t>
      </w:r>
    </w:p>
    <w:p>
      <w:pPr>
        <w:snapToGrid w:val="0"/>
        <w:spacing w:before="120" w:beforeLines="50" w:after="120" w:afterLines="50" w:line="360" w:lineRule="auto"/>
        <w:jc w:val="center"/>
        <w:rPr>
          <w:szCs w:val="21"/>
          <w:highlight w:val="none"/>
        </w:rPr>
      </w:pPr>
      <w:r>
        <w:rPr>
          <w:rFonts w:hint="eastAsia"/>
          <w:szCs w:val="21"/>
          <w:highlight w:val="none"/>
        </w:rPr>
        <w:t>第九章</w:t>
      </w:r>
      <w:r>
        <w:rPr>
          <w:szCs w:val="21"/>
          <w:highlight w:val="none"/>
        </w:rPr>
        <w:t xml:space="preserve"> 附则</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第三十条 本管理规则于2020年6月2日起实施。自该日期起认定的供应商不良行为，按照本管理规则进行管理。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第三十一条 如果中国电信对本管理规则进行更新，涉及的新旧版本规则适用等事宜，按如下规则执行：</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1.更新后按新规则认定不良行为和确定、发布不良行为处理结果，更新前的已确定的处理结果原则上不因规则更新而变更。</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2.处理结果在份额管理应用（执行取消/调减/暂停执行份额措施）时，以新版本规则为准，除非相关采购合同中已经明确约定了该合同适用不良行为管理规则的固定版本。</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针对除此之外的其他处理结果应用（包括但不限于采购实施过程应用、供应商管理应用等），处理结果的主要内容（禁限期、处理范围、处理措施）原则上以既有处理结果的表述为准；关于处理结果解释、应用的程序、应用方法等其他方面的规则、规定、说明，原则上以应用时的最新规则为准（采购评审中以采购文件所引用的管理规则版本为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第三十二条 如发生与法律法规或相关行政、司法、纪检监察等管理监督机构的相关规定或要求不一致的情况，以法律法规及相关管理监督机构的规定、要求为准。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第三十三条 中国电信保留在相关技术及管理条件不具备或不完全具备的情况下，在一定范围分批分步骤实施、暂缓实施或部分实施本管理规则（例如：在中国电信不具备集中MSS管理支撑系统、供应商不良行为管理模块支撑条件的单位参照施行或暂缓施行）的权利。中国电信行使上述权利，以及因受到法律法规和/或有关管理监督机构要求的约束或限制而未能全面实施本管理规则，和因此导致的未能按照本管理规则及已发布的处理结果进行不良行为管理、处理的情况，不视为中国电信违约。</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第三十四条 参加中国电信与其他采购方联合实施的采购活动（联合采购）或中国电信废旧闲置物资处置活动的法人、其他组织或自然人，视同为中国电信供应商纳入本管理规则管理。</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第三十五条 本管理规则由中国电信集团有限公司采购归口管理部门负责解释。</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附表：</w:t>
      </w:r>
    </w:p>
    <w:p>
      <w:pPr>
        <w:pStyle w:val="78"/>
        <w:tabs>
          <w:tab w:val="left" w:pos="1800"/>
        </w:tabs>
        <w:adjustRightInd w:val="0"/>
        <w:snapToGrid w:val="0"/>
        <w:spacing w:line="360" w:lineRule="auto"/>
        <w:ind w:right="84" w:rightChars="40" w:firstLine="411" w:firstLineChars="196"/>
        <w:textAlignment w:val="baseline"/>
        <w:rPr>
          <w:rFonts w:ascii="宋体" w:hAnsi="宋体"/>
          <w:szCs w:val="21"/>
          <w:highlight w:val="none"/>
        </w:rPr>
      </w:pPr>
      <w:r>
        <w:rPr>
          <w:rFonts w:ascii="宋体" w:hAnsi="宋体"/>
          <w:szCs w:val="21"/>
          <w:highlight w:val="none"/>
        </w:rPr>
        <w:t>1.中国电信供应商不良行为信息管理目录</w:t>
      </w:r>
    </w:p>
    <w:p>
      <w:pPr>
        <w:pStyle w:val="78"/>
        <w:tabs>
          <w:tab w:val="left" w:pos="1800"/>
        </w:tabs>
        <w:adjustRightInd w:val="0"/>
        <w:snapToGrid w:val="0"/>
        <w:spacing w:line="360" w:lineRule="auto"/>
        <w:ind w:right="84" w:rightChars="40" w:firstLine="411" w:firstLineChars="196"/>
        <w:textAlignment w:val="baseline"/>
        <w:rPr>
          <w:rFonts w:asciiTheme="minorEastAsia" w:hAnsiTheme="minorEastAsia" w:eastAsiaTheme="minorEastAsia"/>
          <w:sz w:val="28"/>
          <w:szCs w:val="28"/>
          <w:highlight w:val="none"/>
        </w:rPr>
      </w:pPr>
      <w:r>
        <w:rPr>
          <w:rFonts w:ascii="宋体" w:hAnsi="宋体"/>
          <w:szCs w:val="21"/>
          <w:highlight w:val="none"/>
        </w:rPr>
        <w:t>2.中国电信供应商不良行为处理规则明细</w:t>
      </w:r>
    </w:p>
    <w:p>
      <w:pPr>
        <w:pStyle w:val="35"/>
        <w:snapToGrid w:val="0"/>
        <w:spacing w:before="0" w:after="0" w:line="360" w:lineRule="auto"/>
        <w:ind w:right="84" w:rightChars="40"/>
        <w:rPr>
          <w:rFonts w:asciiTheme="minorEastAsia" w:hAnsiTheme="minorEastAsia" w:eastAsiaTheme="minorEastAsia"/>
          <w:sz w:val="28"/>
          <w:szCs w:val="28"/>
          <w:highlight w:val="none"/>
        </w:rPr>
        <w:sectPr>
          <w:pgSz w:w="11906" w:h="16838"/>
          <w:pgMar w:top="1400" w:right="1680" w:bottom="1120" w:left="1700" w:header="0" w:footer="921" w:gutter="0"/>
          <w:cols w:space="720" w:num="1"/>
          <w:docGrid w:linePitch="299" w:charSpace="0"/>
        </w:sectPr>
      </w:pPr>
    </w:p>
    <w:p>
      <w:pPr>
        <w:pStyle w:val="78"/>
        <w:tabs>
          <w:tab w:val="left" w:pos="1800"/>
        </w:tabs>
        <w:adjustRightInd w:val="0"/>
        <w:snapToGrid w:val="0"/>
        <w:spacing w:line="360" w:lineRule="auto"/>
        <w:ind w:right="84" w:rightChars="40" w:firstLine="0" w:firstLineChars="0"/>
        <w:textAlignment w:val="baseline"/>
        <w:rPr>
          <w:rFonts w:ascii="宋体" w:hAnsi="宋体"/>
          <w:b/>
          <w:szCs w:val="21"/>
          <w:highlight w:val="none"/>
        </w:rPr>
      </w:pPr>
      <w:r>
        <w:rPr>
          <w:rFonts w:ascii="宋体" w:hAnsi="宋体"/>
          <w:b/>
          <w:szCs w:val="21"/>
          <w:highlight w:val="none"/>
        </w:rPr>
        <w:t>附表</w:t>
      </w:r>
      <w:r>
        <w:rPr>
          <w:rFonts w:hint="eastAsia" w:ascii="宋体" w:hAnsi="宋体"/>
          <w:b/>
          <w:szCs w:val="21"/>
          <w:highlight w:val="none"/>
        </w:rPr>
        <w:t>1</w:t>
      </w:r>
    </w:p>
    <w:p>
      <w:pPr>
        <w:pStyle w:val="35"/>
        <w:snapToGrid w:val="0"/>
        <w:spacing w:before="0" w:after="0" w:line="360" w:lineRule="auto"/>
        <w:ind w:right="84" w:rightChars="40"/>
        <w:rPr>
          <w:rFonts w:asciiTheme="minorEastAsia" w:hAnsiTheme="minorEastAsia" w:eastAsiaTheme="minorEastAsia"/>
          <w:sz w:val="28"/>
          <w:szCs w:val="28"/>
          <w:highlight w:val="none"/>
        </w:rPr>
      </w:pPr>
      <w:bookmarkStart w:id="976" w:name="_Toc30876"/>
      <w:bookmarkStart w:id="977" w:name="_Toc2697"/>
      <w:r>
        <w:rPr>
          <w:rFonts w:asciiTheme="minorEastAsia" w:hAnsiTheme="minorEastAsia" w:eastAsiaTheme="minorEastAsia"/>
          <w:sz w:val="28"/>
          <w:szCs w:val="28"/>
          <w:highlight w:val="none"/>
        </w:rPr>
        <w:t>中国电信供应商不良行为信息管理目录</w:t>
      </w:r>
      <w:bookmarkEnd w:id="975"/>
      <w:bookmarkEnd w:id="976"/>
      <w:bookmarkEnd w:id="977"/>
    </w:p>
    <w:tbl>
      <w:tblPr>
        <w:tblStyle w:val="37"/>
        <w:tblW w:w="15182" w:type="dxa"/>
        <w:jc w:val="center"/>
        <w:tblLayout w:type="autofit"/>
        <w:tblCellMar>
          <w:top w:w="0" w:type="dxa"/>
          <w:left w:w="108" w:type="dxa"/>
          <w:bottom w:w="0" w:type="dxa"/>
          <w:right w:w="108" w:type="dxa"/>
        </w:tblCellMar>
      </w:tblPr>
      <w:tblGrid>
        <w:gridCol w:w="640"/>
        <w:gridCol w:w="1927"/>
        <w:gridCol w:w="6095"/>
        <w:gridCol w:w="1559"/>
        <w:gridCol w:w="1125"/>
        <w:gridCol w:w="1143"/>
        <w:gridCol w:w="993"/>
        <w:gridCol w:w="850"/>
        <w:gridCol w:w="850"/>
      </w:tblGrid>
      <w:tr>
        <w:tblPrEx>
          <w:tblCellMar>
            <w:top w:w="0" w:type="dxa"/>
            <w:left w:w="108" w:type="dxa"/>
            <w:bottom w:w="0" w:type="dxa"/>
            <w:right w:w="108" w:type="dxa"/>
          </w:tblCellMar>
        </w:tblPrEx>
        <w:trPr>
          <w:trHeight w:val="20" w:hRule="atLeast"/>
          <w:tblHeader/>
          <w:jc w:val="center"/>
        </w:trPr>
        <w:tc>
          <w:tcPr>
            <w:tcW w:w="6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
                <w:bCs/>
                <w:highlight w:val="none"/>
              </w:rPr>
            </w:pPr>
            <w:r>
              <w:rPr>
                <w:rFonts w:hint="eastAsia"/>
                <w:b/>
                <w:bCs/>
                <w:highlight w:val="none"/>
              </w:rPr>
              <w:t>序号</w:t>
            </w:r>
          </w:p>
        </w:tc>
        <w:tc>
          <w:tcPr>
            <w:tcW w:w="192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
                <w:bCs/>
                <w:highlight w:val="none"/>
              </w:rPr>
            </w:pPr>
            <w:r>
              <w:rPr>
                <w:rFonts w:hint="eastAsia"/>
                <w:b/>
                <w:bCs/>
                <w:highlight w:val="none"/>
              </w:rPr>
              <w:t>行为类目</w:t>
            </w:r>
          </w:p>
        </w:tc>
        <w:tc>
          <w:tcPr>
            <w:tcW w:w="609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
                <w:bCs/>
                <w:highlight w:val="none"/>
              </w:rPr>
            </w:pPr>
            <w:r>
              <w:rPr>
                <w:rFonts w:hint="eastAsia"/>
                <w:b/>
                <w:bCs/>
                <w:highlight w:val="none"/>
              </w:rPr>
              <w:t>行为描述及认定标准</w:t>
            </w:r>
          </w:p>
        </w:tc>
        <w:tc>
          <w:tcPr>
            <w:tcW w:w="1559"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
                <w:bCs/>
                <w:highlight w:val="none"/>
              </w:rPr>
            </w:pPr>
            <w:r>
              <w:rPr>
                <w:rFonts w:hint="eastAsia"/>
                <w:b/>
                <w:bCs/>
                <w:highlight w:val="none"/>
              </w:rPr>
              <w:t>认定部门/信息提报部门</w:t>
            </w:r>
          </w:p>
        </w:tc>
        <w:tc>
          <w:tcPr>
            <w:tcW w:w="112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
                <w:bCs/>
                <w:highlight w:val="none"/>
              </w:rPr>
            </w:pPr>
            <w:r>
              <w:rPr>
                <w:rFonts w:hint="eastAsia"/>
                <w:b/>
                <w:bCs/>
                <w:highlight w:val="none"/>
              </w:rPr>
              <w:t>信息来源</w:t>
            </w:r>
          </w:p>
        </w:tc>
        <w:tc>
          <w:tcPr>
            <w:tcW w:w="114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
                <w:bCs/>
                <w:highlight w:val="none"/>
              </w:rPr>
            </w:pPr>
            <w:r>
              <w:rPr>
                <w:rFonts w:hint="eastAsia"/>
                <w:b/>
                <w:bCs/>
                <w:highlight w:val="none"/>
              </w:rPr>
              <w:t>行为子目</w:t>
            </w:r>
          </w:p>
        </w:tc>
        <w:tc>
          <w:tcPr>
            <w:tcW w:w="99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
                <w:bCs/>
                <w:highlight w:val="none"/>
              </w:rPr>
            </w:pPr>
            <w:r>
              <w:rPr>
                <w:rFonts w:hint="eastAsia"/>
                <w:b/>
                <w:bCs/>
                <w:highlight w:val="none"/>
              </w:rPr>
              <w:t>行为分级</w:t>
            </w:r>
          </w:p>
        </w:tc>
        <w:tc>
          <w:tcPr>
            <w:tcW w:w="1700"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b/>
                <w:bCs/>
                <w:highlight w:val="none"/>
              </w:rPr>
            </w:pPr>
            <w:r>
              <w:rPr>
                <w:rFonts w:hint="eastAsia"/>
                <w:b/>
                <w:bCs/>
                <w:highlight w:val="none"/>
              </w:rPr>
              <w:t>处理范围</w:t>
            </w:r>
          </w:p>
        </w:tc>
      </w:tr>
      <w:tr>
        <w:tblPrEx>
          <w:tblCellMar>
            <w:top w:w="0" w:type="dxa"/>
            <w:left w:w="108" w:type="dxa"/>
            <w:bottom w:w="0" w:type="dxa"/>
            <w:right w:w="108" w:type="dxa"/>
          </w:tblCellMar>
        </w:tblPrEx>
        <w:trPr>
          <w:trHeight w:val="20" w:hRule="atLeast"/>
          <w:tblHeader/>
          <w:jc w:val="center"/>
        </w:trPr>
        <w:tc>
          <w:tcPr>
            <w:tcW w:w="640" w:type="dxa"/>
            <w:vMerge w:val="continue"/>
            <w:tcBorders>
              <w:top w:val="single" w:color="auto" w:sz="4" w:space="0"/>
              <w:left w:val="single" w:color="auto" w:sz="4" w:space="0"/>
              <w:bottom w:val="single" w:color="auto" w:sz="4" w:space="0"/>
              <w:right w:val="single" w:color="auto" w:sz="4" w:space="0"/>
            </w:tcBorders>
            <w:vAlign w:val="center"/>
          </w:tcPr>
          <w:p>
            <w:pPr>
              <w:widowControl/>
              <w:rPr>
                <w:b/>
                <w:bCs/>
                <w:highlight w:val="none"/>
              </w:rPr>
            </w:pPr>
          </w:p>
        </w:tc>
        <w:tc>
          <w:tcPr>
            <w:tcW w:w="1927" w:type="dxa"/>
            <w:vMerge w:val="continue"/>
            <w:tcBorders>
              <w:top w:val="single" w:color="auto" w:sz="4" w:space="0"/>
              <w:left w:val="single" w:color="auto" w:sz="4" w:space="0"/>
              <w:bottom w:val="single" w:color="auto" w:sz="4" w:space="0"/>
              <w:right w:val="single" w:color="auto" w:sz="4" w:space="0"/>
            </w:tcBorders>
            <w:vAlign w:val="center"/>
          </w:tcPr>
          <w:p>
            <w:pPr>
              <w:widowControl/>
              <w:rPr>
                <w:b/>
                <w:bCs/>
                <w:highlight w:val="none"/>
              </w:rPr>
            </w:pPr>
          </w:p>
        </w:tc>
        <w:tc>
          <w:tcPr>
            <w:tcW w:w="6095" w:type="dxa"/>
            <w:vMerge w:val="continue"/>
            <w:tcBorders>
              <w:top w:val="single" w:color="auto" w:sz="4" w:space="0"/>
              <w:left w:val="single" w:color="auto" w:sz="4" w:space="0"/>
              <w:bottom w:val="single" w:color="auto" w:sz="4" w:space="0"/>
              <w:right w:val="single" w:color="auto" w:sz="4" w:space="0"/>
            </w:tcBorders>
            <w:vAlign w:val="center"/>
          </w:tcPr>
          <w:p>
            <w:pPr>
              <w:widowControl/>
              <w:rPr>
                <w:b/>
                <w:bCs/>
                <w:highlight w:val="none"/>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pPr>
              <w:widowControl/>
              <w:rPr>
                <w:b/>
                <w:bCs/>
                <w:highlight w:val="none"/>
              </w:rPr>
            </w:pPr>
          </w:p>
        </w:tc>
        <w:tc>
          <w:tcPr>
            <w:tcW w:w="1125" w:type="dxa"/>
            <w:vMerge w:val="continue"/>
            <w:tcBorders>
              <w:top w:val="single" w:color="auto" w:sz="4" w:space="0"/>
              <w:left w:val="single" w:color="auto" w:sz="4" w:space="0"/>
              <w:bottom w:val="single" w:color="auto" w:sz="4" w:space="0"/>
              <w:right w:val="single" w:color="auto" w:sz="4" w:space="0"/>
            </w:tcBorders>
            <w:vAlign w:val="center"/>
          </w:tcPr>
          <w:p>
            <w:pPr>
              <w:widowControl/>
              <w:rPr>
                <w:b/>
                <w:bCs/>
                <w:highlight w:val="none"/>
              </w:rPr>
            </w:pPr>
          </w:p>
        </w:tc>
        <w:tc>
          <w:tcPr>
            <w:tcW w:w="1143" w:type="dxa"/>
            <w:vMerge w:val="continue"/>
            <w:tcBorders>
              <w:top w:val="single" w:color="auto" w:sz="4" w:space="0"/>
              <w:left w:val="single" w:color="auto" w:sz="4" w:space="0"/>
              <w:bottom w:val="single" w:color="auto" w:sz="4" w:space="0"/>
              <w:right w:val="single" w:color="auto" w:sz="4" w:space="0"/>
            </w:tcBorders>
            <w:vAlign w:val="center"/>
          </w:tcPr>
          <w:p>
            <w:pPr>
              <w:widowControl/>
              <w:rPr>
                <w:b/>
                <w:bCs/>
                <w:highlight w:val="none"/>
              </w:rPr>
            </w:pPr>
          </w:p>
        </w:tc>
        <w:tc>
          <w:tcPr>
            <w:tcW w:w="993" w:type="dxa"/>
            <w:vMerge w:val="continue"/>
            <w:tcBorders>
              <w:top w:val="single" w:color="auto" w:sz="4" w:space="0"/>
              <w:left w:val="single" w:color="auto" w:sz="4" w:space="0"/>
              <w:bottom w:val="single" w:color="auto" w:sz="4" w:space="0"/>
              <w:right w:val="single" w:color="auto" w:sz="4" w:space="0"/>
            </w:tcBorders>
            <w:vAlign w:val="center"/>
          </w:tcPr>
          <w:p>
            <w:pPr>
              <w:widowControl/>
              <w:rPr>
                <w:b/>
                <w:bCs/>
                <w:highlight w:val="none"/>
              </w:rPr>
            </w:pPr>
          </w:p>
        </w:tc>
        <w:tc>
          <w:tcPr>
            <w:tcW w:w="850" w:type="dxa"/>
            <w:tcBorders>
              <w:top w:val="nil"/>
              <w:left w:val="nil"/>
              <w:bottom w:val="single" w:color="auto" w:sz="4" w:space="0"/>
              <w:right w:val="single" w:color="auto" w:sz="4" w:space="0"/>
            </w:tcBorders>
            <w:shd w:val="clear" w:color="auto" w:fill="auto"/>
            <w:vAlign w:val="center"/>
          </w:tcPr>
          <w:p>
            <w:pPr>
              <w:widowControl/>
              <w:jc w:val="center"/>
              <w:rPr>
                <w:b/>
                <w:bCs/>
                <w:highlight w:val="none"/>
              </w:rPr>
            </w:pPr>
            <w:r>
              <w:rPr>
                <w:rFonts w:hint="eastAsia"/>
                <w:b/>
                <w:bCs/>
                <w:highlight w:val="none"/>
              </w:rPr>
              <w:t>全集团</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b/>
                <w:bCs/>
                <w:highlight w:val="none"/>
              </w:rPr>
            </w:pPr>
            <w:r>
              <w:rPr>
                <w:rFonts w:hint="eastAsia"/>
                <w:b/>
                <w:bCs/>
                <w:highlight w:val="none"/>
              </w:rPr>
              <w:t>本省公司</w:t>
            </w:r>
          </w:p>
        </w:tc>
      </w:tr>
      <w:tr>
        <w:tblPrEx>
          <w:tblCellMar>
            <w:top w:w="0" w:type="dxa"/>
            <w:left w:w="108" w:type="dxa"/>
            <w:bottom w:w="0" w:type="dxa"/>
            <w:right w:w="108" w:type="dxa"/>
          </w:tblCellMar>
        </w:tblPrEx>
        <w:trPr>
          <w:trHeight w:val="20" w:hRule="atLeast"/>
          <w:jc w:val="center"/>
        </w:trPr>
        <w:tc>
          <w:tcPr>
            <w:tcW w:w="640" w:type="dxa"/>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1</w:t>
            </w:r>
          </w:p>
        </w:tc>
        <w:tc>
          <w:tcPr>
            <w:tcW w:w="1927"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单位行贿罪</w:t>
            </w:r>
          </w:p>
        </w:tc>
        <w:tc>
          <w:tcPr>
            <w:tcW w:w="6095" w:type="dxa"/>
            <w:tcBorders>
              <w:top w:val="nil"/>
              <w:left w:val="nil"/>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1.行为描述：近5年内，供应商被判处单位行贿罪，且行贿行为与采购活动相关的</w:t>
            </w:r>
            <w:r>
              <w:rPr>
                <w:rFonts w:hint="eastAsia"/>
                <w:highlight w:val="none"/>
              </w:rPr>
              <w:br w:type="textWrapping"/>
            </w:r>
            <w:r>
              <w:rPr>
                <w:rFonts w:hint="eastAsia"/>
                <w:highlight w:val="none"/>
              </w:rPr>
              <w:t>2.认定标准：人民法院生效判决（说明：每例相关的生效判决计为一例不良行为）</w:t>
            </w:r>
          </w:p>
        </w:tc>
        <w:tc>
          <w:tcPr>
            <w:tcW w:w="1559"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采购归口管理部门或采购实施部门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特别严重不良行为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2</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有行贿或提供不正当利益行为</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1.行为描述：供应商或其人员对中国电信实施的采购项目/采购工作的相关人员行贿或提供不正当利益的</w:t>
            </w:r>
            <w:r>
              <w:rPr>
                <w:rFonts w:hint="eastAsia"/>
                <w:highlight w:val="none"/>
              </w:rPr>
              <w:br w:type="textWrapping"/>
            </w:r>
            <w:r>
              <w:rPr>
                <w:rFonts w:hint="eastAsia"/>
                <w:highlight w:val="none"/>
              </w:rPr>
              <w:t>2.认定标准：中国电信纪检监察机构认定为事实并通报到公司采购部门</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集团或省公司级纪检监察机构</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涉及集团级采购</w:t>
            </w:r>
          </w:p>
        </w:tc>
        <w:tc>
          <w:tcPr>
            <w:tcW w:w="993"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不涉及集团级采购</w:t>
            </w:r>
          </w:p>
        </w:tc>
        <w:tc>
          <w:tcPr>
            <w:tcW w:w="993"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3</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串通投标</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w:t>
            </w:r>
            <w:r>
              <w:rPr>
                <w:rFonts w:hint="eastAsia"/>
                <w:highlight w:val="none"/>
              </w:rPr>
              <w:br w:type="textWrapping"/>
            </w:r>
            <w:r>
              <w:rPr>
                <w:rFonts w:hint="eastAsia"/>
                <w:highlight w:val="none"/>
              </w:rPr>
              <w:t>（1）在中国电信实施的采购项目，具有《中华人民共和国招标投标法实施条例》第三十九条、第四十条规定的串通投标情形的，也包括中国电信实施的非招标方式采购项目和中国电信以招标、比选等各类竞争性采购形式实施的废旧闲置物资处置项目中的串通或同类行为</w:t>
            </w:r>
            <w:r>
              <w:rPr>
                <w:rFonts w:hint="eastAsia"/>
                <w:highlight w:val="none"/>
              </w:rPr>
              <w:br w:type="textWrapping"/>
            </w:r>
            <w:r>
              <w:rPr>
                <w:rFonts w:hint="eastAsia"/>
                <w:highlight w:val="none"/>
              </w:rPr>
              <w:t>（2）在以拍卖方式实施的中国电信的废旧闲置物资处置项目中，存在《拍卖法》第三十七条所指向的恶意串通行为</w:t>
            </w:r>
            <w:r>
              <w:rPr>
                <w:rFonts w:hint="eastAsia"/>
                <w:highlight w:val="none"/>
              </w:rPr>
              <w:br w:type="textWrapping"/>
            </w:r>
            <w:r>
              <w:rPr>
                <w:rFonts w:hint="eastAsia"/>
                <w:highlight w:val="none"/>
              </w:rPr>
              <w:t>2.认定标准：</w:t>
            </w:r>
          </w:p>
          <w:p>
            <w:pPr>
              <w:widowControl/>
              <w:rPr>
                <w:highlight w:val="none"/>
              </w:rPr>
            </w:pPr>
            <w:r>
              <w:rPr>
                <w:rFonts w:hint="eastAsia"/>
                <w:highlight w:val="none"/>
              </w:rPr>
              <w:t>针对行为描述（1），合同签订前发现的，由资格审查委员会/评标委员会/相应项目评审机构依法依规认定；合同签订后发现的，由中国电信采购实施部门组织认定。国家相关机构或中国电信法律部门有认定的，以其认定结果为准</w:t>
            </w:r>
            <w:r>
              <w:rPr>
                <w:rFonts w:hint="eastAsia"/>
                <w:highlight w:val="none"/>
              </w:rPr>
              <w:br w:type="textWrapping"/>
            </w:r>
            <w:r>
              <w:rPr>
                <w:rFonts w:hint="eastAsia"/>
                <w:highlight w:val="none"/>
              </w:rPr>
              <w:t>针对行为描述（2），人民法院或市场行政监督管理部作出具相关认定结果。</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采购归口管理部门或采购实施部门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4</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虚假投标</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在中国电信实施的采购项目中，具有《中华人民共和国招标投标法实施条例》第四十二条规定的弄虚作假的行为的，也包括中国电信实施的非招标方式采购项目和中国电信通过招标、比选等各类竞争性采购形式实施的废旧闲置物资处置项目中的弄虚作假或同类行为</w:t>
            </w:r>
            <w:r>
              <w:rPr>
                <w:rFonts w:hint="eastAsia"/>
                <w:highlight w:val="none"/>
              </w:rPr>
              <w:br w:type="textWrapping"/>
            </w:r>
            <w:r>
              <w:rPr>
                <w:rFonts w:hint="eastAsia"/>
                <w:highlight w:val="none"/>
              </w:rPr>
              <w:t>2.认定标准：合同签订前发现的，由资格审查委员会/评标委员会/相应项目评审机构依法依规认定；合同签订后发现的，由中国电信采购实施部门组织认定。国家相关机构或中国电信法律部门有认定的，以其认定结果为准</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采购归口管理部门或采购实施部门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5</w:t>
            </w:r>
          </w:p>
        </w:tc>
        <w:tc>
          <w:tcPr>
            <w:tcW w:w="1927"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合同诈骗罪</w:t>
            </w:r>
          </w:p>
        </w:tc>
        <w:tc>
          <w:tcPr>
            <w:tcW w:w="6095" w:type="dxa"/>
            <w:tcBorders>
              <w:top w:val="nil"/>
              <w:left w:val="nil"/>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1.行为描述：近5年内，供应商被判处合同诈骗罪的</w:t>
            </w:r>
            <w:r>
              <w:rPr>
                <w:rFonts w:hint="eastAsia"/>
                <w:highlight w:val="none"/>
              </w:rPr>
              <w:br w:type="textWrapping"/>
            </w:r>
            <w:r>
              <w:rPr>
                <w:rFonts w:hint="eastAsia"/>
                <w:highlight w:val="none"/>
              </w:rPr>
              <w:t>2.认定标准：人民法院生效判决（说明：每例相关的生效判决计为一例不良行为）</w:t>
            </w:r>
          </w:p>
        </w:tc>
        <w:tc>
          <w:tcPr>
            <w:tcW w:w="1559"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采购归口管理部门或采购实施部门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特别严重不良行为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6</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造成安全生产事故</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1.行为描述：在中国电信范围内，造成安全生产事故的</w:t>
            </w:r>
            <w:r>
              <w:rPr>
                <w:rFonts w:hint="eastAsia"/>
                <w:highlight w:val="none"/>
              </w:rPr>
              <w:br w:type="textWrapping"/>
            </w:r>
            <w:r>
              <w:rPr>
                <w:rFonts w:hint="eastAsia"/>
                <w:highlight w:val="none"/>
              </w:rPr>
              <w:t>2.认定标准：国家《生产安全事故报告和调查处理条例》（国务院令第493号）定义的生产安全事故</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集团公司相关管理部门</w:t>
            </w:r>
          </w:p>
        </w:tc>
        <w:tc>
          <w:tcPr>
            <w:tcW w:w="1125"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特别重大事故</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特别严重不良行为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重大事故</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特别严重不良行为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较大事故</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一般事故</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7</w:t>
            </w:r>
          </w:p>
        </w:tc>
        <w:tc>
          <w:tcPr>
            <w:tcW w:w="1927"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造成重大网信安全事件</w:t>
            </w:r>
          </w:p>
        </w:tc>
        <w:tc>
          <w:tcPr>
            <w:tcW w:w="6095" w:type="dxa"/>
            <w:tcBorders>
              <w:top w:val="nil"/>
              <w:left w:val="nil"/>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w:t>
            </w:r>
            <w:r>
              <w:rPr>
                <w:rFonts w:hint="eastAsia"/>
                <w:highlight w:val="none"/>
              </w:rPr>
              <w:br w:type="page"/>
            </w:r>
          </w:p>
          <w:p>
            <w:pPr>
              <w:widowControl/>
              <w:rPr>
                <w:highlight w:val="none"/>
              </w:rPr>
            </w:pPr>
            <w:r>
              <w:rPr>
                <w:rFonts w:hint="eastAsia"/>
                <w:highlight w:val="none"/>
              </w:rPr>
              <w:t>（1）在中国电信范围内，造成重大网信安全事件的</w:t>
            </w:r>
            <w:r>
              <w:rPr>
                <w:rFonts w:hint="eastAsia"/>
                <w:highlight w:val="none"/>
              </w:rPr>
              <w:br w:type="page"/>
            </w:r>
          </w:p>
          <w:p>
            <w:pPr>
              <w:widowControl/>
              <w:rPr>
                <w:highlight w:val="none"/>
              </w:rPr>
            </w:pPr>
            <w:r>
              <w:rPr>
                <w:rFonts w:hint="eastAsia"/>
                <w:highlight w:val="none"/>
              </w:rPr>
              <w:t>（2）因供应商责任造成网信安问题，并导致中国电信被公安部、工信部等国家部委通报或处理的</w:t>
            </w:r>
          </w:p>
          <w:p>
            <w:pPr>
              <w:widowControl/>
              <w:rPr>
                <w:highlight w:val="none"/>
              </w:rPr>
            </w:pPr>
            <w:r>
              <w:rPr>
                <w:rFonts w:hint="eastAsia"/>
                <w:highlight w:val="none"/>
              </w:rPr>
              <w:br w:type="page"/>
            </w:r>
            <w:r>
              <w:rPr>
                <w:rFonts w:hint="eastAsia"/>
                <w:highlight w:val="none"/>
              </w:rPr>
              <w:t>2.认定标准：</w:t>
            </w:r>
            <w:r>
              <w:rPr>
                <w:rFonts w:hint="eastAsia"/>
                <w:highlight w:val="none"/>
              </w:rPr>
              <w:br w:type="page"/>
            </w:r>
          </w:p>
          <w:p>
            <w:pPr>
              <w:widowControl/>
              <w:rPr>
                <w:highlight w:val="none"/>
              </w:rPr>
            </w:pPr>
            <w:r>
              <w:rPr>
                <w:rFonts w:hint="eastAsia"/>
                <w:highlight w:val="none"/>
              </w:rPr>
              <w:t>（1）国家工信部《公共互联网网络安全突发事件应急预案》（工信部网安[2017]281号）定义的重大网络安全事件；《互联网网络安全信息通报实施办法》（工信部保[2009]156号）定义的重大事件及以上级别事件；中国电信集团信息安全管理办法定义的重大信息安全事件</w:t>
            </w:r>
            <w:r>
              <w:rPr>
                <w:rFonts w:hint="eastAsia"/>
                <w:highlight w:val="none"/>
              </w:rPr>
              <w:br w:type="page"/>
            </w:r>
          </w:p>
          <w:p>
            <w:pPr>
              <w:widowControl/>
              <w:rPr>
                <w:highlight w:val="none"/>
              </w:rPr>
            </w:pPr>
            <w:r>
              <w:rPr>
                <w:rFonts w:hint="eastAsia"/>
                <w:highlight w:val="none"/>
              </w:rPr>
              <w:t>（2）国家部委通报经集团公司相关部门认定</w:t>
            </w:r>
          </w:p>
        </w:tc>
        <w:tc>
          <w:tcPr>
            <w:tcW w:w="1559"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集团公司相关管理部门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page"/>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8</w:t>
            </w:r>
          </w:p>
        </w:tc>
        <w:tc>
          <w:tcPr>
            <w:tcW w:w="1927"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因供应商责任给中国电信造成网信安全风险</w:t>
            </w:r>
          </w:p>
        </w:tc>
        <w:tc>
          <w:tcPr>
            <w:tcW w:w="6095" w:type="dxa"/>
            <w:tcBorders>
              <w:top w:val="nil"/>
              <w:left w:val="nil"/>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w:t>
            </w:r>
            <w:r>
              <w:rPr>
                <w:rFonts w:hint="eastAsia"/>
                <w:highlight w:val="none"/>
              </w:rPr>
              <w:br w:type="textWrapping"/>
            </w:r>
            <w:r>
              <w:rPr>
                <w:rFonts w:hint="eastAsia"/>
                <w:highlight w:val="none"/>
              </w:rPr>
              <w:t>（1）所开发的信息系统存在未经中国电信授权擅自使用中国电信商标、标识情况，且存在严重安全隐患的</w:t>
            </w:r>
            <w:r>
              <w:rPr>
                <w:rFonts w:hint="eastAsia"/>
                <w:highlight w:val="none"/>
              </w:rPr>
              <w:br w:type="textWrapping"/>
            </w:r>
            <w:r>
              <w:rPr>
                <w:rFonts w:hint="eastAsia"/>
                <w:highlight w:val="none"/>
              </w:rPr>
              <w:t>（2）违反《网络产品安全漏洞管理规定》未经授权探测、发布中国电信网络、信息系统及其设备漏洞的</w:t>
            </w:r>
            <w:r>
              <w:rPr>
                <w:rFonts w:hint="eastAsia"/>
                <w:highlight w:val="none"/>
              </w:rPr>
              <w:br w:type="textWrapping"/>
            </w:r>
            <w:r>
              <w:rPr>
                <w:rFonts w:hint="eastAsia"/>
                <w:highlight w:val="none"/>
              </w:rPr>
              <w:t>（3）违反网络安全法第二十二条规定网络产品存在后门、木马和恶意程序的。对发现的安全缺陷、漏洞等风险，未及时采取补救措施的</w:t>
            </w:r>
            <w:r>
              <w:rPr>
                <w:rFonts w:hint="eastAsia"/>
                <w:highlight w:val="none"/>
              </w:rPr>
              <w:br w:type="textWrapping"/>
            </w:r>
            <w:r>
              <w:rPr>
                <w:rFonts w:hint="eastAsia"/>
                <w:highlight w:val="none"/>
              </w:rPr>
              <w:t>（4）未经中国电信授权，擅自公开或向第三方提中国电信拥有所有权的软件（或固件）源代码的</w:t>
            </w:r>
            <w:r>
              <w:rPr>
                <w:rFonts w:hint="eastAsia"/>
                <w:highlight w:val="none"/>
              </w:rPr>
              <w:br w:type="textWrapping"/>
            </w:r>
            <w:r>
              <w:rPr>
                <w:rFonts w:hint="eastAsia"/>
                <w:highlight w:val="none"/>
              </w:rPr>
              <w:t>（5）未经授权对中国电信运营的网络开展渗透测试的</w:t>
            </w:r>
            <w:r>
              <w:rPr>
                <w:rFonts w:hint="eastAsia"/>
                <w:highlight w:val="none"/>
              </w:rPr>
              <w:br w:type="textWrapping"/>
            </w:r>
            <w:r>
              <w:rPr>
                <w:rFonts w:hint="eastAsia"/>
                <w:highlight w:val="none"/>
              </w:rPr>
              <w:t>（6）未经中国电信授权擅自登录中国电信所运营的网络和信息系统进行查询、修改、删除等操作的</w:t>
            </w:r>
            <w:r>
              <w:rPr>
                <w:rFonts w:hint="eastAsia"/>
                <w:highlight w:val="none"/>
              </w:rPr>
              <w:br w:type="textWrapping"/>
            </w:r>
            <w:r>
              <w:rPr>
                <w:rFonts w:hint="eastAsia"/>
                <w:highlight w:val="none"/>
              </w:rPr>
              <w:t>（7）未经中国电信授权擅自保存中国电信运营的网络、信息系统极其设备账号、口令、数据、系统解构、拓扑图等信息的</w:t>
            </w:r>
            <w:r>
              <w:rPr>
                <w:rFonts w:hint="eastAsia"/>
                <w:highlight w:val="none"/>
              </w:rPr>
              <w:br w:type="textWrapping"/>
            </w:r>
            <w:r>
              <w:rPr>
                <w:rFonts w:hint="eastAsia"/>
                <w:highlight w:val="none"/>
              </w:rPr>
              <w:t>2.认定标准：</w:t>
            </w:r>
            <w:r>
              <w:rPr>
                <w:rFonts w:hint="eastAsia"/>
                <w:highlight w:val="none"/>
              </w:rPr>
              <w:br w:type="textWrapping"/>
            </w:r>
            <w:r>
              <w:rPr>
                <w:rFonts w:hint="eastAsia"/>
                <w:highlight w:val="none"/>
              </w:rPr>
              <w:t>针对行为描述（1）：国家部委通报，经中国电信集团有限公司相关管理部门认定</w:t>
            </w:r>
          </w:p>
          <w:p>
            <w:pPr>
              <w:widowControl/>
              <w:rPr>
                <w:highlight w:val="none"/>
              </w:rPr>
            </w:pPr>
            <w:r>
              <w:rPr>
                <w:rFonts w:hint="eastAsia"/>
                <w:highlight w:val="none"/>
              </w:rPr>
              <w:t>针对行为描述（2）、（3）、（4）、（5）、（6）、（7）：中国电信集团有限公司相关管理部门组织认定</w:t>
            </w:r>
          </w:p>
        </w:tc>
        <w:tc>
          <w:tcPr>
            <w:tcW w:w="1559"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集团公司相关管理部门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9</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造成重大通信网络事件</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w:t>
            </w:r>
            <w:r>
              <w:rPr>
                <w:rFonts w:hint="eastAsia"/>
                <w:highlight w:val="none"/>
              </w:rPr>
              <w:br w:type="page"/>
            </w:r>
          </w:p>
          <w:p>
            <w:pPr>
              <w:widowControl/>
              <w:rPr>
                <w:highlight w:val="none"/>
              </w:rPr>
            </w:pPr>
            <w:r>
              <w:rPr>
                <w:rFonts w:hint="eastAsia"/>
                <w:highlight w:val="none"/>
              </w:rPr>
              <w:t>（1）在中国电信范围内，造成重大通信事故及以上级别通信事故/通信网络重大事件及以上级别事件的</w:t>
            </w:r>
          </w:p>
          <w:p>
            <w:pPr>
              <w:widowControl/>
              <w:rPr>
                <w:highlight w:val="none"/>
              </w:rPr>
            </w:pPr>
            <w:r>
              <w:rPr>
                <w:rFonts w:hint="eastAsia"/>
                <w:highlight w:val="none"/>
              </w:rPr>
              <w:br w:type="page"/>
            </w:r>
            <w:r>
              <w:rPr>
                <w:rFonts w:hint="eastAsia"/>
                <w:highlight w:val="none"/>
              </w:rPr>
              <w:t>（2）供应商软件BUG造成重大通信事故及以上级别通信事故/通信网络重大事件及以上级别事件无法在一个月内提供修复版本/补丁的</w:t>
            </w:r>
            <w:r>
              <w:rPr>
                <w:rFonts w:hint="eastAsia"/>
                <w:highlight w:val="none"/>
              </w:rPr>
              <w:br w:type="page"/>
            </w:r>
            <w:r>
              <w:rPr>
                <w:rFonts w:hint="eastAsia"/>
                <w:highlight w:val="none"/>
              </w:rPr>
              <w:t>（3）供应商硬件缺陷造成重大通信事故及以上级别通信事故/通信网络重大事件及以上级别事件无法在两个月内完成全网缺陷硬件更换的</w:t>
            </w:r>
            <w:r>
              <w:rPr>
                <w:rFonts w:hint="eastAsia"/>
                <w:highlight w:val="none"/>
              </w:rPr>
              <w:br w:type="page"/>
            </w:r>
          </w:p>
          <w:p>
            <w:pPr>
              <w:widowControl/>
              <w:rPr>
                <w:highlight w:val="none"/>
              </w:rPr>
            </w:pPr>
            <w:r>
              <w:rPr>
                <w:rFonts w:hint="eastAsia"/>
                <w:highlight w:val="none"/>
              </w:rPr>
              <w:t>2.认定标准：</w:t>
            </w:r>
            <w:r>
              <w:rPr>
                <w:rFonts w:hint="eastAsia"/>
                <w:highlight w:val="none"/>
              </w:rPr>
              <w:br w:type="page"/>
            </w:r>
          </w:p>
          <w:p>
            <w:pPr>
              <w:widowControl/>
              <w:rPr>
                <w:highlight w:val="none"/>
              </w:rPr>
            </w:pPr>
            <w:r>
              <w:rPr>
                <w:rFonts w:hint="eastAsia"/>
                <w:highlight w:val="none"/>
              </w:rPr>
              <w:t>针对行为描述（1）：工信部《电信网络运行监督管理办法》（工信部电管[2009]187号）定义的重大通信事故及以上级别通信事故；中国电信全网重大通信事故/通信网络事件定义</w:t>
            </w:r>
            <w:r>
              <w:rPr>
                <w:rFonts w:hint="eastAsia"/>
                <w:highlight w:val="none"/>
              </w:rPr>
              <w:br w:type="page"/>
            </w:r>
          </w:p>
          <w:p>
            <w:pPr>
              <w:widowControl/>
              <w:rPr>
                <w:highlight w:val="none"/>
              </w:rPr>
            </w:pPr>
            <w:r>
              <w:rPr>
                <w:rFonts w:hint="eastAsia"/>
                <w:highlight w:val="none"/>
              </w:rPr>
              <w:t>针对行为描述（2）和（3）：电信集团公司相关管理部门组织认定</w:t>
            </w:r>
          </w:p>
        </w:tc>
        <w:tc>
          <w:tcPr>
            <w:tcW w:w="1559"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集团公司相关管理部门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page"/>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特别重大事件</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集团公司相关管理部门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重大事件</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10</w:t>
            </w:r>
          </w:p>
        </w:tc>
        <w:tc>
          <w:tcPr>
            <w:tcW w:w="1927"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被认定为失信被执行人</w:t>
            </w:r>
          </w:p>
        </w:tc>
        <w:tc>
          <w:tcPr>
            <w:tcW w:w="6095" w:type="dxa"/>
            <w:tcBorders>
              <w:top w:val="nil"/>
              <w:left w:val="nil"/>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1.行为描述：供应商被人民法院认定为失信被执行人的</w:t>
            </w:r>
            <w:r>
              <w:rPr>
                <w:rFonts w:hint="eastAsia"/>
                <w:highlight w:val="none"/>
              </w:rPr>
              <w:br w:type="textWrapping"/>
            </w:r>
            <w:r>
              <w:rPr>
                <w:rFonts w:hint="eastAsia"/>
                <w:highlight w:val="none"/>
              </w:rPr>
              <w:t>2.认定标准：最高人民法院公布的结果（以“信用中国”网站信息为准）</w:t>
            </w:r>
          </w:p>
        </w:tc>
        <w:tc>
          <w:tcPr>
            <w:tcW w:w="1559"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采购归口管理部门或采购实施部门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11</w:t>
            </w:r>
          </w:p>
        </w:tc>
        <w:tc>
          <w:tcPr>
            <w:tcW w:w="1927"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环保问题</w:t>
            </w:r>
          </w:p>
        </w:tc>
        <w:tc>
          <w:tcPr>
            <w:tcW w:w="6095" w:type="dxa"/>
            <w:tcBorders>
              <w:top w:val="nil"/>
              <w:left w:val="nil"/>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1.行为描述：因供应商责任造成环保问题，并导致中国电信被政府环保部门通报或处理的</w:t>
            </w:r>
            <w:r>
              <w:rPr>
                <w:rFonts w:hint="eastAsia"/>
                <w:highlight w:val="none"/>
              </w:rPr>
              <w:br w:type="textWrapping"/>
            </w:r>
            <w:r>
              <w:rPr>
                <w:rFonts w:hint="eastAsia"/>
                <w:highlight w:val="none"/>
              </w:rPr>
              <w:t>2.认定标准：电信集团公司相关管理部门组织认定</w:t>
            </w:r>
          </w:p>
        </w:tc>
        <w:tc>
          <w:tcPr>
            <w:tcW w:w="1559"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集团公司相关管理部门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12</w:t>
            </w:r>
          </w:p>
        </w:tc>
        <w:tc>
          <w:tcPr>
            <w:tcW w:w="1927"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严重违法经营</w:t>
            </w:r>
          </w:p>
        </w:tc>
        <w:tc>
          <w:tcPr>
            <w:tcW w:w="6095" w:type="dxa"/>
            <w:tcBorders>
              <w:top w:val="nil"/>
              <w:left w:val="nil"/>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1.行为描述：供应商违反法律法规经营，被有关行政、司法机关处以吊销营业执照，或勒令停止营业的</w:t>
            </w:r>
            <w:r>
              <w:rPr>
                <w:rFonts w:hint="eastAsia"/>
                <w:highlight w:val="none"/>
              </w:rPr>
              <w:br w:type="textWrapping"/>
            </w:r>
            <w:r>
              <w:rPr>
                <w:rFonts w:hint="eastAsia"/>
                <w:highlight w:val="none"/>
              </w:rPr>
              <w:t>2.认定标准：国家有关管理监督机构公布的结果</w:t>
            </w:r>
          </w:p>
        </w:tc>
        <w:tc>
          <w:tcPr>
            <w:tcW w:w="1559"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采购归口管理部门或采购实施部门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特别严重不良行为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13</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恶意修改合同文本</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在中国电信实施的采购项目中，供应商背离前期采购结果，在合同签订过程中擅自对合同文本作出实质性修改；也包括在合同签订后对合同原件或复印件的内容擅自进行修改、篡改。采购结果包括但不限于通过招标、竞争性谈判、比选、询价、定向谈判等各类采购形式达成的结果</w:t>
            </w:r>
            <w:r>
              <w:rPr>
                <w:rFonts w:hint="eastAsia"/>
                <w:highlight w:val="none"/>
              </w:rPr>
              <w:br w:type="textWrapping"/>
            </w:r>
            <w:r>
              <w:rPr>
                <w:rFonts w:hint="eastAsia"/>
                <w:highlight w:val="none"/>
              </w:rPr>
              <w:t>2.认定标准：中国电信采购实施部门组织认定</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采购实施部门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14</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恶意扰乱采购供应链工作秩序</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1.行为描述：在中国电信实施的采购项目或其他采购工作中，以恶意投诉或其他非法手段，干扰采购工作进程、采购工作秩序、工作结果的</w:t>
            </w:r>
          </w:p>
          <w:p>
            <w:pPr>
              <w:widowControl/>
              <w:rPr>
                <w:highlight w:val="none"/>
              </w:rPr>
            </w:pPr>
            <w:r>
              <w:rPr>
                <w:rFonts w:hint="eastAsia"/>
                <w:highlight w:val="none"/>
              </w:rPr>
              <w:br w:type="page"/>
            </w:r>
            <w:r>
              <w:rPr>
                <w:rFonts w:hint="eastAsia"/>
                <w:highlight w:val="none"/>
              </w:rPr>
              <w:t>2.认定标准：中国电信采购实施部门或采购归口管理部门组织认定；采购工作包括但不限于采购实施、采购管理、物流管理、质量管理、供应商管理和其他供应链管理工作</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采购实施部门或采购归口管理部门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15</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转包或违法/违约分包</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1.行为描述：在中国电信合同履行过程中，供应商存在转包、违法或违约分包的</w:t>
            </w:r>
            <w:r>
              <w:rPr>
                <w:rFonts w:hint="eastAsia"/>
                <w:highlight w:val="none"/>
              </w:rPr>
              <w:br w:type="textWrapping"/>
            </w:r>
            <w:r>
              <w:rPr>
                <w:rFonts w:hint="eastAsia"/>
                <w:highlight w:val="none"/>
              </w:rPr>
              <w:t>2.认定标准：中国电信采购实施部门组织认定</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采购实施部门</w:t>
            </w:r>
          </w:p>
        </w:tc>
        <w:tc>
          <w:tcPr>
            <w:tcW w:w="1125"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导致发生质量安全事故</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未导致发生质量安全事故</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导致发生质量安全事故</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未导致发生质量安全事故</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16</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after="240"/>
              <w:jc w:val="center"/>
              <w:rPr>
                <w:highlight w:val="none"/>
              </w:rPr>
            </w:pPr>
            <w:r>
              <w:rPr>
                <w:rFonts w:hint="eastAsia"/>
                <w:highlight w:val="none"/>
              </w:rPr>
              <w:t>拒绝履约</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1.行为描述：在中国电信合同履行过程中拒绝履约，包括但不限于以下情形、经公司采购实施部门协调仍拒不改正的：</w:t>
            </w:r>
            <w:r>
              <w:rPr>
                <w:rFonts w:hint="eastAsia"/>
                <w:highlight w:val="none"/>
              </w:rPr>
              <w:br w:type="textWrapping"/>
            </w:r>
            <w:r>
              <w:rPr>
                <w:rFonts w:hint="eastAsia"/>
                <w:highlight w:val="none"/>
              </w:rPr>
              <w:t>（1）无正当理由拒绝接受订单/拒绝供应/中断供应</w:t>
            </w:r>
            <w:r>
              <w:rPr>
                <w:rFonts w:hint="eastAsia"/>
                <w:highlight w:val="none"/>
              </w:rPr>
              <w:br w:type="textWrapping"/>
            </w:r>
            <w:r>
              <w:rPr>
                <w:rFonts w:hint="eastAsia"/>
                <w:highlight w:val="none"/>
              </w:rPr>
              <w:t>（2）选择性地接受订单或供应/附加额外条件接受订单或供应</w:t>
            </w:r>
            <w:r>
              <w:rPr>
                <w:rFonts w:hint="eastAsia"/>
                <w:highlight w:val="none"/>
              </w:rPr>
              <w:br w:type="textWrapping"/>
            </w:r>
            <w:r>
              <w:rPr>
                <w:rFonts w:hint="eastAsia"/>
                <w:highlight w:val="none"/>
              </w:rPr>
              <w:t>（3）故意拖延供应导致采购方被迫取消订单/解除合同</w:t>
            </w:r>
            <w:r>
              <w:rPr>
                <w:rFonts w:hint="eastAsia"/>
                <w:highlight w:val="none"/>
              </w:rPr>
              <w:br w:type="textWrapping"/>
            </w:r>
            <w:r>
              <w:rPr>
                <w:rFonts w:hint="eastAsia"/>
                <w:highlight w:val="none"/>
              </w:rPr>
              <w:t>（4）拒绝支付招标代理/采购代理服务费</w:t>
            </w:r>
            <w:r>
              <w:rPr>
                <w:rFonts w:hint="eastAsia"/>
                <w:highlight w:val="none"/>
              </w:rPr>
              <w:br w:type="textWrapping"/>
            </w:r>
            <w:r>
              <w:rPr>
                <w:rFonts w:hint="eastAsia"/>
                <w:highlight w:val="none"/>
              </w:rPr>
              <w:t>（5）无正当理由拒绝按照约定的价格及其他条件签订维护保修服务、备品备件等采购合同</w:t>
            </w:r>
            <w:r>
              <w:rPr>
                <w:rFonts w:hint="eastAsia"/>
                <w:highlight w:val="none"/>
              </w:rPr>
              <w:br w:type="textWrapping"/>
            </w:r>
            <w:r>
              <w:rPr>
                <w:rFonts w:hint="eastAsia"/>
                <w:highlight w:val="none"/>
              </w:rPr>
              <w:t>（6）无正当理由拒绝按照合同约定义务配合业务、系统或数据的割接、迁移，或为相关工作设置障碍或进行阻挠</w:t>
            </w:r>
            <w:r>
              <w:rPr>
                <w:rFonts w:hint="eastAsia"/>
                <w:highlight w:val="none"/>
              </w:rPr>
              <w:br w:type="textWrapping"/>
            </w:r>
            <w:r>
              <w:rPr>
                <w:rFonts w:hint="eastAsia"/>
                <w:highlight w:val="none"/>
              </w:rPr>
              <w:t>2.认定标准：中国电信采购实施部门组织认定。供应包括提供货物和/或服务，以及实施/交付工程</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采购实施部门</w:t>
            </w:r>
          </w:p>
        </w:tc>
        <w:tc>
          <w:tcPr>
            <w:tcW w:w="1125"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导致重新招标</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未导致重新招标</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导致重新招标</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未导致重新招标</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17</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严重履约延迟问题</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w:t>
            </w:r>
            <w:r>
              <w:rPr>
                <w:rFonts w:hint="eastAsia"/>
                <w:highlight w:val="none"/>
              </w:rPr>
              <w:br w:type="textWrapping"/>
            </w:r>
            <w:r>
              <w:rPr>
                <w:rFonts w:hint="eastAsia"/>
                <w:highlight w:val="none"/>
              </w:rPr>
              <w:t>（1）在合同履行过程中，由于供应商原因导致物资或服务交付延迟或相应工程项目延期等，延迟金额超过合同额的50%且延迟时间超过约定交付时间一倍，且引起采购单位或使用单位投诉、造成较大影响并被追究责任的</w:t>
            </w:r>
            <w:r>
              <w:rPr>
                <w:rFonts w:hint="eastAsia"/>
                <w:highlight w:val="none"/>
              </w:rPr>
              <w:br w:type="textWrapping"/>
            </w:r>
            <w:r>
              <w:rPr>
                <w:rFonts w:hint="eastAsia"/>
                <w:highlight w:val="none"/>
              </w:rPr>
              <w:t>（2）在合同履行过程中，由于供应商原因导致物资或服务交付延迟，对重点工程进度产生重大影响的</w:t>
            </w:r>
            <w:r>
              <w:rPr>
                <w:rFonts w:hint="eastAsia"/>
                <w:highlight w:val="none"/>
              </w:rPr>
              <w:br w:type="textWrapping"/>
            </w:r>
            <w:r>
              <w:rPr>
                <w:rFonts w:hint="eastAsia"/>
                <w:highlight w:val="none"/>
              </w:rPr>
              <w:t>2.认定标准：</w:t>
            </w:r>
            <w:r>
              <w:rPr>
                <w:rFonts w:hint="eastAsia"/>
                <w:highlight w:val="none"/>
              </w:rPr>
              <w:br w:type="textWrapping"/>
            </w:r>
            <w:r>
              <w:rPr>
                <w:rFonts w:hint="eastAsia"/>
                <w:highlight w:val="none"/>
              </w:rPr>
              <w:t>针对行为描述（1）：发生有效投诉并经中国电信相关管理部门组织认定</w:t>
            </w:r>
            <w:r>
              <w:rPr>
                <w:rFonts w:hint="eastAsia"/>
                <w:highlight w:val="none"/>
              </w:rPr>
              <w:br w:type="textWrapping"/>
            </w:r>
            <w:r>
              <w:rPr>
                <w:rFonts w:hint="eastAsia"/>
                <w:highlight w:val="none"/>
              </w:rPr>
              <w:t>针对行为描述（2）：发生有效投诉，并由中国电信相关工程建设管理部门组织采购等部门参加工程协调会，进行评估认定并形成会议纪要或备忘录。不涉及考核周期</w:t>
            </w:r>
            <w:r>
              <w:rPr>
                <w:rFonts w:hint="eastAsia"/>
                <w:highlight w:val="none"/>
              </w:rPr>
              <w:br w:type="textWrapping"/>
            </w:r>
            <w:r>
              <w:rPr>
                <w:rFonts w:hint="eastAsia"/>
                <w:highlight w:val="none"/>
              </w:rPr>
              <w:t>针对行为描述所涉及的考核周期、延迟金额及合同额、延迟时间及约定交付时间的计取原则：</w:t>
            </w:r>
            <w:r>
              <w:rPr>
                <w:rFonts w:hint="eastAsia"/>
                <w:highlight w:val="none"/>
              </w:rPr>
              <w:br w:type="textWrapping"/>
            </w:r>
            <w:r>
              <w:rPr>
                <w:rFonts w:hint="eastAsia"/>
                <w:highlight w:val="none"/>
              </w:rPr>
              <w:t>（1）考核周期：考核周期原则上为合同的执行期，即自合同签订或供应商具有交付义务的时点（以较早者计）开始，至下次采购文件发售截止日为止（非周期性采购的单次合同至合同期末），如果合同执行期延长，以延长后期限为准</w:t>
            </w:r>
            <w:r>
              <w:rPr>
                <w:rFonts w:hint="eastAsia"/>
                <w:highlight w:val="none"/>
              </w:rPr>
              <w:br w:type="textWrapping"/>
            </w:r>
            <w:r>
              <w:rPr>
                <w:rFonts w:hint="eastAsia"/>
                <w:highlight w:val="none"/>
              </w:rPr>
              <w:t>（2）延迟金额及合同额：延迟金额取各次发生交付延迟的订单/批次的延迟交付部分金额之和，合同额取分配份额/合同金额（含税价口径，非金额表示的折算为金额；有调整的以调整后金额为准）</w:t>
            </w:r>
            <w:r>
              <w:rPr>
                <w:rFonts w:hint="eastAsia"/>
                <w:highlight w:val="none"/>
              </w:rPr>
              <w:br w:type="textWrapping"/>
            </w:r>
            <w:r>
              <w:rPr>
                <w:rFonts w:hint="eastAsia"/>
                <w:highlight w:val="none"/>
              </w:rPr>
              <w:t>（3）延迟时间及约定交付时间：延迟时间取各次发生交付延迟的订单/批次的延迟天数的加权平均值，约定交付时间取各次发生交付延迟的订单/批次的约定交付天数的加权平均值，权重为各次延迟部分金额占考核周期内全部延迟部分金额的比例</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公司相关管理部门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18</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严重履约质量问题</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供应商在中国电信合同履行中提供的产品和/或服务，被国家或省级政府监管部门（包括但不限于：工信部、市场监督管理总局，通信管理局、市场监督管理局）认定为存在以次充好、偷工减料情形的，或被国家或省级官方新闻媒体曝光存在以次充好、偷工减料情形的</w:t>
            </w:r>
            <w:r>
              <w:rPr>
                <w:rFonts w:hint="eastAsia"/>
                <w:highlight w:val="none"/>
              </w:rPr>
              <w:br w:type="textWrapping"/>
            </w:r>
            <w:r>
              <w:rPr>
                <w:rFonts w:hint="eastAsia"/>
                <w:highlight w:val="none"/>
              </w:rPr>
              <w:t>2.认定标准：中国电信相关管理部门组织认定</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公司相关管理部门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19</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严重到货检测质量问题</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供应商在中国电信合同履行中提供的产品（含备货或拟供应的产品），由于供应商原因导致产品到货质量检测结果严重不合格情况，按同一类产品口径在一个合同（或框架协议）项下累计发生2次及以上的。其中到货检测结果，是指由中国电信采购实施单位同级或上级公司采购归口管理部门发布的结果，到货检测结果严重不合格的具体标准以合同（或框架协议）约定为准</w:t>
            </w:r>
            <w:r>
              <w:rPr>
                <w:rFonts w:hint="eastAsia"/>
                <w:highlight w:val="none"/>
              </w:rPr>
              <w:br w:type="textWrapping"/>
            </w:r>
            <w:r>
              <w:rPr>
                <w:rFonts w:hint="eastAsia"/>
                <w:highlight w:val="none"/>
              </w:rPr>
              <w:t>2.认定标准：中国电信相关管理部门组织认定</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公司相关管理部门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20</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拒绝整改履约问题</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1.行为描述：在中国电信合同履行过程中，供应商发生违约行为，经采购方要求整改后，仍拒绝或以各种方式逃避整改的</w:t>
            </w:r>
            <w:r>
              <w:rPr>
                <w:rFonts w:hint="eastAsia"/>
                <w:highlight w:val="none"/>
              </w:rPr>
              <w:br w:type="textWrapping"/>
            </w:r>
            <w:r>
              <w:rPr>
                <w:rFonts w:hint="eastAsia"/>
                <w:highlight w:val="none"/>
              </w:rPr>
              <w:t>2.认定标准：中国电信采购实施或合同执行部门组织认定</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采购实施部门或合同执行部门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highlight w:val="none"/>
              </w:rPr>
            </w:pPr>
            <w:r>
              <w:rPr>
                <w:rFonts w:hint="eastAsia"/>
                <w:highlight w:val="none"/>
              </w:rPr>
              <w:t>21</w:t>
            </w:r>
          </w:p>
        </w:tc>
        <w:tc>
          <w:tcPr>
            <w:tcW w:w="1927" w:type="dxa"/>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highlight w:val="none"/>
              </w:rPr>
            </w:pPr>
            <w:r>
              <w:rPr>
                <w:rFonts w:hint="eastAsia"/>
                <w:highlight w:val="none"/>
              </w:rPr>
              <w:t>虚假履约</w:t>
            </w:r>
          </w:p>
        </w:tc>
        <w:tc>
          <w:tcPr>
            <w:tcW w:w="6095" w:type="dxa"/>
            <w:vMerge w:val="restart"/>
            <w:tcBorders>
              <w:top w:val="nil"/>
              <w:left w:val="single" w:color="auto" w:sz="4" w:space="0"/>
              <w:bottom w:val="single" w:color="000000" w:sz="4" w:space="0"/>
              <w:right w:val="single" w:color="auto" w:sz="4" w:space="0"/>
            </w:tcBorders>
            <w:shd w:val="clear" w:color="auto" w:fill="auto"/>
            <w:vAlign w:val="center"/>
          </w:tcPr>
          <w:p>
            <w:pPr>
              <w:widowControl/>
              <w:rPr>
                <w:highlight w:val="none"/>
              </w:rPr>
            </w:pPr>
            <w:r>
              <w:rPr>
                <w:rFonts w:hint="eastAsia"/>
                <w:highlight w:val="none"/>
              </w:rPr>
              <w:t>1.行为描述：供应商在中国电信合同履行中弄虚作假，使用伪造或变造的证明材料企图让中国电信相信其已经部分或全部履行相关合同义务</w:t>
            </w:r>
            <w:r>
              <w:rPr>
                <w:rFonts w:hint="eastAsia"/>
                <w:highlight w:val="none"/>
              </w:rPr>
              <w:br w:type="textWrapping"/>
            </w:r>
            <w:r>
              <w:rPr>
                <w:rFonts w:hint="eastAsia"/>
                <w:highlight w:val="none"/>
              </w:rPr>
              <w:t>2.认定标准：中国电信合同履行部门或采购实施部门组织认定</w:t>
            </w:r>
          </w:p>
        </w:tc>
        <w:tc>
          <w:tcPr>
            <w:tcW w:w="1559" w:type="dxa"/>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highlight w:val="none"/>
              </w:rPr>
            </w:pPr>
            <w:r>
              <w:rPr>
                <w:rFonts w:hint="eastAsia"/>
                <w:highlight w:val="none"/>
              </w:rPr>
              <w:t>合同履行部门或采购实施部门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涉及集团级采购</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000000"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000000"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000000"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000000"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不涉及集团级采购</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nil"/>
              <w:right w:val="nil"/>
            </w:tcBorders>
            <w:shd w:val="clear" w:color="auto" w:fill="auto"/>
            <w:vAlign w:val="center"/>
          </w:tcPr>
          <w:p>
            <w:pPr>
              <w:widowControl/>
              <w:rPr>
                <w:highlight w:val="none"/>
              </w:rPr>
            </w:pPr>
          </w:p>
        </w:tc>
        <w:tc>
          <w:tcPr>
            <w:tcW w:w="850" w:type="dxa"/>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22</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重大问题未妥善解决</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1.行为描述：在中国电信合同履行过程中，供应商存在相关重大问题超出合理期限未解决的</w:t>
            </w:r>
            <w:r>
              <w:rPr>
                <w:rFonts w:hint="eastAsia"/>
                <w:highlight w:val="none"/>
              </w:rPr>
              <w:br w:type="textWrapping"/>
            </w:r>
            <w:r>
              <w:rPr>
                <w:rFonts w:hint="eastAsia"/>
                <w:highlight w:val="none"/>
              </w:rPr>
              <w:t>2.认定标准：中国电信合同执行部门上报正式文件或在履约投诉平台反映，并经公司相关管理部门组织认定</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公司相关管理部门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single" w:color="auto" w:sz="4" w:space="0"/>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23</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拖欠农民工工资</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1.行为描述：在中国电信合同履行过程中，供应商发生拖欠农民工工资，引发农民工上访事件的</w:t>
            </w:r>
            <w:r>
              <w:rPr>
                <w:rFonts w:hint="eastAsia"/>
                <w:highlight w:val="none"/>
              </w:rPr>
              <w:br w:type="textWrapping"/>
            </w:r>
            <w:r>
              <w:rPr>
                <w:rFonts w:hint="eastAsia"/>
                <w:highlight w:val="none"/>
              </w:rPr>
              <w:t>2.认定标准：中国电信相关管理部门组织认定</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公司相关管理部门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上访到集团公司及以上层面</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上访到省公司及以下层面</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24</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涉及围绕企业经商、靠企吃企、关联交易、违规经商办企业、内外勾结等违规违纪事项</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供应商或其人员涉及党规党纪或中国电信企业工作纪律、工作管理规定中定义的违规违纪事项，包括“围绕企业经商”、“靠企吃企”、违规“关联交易”、“违规经商办企业”、内外勾结损害中国电信利益、其他中国电信纪检监察机构认定的严重违规违纪事项，被纪检监察机构认定为事实并要求处理供应商</w:t>
            </w:r>
            <w:r>
              <w:rPr>
                <w:rFonts w:hint="eastAsia"/>
                <w:highlight w:val="none"/>
              </w:rPr>
              <w:br w:type="textWrapping"/>
            </w:r>
            <w:r>
              <w:rPr>
                <w:rFonts w:hint="eastAsia"/>
                <w:highlight w:val="none"/>
              </w:rPr>
              <w:t>2.认定标准：中国电信纪检监察机构认定为事实并要求采购部门处理供应商。其中“涉及”是指供应商参与上述违规违纪事项，或者虽未主动参与但是成为违规违纪事项发生或构成的原因或直接因素</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公司纪检监察机构</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25</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泄露中国电信商业秘密</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1.行为描述：供应商在涉及中国电信实施的采购项目及相关事项方面，违反合保密协议或合同保密条款的约定，或违反他依法或依照商业惯例负有的保密义务，对外泄露中国电信商业秘密</w:t>
            </w:r>
            <w:r>
              <w:rPr>
                <w:rFonts w:hint="eastAsia"/>
                <w:highlight w:val="none"/>
              </w:rPr>
              <w:br w:type="textWrapping"/>
            </w:r>
            <w:r>
              <w:rPr>
                <w:rFonts w:hint="eastAsia"/>
                <w:highlight w:val="none"/>
              </w:rPr>
              <w:t>2.认定标准：由中国电信涉密事项经办部门先行初步认定，再由公司保密管理部门组织最终认定。秘密事项涉及多个部门经办的，直接向供应商提供相关资料的部门牵头负责初步认定。中国电信按有关法律法规或合同协议约定、或者应供应商要求，向供应商提供的附带保密要求或标明密级的信息资料，视同供应商负有保密义务</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涉密事项经办部门（初步认定）、公司保密管理部门（最终认定和信息提报）</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涉及集团级采购</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不涉及集团级采购</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26</w:t>
            </w:r>
          </w:p>
        </w:tc>
        <w:tc>
          <w:tcPr>
            <w:tcW w:w="1927"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未提供符合国家规定的扣税凭证</w:t>
            </w:r>
          </w:p>
        </w:tc>
        <w:tc>
          <w:tcPr>
            <w:tcW w:w="6095" w:type="dxa"/>
            <w:vMerge w:val="restart"/>
            <w:tcBorders>
              <w:top w:val="nil"/>
              <w:left w:val="single" w:color="auto" w:sz="4" w:space="0"/>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w:t>
            </w:r>
            <w:r>
              <w:rPr>
                <w:rFonts w:hint="eastAsia"/>
                <w:highlight w:val="none"/>
              </w:rPr>
              <w:br w:type="textWrapping"/>
            </w:r>
            <w:r>
              <w:rPr>
                <w:rFonts w:hint="eastAsia"/>
                <w:highlight w:val="none"/>
              </w:rPr>
              <w:t>（1）在中国电信合同履行过程中提供虚开的发票，被税务机关或国家有关部门认定为虚开增值税专用发票</w:t>
            </w:r>
            <w:r>
              <w:rPr>
                <w:rFonts w:hint="eastAsia"/>
                <w:highlight w:val="none"/>
              </w:rPr>
              <w:br w:type="textWrapping"/>
            </w:r>
            <w:r>
              <w:rPr>
                <w:rFonts w:hint="eastAsia"/>
                <w:highlight w:val="none"/>
              </w:rPr>
              <w:t>（2）在中国电信合同履行过程中发生与未提供符合国家规定的扣税凭证相关的其他不合规行为，并且拒绝更换合规凭证或赔偿相应损失。其他不合规行为包括但不限于：提供增值税发票后，供应商走逃失联的；提供虚假的发票，收据的；提供不符合国家规定的扣税凭证，造成中国电信损失的</w:t>
            </w:r>
            <w:r>
              <w:rPr>
                <w:rFonts w:hint="eastAsia"/>
                <w:highlight w:val="none"/>
              </w:rPr>
              <w:br w:type="textWrapping"/>
            </w:r>
            <w:r>
              <w:rPr>
                <w:rFonts w:hint="eastAsia"/>
                <w:highlight w:val="none"/>
              </w:rPr>
              <w:t>2.认定标准：中国电信相关管理部门组织认定。其中行为描述（1）需要有税务机关或国家有关部门的认定结论</w:t>
            </w:r>
          </w:p>
        </w:tc>
        <w:tc>
          <w:tcPr>
            <w:tcW w:w="1559"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公司相关管理部门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虚开增值税专用发票-为集团级采购业务开票</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虚开增值税专用发票-为非集团级采购业务开票</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其他不合规且拒绝更换合规凭证或赔偿相应损失-涉及集团级采购业务</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559" w:type="dxa"/>
            <w:vMerge w:val="continue"/>
            <w:tcBorders>
              <w:top w:val="nil"/>
              <w:left w:val="single" w:color="auto" w:sz="4" w:space="0"/>
              <w:bottom w:val="single" w:color="auto" w:sz="4" w:space="0"/>
              <w:right w:val="single" w:color="auto" w:sz="4" w:space="0"/>
            </w:tcBorders>
            <w:vAlign w:val="center"/>
          </w:tcPr>
          <w:p>
            <w:pPr>
              <w:widowControl/>
              <w:rPr>
                <w:highlight w:val="none"/>
              </w:rPr>
            </w:pP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其他不合规且拒绝更换合规凭证或赔偿相应损失-不涉及集团级采购业务</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27</w:t>
            </w:r>
          </w:p>
        </w:tc>
        <w:tc>
          <w:tcPr>
            <w:tcW w:w="1927"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在第三方发生不良行为</w:t>
            </w:r>
          </w:p>
        </w:tc>
        <w:tc>
          <w:tcPr>
            <w:tcW w:w="6095" w:type="dxa"/>
            <w:tcBorders>
              <w:top w:val="nil"/>
              <w:left w:val="nil"/>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第三方按照有关法律法规或管理监督机构要求或按照与中国电信合同/协议或相互间一致意见，或应中国电信集团有限公司要求，向中国电信集团有限公司采购归口管理部门共享输出供应商不良行为信息或类似行为信息，该信息反映供应商在该第三方发生或被认定有供应商不良行为或类似行为</w:t>
            </w:r>
            <w:r>
              <w:rPr>
                <w:rFonts w:hint="eastAsia"/>
                <w:highlight w:val="none"/>
              </w:rPr>
              <w:br w:type="textWrapping"/>
            </w:r>
            <w:r>
              <w:rPr>
                <w:rFonts w:hint="eastAsia"/>
                <w:highlight w:val="none"/>
              </w:rPr>
              <w:t>2.认定标准：由中国电信集团有限公司采购归口管理部门组织认定。第三方应该是中国电信集团有限公司认为其供应商管理信息总体上可信或应该接受的；第三方信息反映的不良行为或类似行为不需要严格符合中国电信的供应商不良行为定义，只需要行为名称或描述体现与不良相同或相近的意思</w:t>
            </w:r>
          </w:p>
        </w:tc>
        <w:tc>
          <w:tcPr>
            <w:tcW w:w="1559"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集团公司采购归口管理部门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一般不良行为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highlight w:val="none"/>
              </w:rPr>
            </w:pPr>
            <w:r>
              <w:rPr>
                <w:rFonts w:hint="eastAsia"/>
                <w:highlight w:val="none"/>
              </w:rPr>
              <w:t>28</w:t>
            </w:r>
          </w:p>
        </w:tc>
        <w:tc>
          <w:tcPr>
            <w:tcW w:w="1927" w:type="dxa"/>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highlight w:val="none"/>
              </w:rPr>
            </w:pPr>
            <w:r>
              <w:rPr>
                <w:rFonts w:hint="eastAsia"/>
                <w:highlight w:val="none"/>
              </w:rPr>
              <w:t>按招投标行政监督部门要求处理的不良行为</w:t>
            </w:r>
          </w:p>
        </w:tc>
        <w:tc>
          <w:tcPr>
            <w:tcW w:w="6095" w:type="dxa"/>
            <w:vMerge w:val="restart"/>
            <w:tcBorders>
              <w:top w:val="nil"/>
              <w:left w:val="single" w:color="auto" w:sz="4" w:space="0"/>
              <w:bottom w:val="single" w:color="000000" w:sz="4" w:space="0"/>
              <w:right w:val="single" w:color="auto" w:sz="4" w:space="0"/>
            </w:tcBorders>
            <w:shd w:val="clear" w:color="auto" w:fill="auto"/>
            <w:vAlign w:val="center"/>
          </w:tcPr>
          <w:p>
            <w:pPr>
              <w:widowControl/>
              <w:rPr>
                <w:highlight w:val="none"/>
              </w:rPr>
            </w:pPr>
            <w:r>
              <w:rPr>
                <w:rFonts w:hint="eastAsia"/>
                <w:highlight w:val="none"/>
              </w:rPr>
              <w:t>1.行为描述：供应商被招投标行政监督部门处罚，中国电信需要按要求落实处罚决定结果或者应用处罚决定中的相关信息</w:t>
            </w:r>
          </w:p>
          <w:p>
            <w:pPr>
              <w:widowControl/>
              <w:rPr>
                <w:highlight w:val="none"/>
              </w:rPr>
            </w:pPr>
            <w:r>
              <w:rPr>
                <w:rFonts w:hint="eastAsia"/>
                <w:highlight w:val="none"/>
              </w:rPr>
              <w:br w:type="page"/>
            </w:r>
            <w:r>
              <w:rPr>
                <w:rFonts w:hint="eastAsia"/>
                <w:highlight w:val="none"/>
              </w:rPr>
              <w:t>2.认定标准：有关部门招投标行政处罚结果</w:t>
            </w:r>
          </w:p>
        </w:tc>
        <w:tc>
          <w:tcPr>
            <w:tcW w:w="1559"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采购归口管理部门或采购实施部门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page"/>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根据处罚决定或研究结果处罚范围应当涉及中国境内全地域的</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r>
        <w:tblPrEx>
          <w:tblCellMar>
            <w:top w:w="0" w:type="dxa"/>
            <w:left w:w="108" w:type="dxa"/>
            <w:bottom w:w="0" w:type="dxa"/>
            <w:right w:w="108" w:type="dxa"/>
          </w:tblCellMar>
        </w:tblPrEx>
        <w:trPr>
          <w:trHeight w:val="20" w:hRule="atLeast"/>
          <w:jc w:val="center"/>
        </w:trPr>
        <w:tc>
          <w:tcPr>
            <w:tcW w:w="640" w:type="dxa"/>
            <w:vMerge w:val="continue"/>
            <w:tcBorders>
              <w:top w:val="nil"/>
              <w:left w:val="single" w:color="auto" w:sz="4" w:space="0"/>
              <w:bottom w:val="single" w:color="000000" w:sz="4" w:space="0"/>
              <w:right w:val="single" w:color="auto" w:sz="4" w:space="0"/>
            </w:tcBorders>
            <w:vAlign w:val="center"/>
          </w:tcPr>
          <w:p>
            <w:pPr>
              <w:widowControl/>
              <w:rPr>
                <w:highlight w:val="none"/>
              </w:rPr>
            </w:pPr>
          </w:p>
        </w:tc>
        <w:tc>
          <w:tcPr>
            <w:tcW w:w="1927" w:type="dxa"/>
            <w:vMerge w:val="continue"/>
            <w:tcBorders>
              <w:top w:val="nil"/>
              <w:left w:val="single" w:color="auto" w:sz="4" w:space="0"/>
              <w:bottom w:val="single" w:color="000000" w:sz="4" w:space="0"/>
              <w:right w:val="single" w:color="auto" w:sz="4" w:space="0"/>
            </w:tcBorders>
            <w:vAlign w:val="center"/>
          </w:tcPr>
          <w:p>
            <w:pPr>
              <w:widowControl/>
              <w:rPr>
                <w:highlight w:val="none"/>
              </w:rPr>
            </w:pPr>
          </w:p>
        </w:tc>
        <w:tc>
          <w:tcPr>
            <w:tcW w:w="6095" w:type="dxa"/>
            <w:vMerge w:val="continue"/>
            <w:tcBorders>
              <w:top w:val="nil"/>
              <w:left w:val="single" w:color="auto" w:sz="4" w:space="0"/>
              <w:bottom w:val="single" w:color="000000" w:sz="4" w:space="0"/>
              <w:right w:val="single" w:color="auto" w:sz="4" w:space="0"/>
            </w:tcBorders>
            <w:vAlign w:val="center"/>
          </w:tcPr>
          <w:p>
            <w:pPr>
              <w:widowControl/>
              <w:rPr>
                <w:highlight w:val="none"/>
              </w:rPr>
            </w:pPr>
          </w:p>
        </w:tc>
        <w:tc>
          <w:tcPr>
            <w:tcW w:w="1559"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采购归口管理部门或采购实施部门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根据处罚决定或研究结果处罚范围仅涉及指定省地域的</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r>
      <w:tr>
        <w:tblPrEx>
          <w:tblCellMar>
            <w:top w:w="0" w:type="dxa"/>
            <w:left w:w="108" w:type="dxa"/>
            <w:bottom w:w="0" w:type="dxa"/>
            <w:right w:w="108" w:type="dxa"/>
          </w:tblCellMar>
        </w:tblPrEx>
        <w:trPr>
          <w:trHeight w:val="20" w:hRule="atLeast"/>
          <w:jc w:val="center"/>
        </w:trPr>
        <w:tc>
          <w:tcPr>
            <w:tcW w:w="640" w:type="dxa"/>
            <w:tcBorders>
              <w:top w:val="nil"/>
              <w:left w:val="single" w:color="auto" w:sz="4" w:space="0"/>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29</w:t>
            </w:r>
          </w:p>
        </w:tc>
        <w:tc>
          <w:tcPr>
            <w:tcW w:w="1927"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涉及中国电信的供应商其他违法犯罪</w:t>
            </w:r>
          </w:p>
        </w:tc>
        <w:tc>
          <w:tcPr>
            <w:tcW w:w="6095" w:type="dxa"/>
            <w:tcBorders>
              <w:top w:val="nil"/>
              <w:left w:val="nil"/>
              <w:bottom w:val="single" w:color="auto" w:sz="4" w:space="0"/>
              <w:right w:val="single" w:color="auto" w:sz="4" w:space="0"/>
            </w:tcBorders>
            <w:shd w:val="clear" w:color="auto" w:fill="auto"/>
            <w:vAlign w:val="center"/>
          </w:tcPr>
          <w:p>
            <w:pPr>
              <w:widowControl/>
              <w:rPr>
                <w:highlight w:val="none"/>
              </w:rPr>
            </w:pPr>
            <w:r>
              <w:rPr>
                <w:rFonts w:hint="eastAsia"/>
                <w:highlight w:val="none"/>
              </w:rPr>
              <w:t>1.行为描述：供应商涉因涉及中国电信的行为被有关行政机关认定为违法并处以行政处罚，或被人民法院判决为刑事犯罪；相关行为直接或间接侵害中国电信权益或给中国电信造成风险，或虽然未侵犯中国电信权益、未给中国电信造成风险但违法犯罪行为利用（含冒用、盗用）了中国电信名义或与中国电信的合作关系（含捏造、伪造的关系）</w:t>
            </w:r>
            <w:r>
              <w:rPr>
                <w:rFonts w:hint="eastAsia"/>
                <w:highlight w:val="none"/>
              </w:rPr>
              <w:br w:type="textWrapping"/>
            </w:r>
            <w:r>
              <w:rPr>
                <w:rFonts w:hint="eastAsia"/>
                <w:highlight w:val="none"/>
              </w:rPr>
              <w:t>2.认定标准：生效的行政处罚决定，或人民法院生效判决，或仲裁机构生效仲裁结果。符合其他不良行为类目的行为不认定为本类目</w:t>
            </w:r>
          </w:p>
        </w:tc>
        <w:tc>
          <w:tcPr>
            <w:tcW w:w="1559"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采购归口管理部门或采购实施部门</w:t>
            </w:r>
          </w:p>
        </w:tc>
        <w:tc>
          <w:tcPr>
            <w:tcW w:w="1125"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14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c>
          <w:tcPr>
            <w:tcW w:w="993"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严重不良行为</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w:t>
            </w:r>
          </w:p>
        </w:tc>
        <w:tc>
          <w:tcPr>
            <w:tcW w:w="850" w:type="dxa"/>
            <w:tcBorders>
              <w:top w:val="nil"/>
              <w:left w:val="nil"/>
              <w:bottom w:val="single" w:color="auto" w:sz="4" w:space="0"/>
              <w:right w:val="single" w:color="auto" w:sz="4" w:space="0"/>
            </w:tcBorders>
            <w:shd w:val="clear" w:color="auto" w:fill="auto"/>
            <w:vAlign w:val="center"/>
          </w:tcPr>
          <w:p>
            <w:pPr>
              <w:widowControl/>
              <w:jc w:val="center"/>
              <w:rPr>
                <w:highlight w:val="none"/>
              </w:rPr>
            </w:pPr>
            <w:r>
              <w:rPr>
                <w:rFonts w:hint="eastAsia"/>
                <w:highlight w:val="none"/>
              </w:rPr>
              <w:t>　</w:t>
            </w:r>
          </w:p>
        </w:tc>
      </w:tr>
    </w:tbl>
    <w:p>
      <w:pPr>
        <w:widowControl/>
        <w:rPr>
          <w:rFonts w:asciiTheme="minorEastAsia" w:hAnsiTheme="minorEastAsia" w:eastAsiaTheme="minorEastAsia"/>
          <w:b/>
          <w:highlight w:val="none"/>
        </w:rPr>
      </w:pPr>
    </w:p>
    <w:tbl>
      <w:tblPr>
        <w:tblStyle w:val="37"/>
        <w:tblW w:w="5000" w:type="pct"/>
        <w:tblInd w:w="0" w:type="dxa"/>
        <w:tblLayout w:type="autofit"/>
        <w:tblCellMar>
          <w:top w:w="0" w:type="dxa"/>
          <w:left w:w="108" w:type="dxa"/>
          <w:bottom w:w="0" w:type="dxa"/>
          <w:right w:w="108" w:type="dxa"/>
        </w:tblCellMar>
      </w:tblPr>
      <w:tblGrid>
        <w:gridCol w:w="14196"/>
      </w:tblGrid>
      <w:tr>
        <w:tblPrEx>
          <w:tblCellMar>
            <w:top w:w="0" w:type="dxa"/>
            <w:left w:w="108" w:type="dxa"/>
            <w:bottom w:w="0" w:type="dxa"/>
            <w:right w:w="108" w:type="dxa"/>
          </w:tblCellMar>
        </w:tblPrEx>
        <w:trPr>
          <w:cantSplit/>
          <w:trHeight w:val="280" w:hRule="atLeast"/>
        </w:trPr>
        <w:tc>
          <w:tcPr>
            <w:tcW w:w="5000" w:type="pct"/>
            <w:shd w:val="clear" w:color="auto" w:fill="auto"/>
            <w:noWrap/>
            <w:vAlign w:val="center"/>
          </w:tcPr>
          <w:p>
            <w:pPr>
              <w:widowControl/>
              <w:rPr>
                <w:highlight w:val="none"/>
              </w:rPr>
            </w:pPr>
            <w:r>
              <w:rPr>
                <w:rFonts w:hint="eastAsia"/>
                <w:b/>
                <w:bCs/>
                <w:highlight w:val="none"/>
              </w:rPr>
              <w:t>1.信息来源说明：</w:t>
            </w:r>
          </w:p>
        </w:tc>
      </w:tr>
      <w:tr>
        <w:tblPrEx>
          <w:tblCellMar>
            <w:top w:w="0" w:type="dxa"/>
            <w:left w:w="108" w:type="dxa"/>
            <w:bottom w:w="0" w:type="dxa"/>
            <w:right w:w="108" w:type="dxa"/>
          </w:tblCellMar>
        </w:tblPrEx>
        <w:trPr>
          <w:cantSplit/>
          <w:trHeight w:val="1268" w:hRule="atLeast"/>
        </w:trPr>
        <w:tc>
          <w:tcPr>
            <w:tcW w:w="5000" w:type="pct"/>
            <w:shd w:val="clear" w:color="auto" w:fill="auto"/>
            <w:vAlign w:val="center"/>
          </w:tcPr>
          <w:p>
            <w:pPr>
              <w:widowControl/>
              <w:rPr>
                <w:highlight w:val="none"/>
              </w:rPr>
            </w:pPr>
            <w:r>
              <w:rPr>
                <w:rFonts w:hint="eastAsia"/>
                <w:highlight w:val="none"/>
              </w:rPr>
              <w:t>①信息来源的确定标准：一般情况下，供应商不良行为涉及到中国电信集团级采购业务的，或者不良行为是由集团公司相关部门在其直接管理的工作中发现的，信息来源确定为“集团公司”；否则信息来源确定为“省公司”。特殊情形1：“拖欠农民工工资”，仅根据上访层面判定，上访到集团公司及以上层面的信息来源确定为“集团公司”，否则确定为“省公司”；特殊情形2：“有行贿或提供不正当利益行为”，涉及中国电信集团级采购业务或采购工作的，信息来源确定为“集团公司”，否则为“省公司”；特殊情形3：“涉及围绕企业经商、靠企吃企、关联交易、违规经商、内外勾结等违规违纪事项”类目特殊，根据所涉违规违纪事项、案件的管理层级确定，事项、案件由中国电信集团级纪检监察机构管理的，信息来源确定为“集团公司”，否则确定为“省公司”。</w:t>
            </w:r>
          </w:p>
        </w:tc>
      </w:tr>
      <w:tr>
        <w:tblPrEx>
          <w:tblCellMar>
            <w:top w:w="0" w:type="dxa"/>
            <w:left w:w="108" w:type="dxa"/>
            <w:bottom w:w="0" w:type="dxa"/>
            <w:right w:w="108" w:type="dxa"/>
          </w:tblCellMar>
        </w:tblPrEx>
        <w:trPr>
          <w:cantSplit/>
          <w:trHeight w:val="280" w:hRule="atLeast"/>
        </w:trPr>
        <w:tc>
          <w:tcPr>
            <w:tcW w:w="5000" w:type="pct"/>
            <w:shd w:val="clear" w:color="auto" w:fill="auto"/>
            <w:noWrap/>
            <w:vAlign w:val="center"/>
          </w:tcPr>
          <w:p>
            <w:pPr>
              <w:widowControl/>
              <w:rPr>
                <w:highlight w:val="none"/>
              </w:rPr>
            </w:pPr>
            <w:r>
              <w:rPr>
                <w:rFonts w:hint="eastAsia"/>
                <w:highlight w:val="none"/>
              </w:rPr>
              <w:t>②信息来源同时标明“集团公司”和“省公司”字样的，表示无论信息来源是集团公司还是省公司，都适用同样的信息共享规定和处理规则。</w:t>
            </w:r>
          </w:p>
        </w:tc>
      </w:tr>
      <w:tr>
        <w:tblPrEx>
          <w:tblCellMar>
            <w:top w:w="0" w:type="dxa"/>
            <w:left w:w="108" w:type="dxa"/>
            <w:bottom w:w="0" w:type="dxa"/>
            <w:right w:w="108" w:type="dxa"/>
          </w:tblCellMar>
        </w:tblPrEx>
        <w:trPr>
          <w:cantSplit/>
          <w:trHeight w:val="280" w:hRule="atLeast"/>
        </w:trPr>
        <w:tc>
          <w:tcPr>
            <w:tcW w:w="5000" w:type="pct"/>
            <w:shd w:val="clear" w:color="auto" w:fill="auto"/>
            <w:noWrap/>
            <w:vAlign w:val="center"/>
          </w:tcPr>
          <w:p>
            <w:pPr>
              <w:widowControl/>
              <w:rPr>
                <w:highlight w:val="none"/>
              </w:rPr>
            </w:pPr>
            <w:r>
              <w:rPr>
                <w:rFonts w:hint="eastAsia"/>
                <w:b/>
                <w:bCs/>
                <w:highlight w:val="none"/>
              </w:rPr>
              <w:t>2.处理范围说明：</w:t>
            </w:r>
          </w:p>
        </w:tc>
      </w:tr>
      <w:tr>
        <w:tblPrEx>
          <w:tblCellMar>
            <w:top w:w="0" w:type="dxa"/>
            <w:left w:w="108" w:type="dxa"/>
            <w:bottom w:w="0" w:type="dxa"/>
            <w:right w:w="108" w:type="dxa"/>
          </w:tblCellMar>
        </w:tblPrEx>
        <w:trPr>
          <w:cantSplit/>
          <w:trHeight w:val="280" w:hRule="atLeast"/>
        </w:trPr>
        <w:tc>
          <w:tcPr>
            <w:tcW w:w="5000" w:type="pct"/>
            <w:shd w:val="clear" w:color="auto" w:fill="auto"/>
            <w:noWrap/>
            <w:vAlign w:val="center"/>
          </w:tcPr>
          <w:p>
            <w:pPr>
              <w:widowControl/>
              <w:rPr>
                <w:highlight w:val="none"/>
              </w:rPr>
            </w:pPr>
            <w:r>
              <w:rPr>
                <w:rFonts w:hint="eastAsia"/>
                <w:highlight w:val="none"/>
              </w:rPr>
              <w:t>①“全集团”是指在中国电信全集团范围内处理供应商。</w:t>
            </w:r>
          </w:p>
        </w:tc>
      </w:tr>
      <w:tr>
        <w:tblPrEx>
          <w:tblCellMar>
            <w:top w:w="0" w:type="dxa"/>
            <w:left w:w="108" w:type="dxa"/>
            <w:bottom w:w="0" w:type="dxa"/>
            <w:right w:w="108" w:type="dxa"/>
          </w:tblCellMar>
        </w:tblPrEx>
        <w:trPr>
          <w:cantSplit/>
          <w:trHeight w:val="280" w:hRule="atLeast"/>
        </w:trPr>
        <w:tc>
          <w:tcPr>
            <w:tcW w:w="5000" w:type="pct"/>
            <w:shd w:val="clear" w:color="auto" w:fill="auto"/>
            <w:vAlign w:val="center"/>
          </w:tcPr>
          <w:p>
            <w:pPr>
              <w:widowControl/>
              <w:rPr>
                <w:highlight w:val="none"/>
              </w:rPr>
            </w:pPr>
            <w:r>
              <w:rPr>
                <w:rFonts w:hint="eastAsia"/>
                <w:highlight w:val="none"/>
              </w:rPr>
              <w:t>②“本省公司”是指在中国电信相关省公司范围处理供应商。中国电信集团有限公司/中国电信股份有限公司直接管理的专业公司和总部直属单位，比照省公司开展供应商不良行为管理工作。</w:t>
            </w:r>
          </w:p>
        </w:tc>
      </w:tr>
      <w:tr>
        <w:tblPrEx>
          <w:tblCellMar>
            <w:top w:w="0" w:type="dxa"/>
            <w:left w:w="108" w:type="dxa"/>
            <w:bottom w:w="0" w:type="dxa"/>
            <w:right w:w="108" w:type="dxa"/>
          </w:tblCellMar>
        </w:tblPrEx>
        <w:trPr>
          <w:cantSplit/>
          <w:trHeight w:val="280" w:hRule="atLeast"/>
        </w:trPr>
        <w:tc>
          <w:tcPr>
            <w:tcW w:w="5000" w:type="pct"/>
            <w:shd w:val="clear" w:color="auto" w:fill="auto"/>
            <w:noWrap/>
            <w:vAlign w:val="center"/>
          </w:tcPr>
          <w:p>
            <w:pPr>
              <w:widowControl/>
              <w:rPr>
                <w:highlight w:val="none"/>
              </w:rPr>
            </w:pPr>
            <w:r>
              <w:rPr>
                <w:rFonts w:hint="eastAsia"/>
                <w:highlight w:val="none"/>
              </w:rPr>
              <w:t>③不良行为信息在全集团范围内共享。</w:t>
            </w:r>
          </w:p>
        </w:tc>
      </w:tr>
      <w:tr>
        <w:tblPrEx>
          <w:tblCellMar>
            <w:top w:w="0" w:type="dxa"/>
            <w:left w:w="108" w:type="dxa"/>
            <w:bottom w:w="0" w:type="dxa"/>
            <w:right w:w="108" w:type="dxa"/>
          </w:tblCellMar>
        </w:tblPrEx>
        <w:trPr>
          <w:cantSplit/>
          <w:trHeight w:val="280" w:hRule="atLeast"/>
        </w:trPr>
        <w:tc>
          <w:tcPr>
            <w:tcW w:w="5000" w:type="pct"/>
            <w:shd w:val="clear" w:color="auto" w:fill="auto"/>
            <w:noWrap/>
            <w:vAlign w:val="center"/>
          </w:tcPr>
          <w:p>
            <w:pPr>
              <w:widowControl/>
              <w:rPr>
                <w:highlight w:val="none"/>
              </w:rPr>
            </w:pPr>
            <w:r>
              <w:rPr>
                <w:rFonts w:hint="eastAsia"/>
                <w:b/>
                <w:bCs/>
                <w:highlight w:val="none"/>
              </w:rPr>
              <w:t>3.其他说明</w:t>
            </w:r>
          </w:p>
        </w:tc>
      </w:tr>
      <w:tr>
        <w:tblPrEx>
          <w:tblCellMar>
            <w:top w:w="0" w:type="dxa"/>
            <w:left w:w="108" w:type="dxa"/>
            <w:bottom w:w="0" w:type="dxa"/>
            <w:right w:w="108" w:type="dxa"/>
          </w:tblCellMar>
        </w:tblPrEx>
        <w:trPr>
          <w:cantSplit/>
          <w:trHeight w:val="330" w:hRule="atLeast"/>
        </w:trPr>
        <w:tc>
          <w:tcPr>
            <w:tcW w:w="5000" w:type="pct"/>
            <w:shd w:val="clear" w:color="auto" w:fill="auto"/>
            <w:vAlign w:val="center"/>
          </w:tcPr>
          <w:p>
            <w:pPr>
              <w:widowControl/>
              <w:rPr>
                <w:highlight w:val="none"/>
              </w:rPr>
            </w:pPr>
            <w:r>
              <w:rPr>
                <w:rFonts w:hint="eastAsia"/>
                <w:highlight w:val="none"/>
              </w:rPr>
              <w:t>①本表及备注中所涉及的“集团公司”是指中国电信集团有限公司，“省公司”是指中国电信相关省级公司。</w:t>
            </w:r>
          </w:p>
        </w:tc>
      </w:tr>
      <w:tr>
        <w:tblPrEx>
          <w:tblCellMar>
            <w:top w:w="0" w:type="dxa"/>
            <w:left w:w="108" w:type="dxa"/>
            <w:bottom w:w="0" w:type="dxa"/>
            <w:right w:w="108" w:type="dxa"/>
          </w:tblCellMar>
        </w:tblPrEx>
        <w:trPr>
          <w:cantSplit/>
          <w:trHeight w:val="255" w:hRule="atLeast"/>
        </w:trPr>
        <w:tc>
          <w:tcPr>
            <w:tcW w:w="5000" w:type="pct"/>
            <w:shd w:val="clear" w:color="auto" w:fill="auto"/>
            <w:noWrap/>
            <w:vAlign w:val="center"/>
          </w:tcPr>
          <w:p>
            <w:pPr>
              <w:widowControl/>
              <w:rPr>
                <w:highlight w:val="none"/>
              </w:rPr>
            </w:pPr>
            <w:r>
              <w:rPr>
                <w:rFonts w:hint="eastAsia"/>
                <w:highlight w:val="none"/>
              </w:rPr>
              <w:t>②上述各类目行为描述、认定标准中提及的“中国电信实施的采购项目”也包括中国电信与其他采购方联合实施的采购。</w:t>
            </w:r>
          </w:p>
        </w:tc>
      </w:tr>
      <w:tr>
        <w:tblPrEx>
          <w:tblCellMar>
            <w:top w:w="0" w:type="dxa"/>
            <w:left w:w="108" w:type="dxa"/>
            <w:bottom w:w="0" w:type="dxa"/>
            <w:right w:w="108" w:type="dxa"/>
          </w:tblCellMar>
        </w:tblPrEx>
        <w:trPr>
          <w:cantSplit/>
          <w:trHeight w:val="501" w:hRule="atLeast"/>
        </w:trPr>
        <w:tc>
          <w:tcPr>
            <w:tcW w:w="5000" w:type="pct"/>
            <w:shd w:val="clear" w:color="auto" w:fill="auto"/>
            <w:vAlign w:val="center"/>
          </w:tcPr>
          <w:p>
            <w:pPr>
              <w:widowControl/>
              <w:rPr>
                <w:highlight w:val="none"/>
              </w:rPr>
            </w:pPr>
            <w:r>
              <w:rPr>
                <w:rFonts w:hint="eastAsia"/>
                <w:highlight w:val="none"/>
              </w:rPr>
              <w:t>③关于人民法院生效判决、仲裁机构生效仲裁结果，中国电信有权以中国裁判文书网信息或向人民法院、仲裁机构走访查证、函询查证的结果为准；针对一审判决，上诉期满后供应商必须应中国电信要求及时提供已上诉的真实有效证明，否则上诉期届满的一审判决视为生效判决。</w:t>
            </w:r>
          </w:p>
        </w:tc>
      </w:tr>
    </w:tbl>
    <w:p>
      <w:pPr>
        <w:widowControl/>
        <w:rPr>
          <w:rFonts w:asciiTheme="minorEastAsia" w:hAnsiTheme="minorEastAsia" w:eastAsiaTheme="minorEastAsia"/>
          <w:b/>
          <w:highlight w:val="none"/>
        </w:rPr>
      </w:pPr>
    </w:p>
    <w:p>
      <w:pPr>
        <w:widowControl/>
        <w:rPr>
          <w:rFonts w:asciiTheme="minorEastAsia" w:hAnsiTheme="minorEastAsia" w:eastAsiaTheme="minorEastAsia"/>
          <w:b/>
          <w:highlight w:val="none"/>
        </w:rPr>
      </w:pPr>
    </w:p>
    <w:p>
      <w:pPr>
        <w:rPr>
          <w:rFonts w:asciiTheme="minorEastAsia" w:hAnsiTheme="minorEastAsia" w:eastAsiaTheme="minorEastAsia"/>
          <w:b/>
          <w:highlight w:val="none"/>
        </w:rPr>
      </w:pPr>
      <w:r>
        <w:rPr>
          <w:rFonts w:asciiTheme="minorEastAsia" w:hAnsiTheme="minorEastAsia" w:eastAsiaTheme="minorEastAsia"/>
          <w:b/>
          <w:highlight w:val="none"/>
        </w:rPr>
        <w:br w:type="page"/>
      </w:r>
    </w:p>
    <w:p>
      <w:pPr>
        <w:rPr>
          <w:rFonts w:asciiTheme="minorEastAsia" w:hAnsiTheme="minorEastAsia" w:eastAsiaTheme="minorEastAsia"/>
          <w:b/>
          <w:highlight w:val="none"/>
        </w:rPr>
      </w:pPr>
      <w:r>
        <w:rPr>
          <w:rFonts w:hint="eastAsia" w:asciiTheme="minorEastAsia" w:hAnsiTheme="minorEastAsia" w:eastAsiaTheme="minorEastAsia"/>
          <w:b/>
          <w:highlight w:val="none"/>
        </w:rPr>
        <w:t>附表2</w:t>
      </w:r>
    </w:p>
    <w:p>
      <w:pPr>
        <w:pStyle w:val="35"/>
        <w:snapToGrid w:val="0"/>
        <w:spacing w:before="0" w:after="0" w:line="360" w:lineRule="auto"/>
        <w:ind w:right="84" w:rightChars="40"/>
        <w:rPr>
          <w:rFonts w:asciiTheme="minorEastAsia" w:hAnsiTheme="minorEastAsia" w:eastAsiaTheme="minorEastAsia"/>
          <w:sz w:val="28"/>
          <w:szCs w:val="28"/>
          <w:highlight w:val="none"/>
        </w:rPr>
      </w:pPr>
      <w:bookmarkStart w:id="978" w:name="_Toc22291"/>
      <w:bookmarkStart w:id="979" w:name="_Toc71068823"/>
      <w:bookmarkStart w:id="980" w:name="_Toc17311"/>
      <w:r>
        <w:rPr>
          <w:rFonts w:hint="eastAsia" w:asciiTheme="minorEastAsia" w:hAnsiTheme="minorEastAsia" w:eastAsiaTheme="minorEastAsia"/>
          <w:sz w:val="28"/>
          <w:szCs w:val="28"/>
          <w:highlight w:val="none"/>
        </w:rPr>
        <w:t>中国电信供应商不良行为处理规则明细</w:t>
      </w:r>
      <w:bookmarkEnd w:id="978"/>
      <w:bookmarkEnd w:id="979"/>
      <w:bookmarkEnd w:id="980"/>
    </w:p>
    <w:tbl>
      <w:tblPr>
        <w:tblStyle w:val="37"/>
        <w:tblW w:w="5319" w:type="pct"/>
        <w:jc w:val="center"/>
        <w:tblLayout w:type="autofit"/>
        <w:tblCellMar>
          <w:top w:w="0" w:type="dxa"/>
          <w:left w:w="108" w:type="dxa"/>
          <w:bottom w:w="0" w:type="dxa"/>
          <w:right w:w="108" w:type="dxa"/>
        </w:tblCellMar>
      </w:tblPr>
      <w:tblGrid>
        <w:gridCol w:w="483"/>
        <w:gridCol w:w="779"/>
        <w:gridCol w:w="2860"/>
        <w:gridCol w:w="864"/>
        <w:gridCol w:w="752"/>
        <w:gridCol w:w="477"/>
        <w:gridCol w:w="776"/>
        <w:gridCol w:w="568"/>
        <w:gridCol w:w="577"/>
        <w:gridCol w:w="3640"/>
        <w:gridCol w:w="3326"/>
      </w:tblGrid>
      <w:tr>
        <w:tblPrEx>
          <w:tblCellMar>
            <w:top w:w="0" w:type="dxa"/>
            <w:left w:w="108" w:type="dxa"/>
            <w:bottom w:w="0" w:type="dxa"/>
            <w:right w:w="108" w:type="dxa"/>
          </w:tblCellMar>
        </w:tblPrEx>
        <w:trPr>
          <w:trHeight w:val="20" w:hRule="atLeast"/>
          <w:tblHeader/>
          <w:jc w:val="center"/>
        </w:trPr>
        <w:tc>
          <w:tcPr>
            <w:tcW w:w="160"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wordWrap w:val="0"/>
              <w:jc w:val="center"/>
              <w:rPr>
                <w:b/>
                <w:bCs/>
                <w:highlight w:val="none"/>
              </w:rPr>
            </w:pPr>
            <w:r>
              <w:rPr>
                <w:rFonts w:hint="eastAsia"/>
                <w:b/>
                <w:bCs/>
                <w:highlight w:val="none"/>
              </w:rPr>
              <w:t>序号</w:t>
            </w:r>
          </w:p>
        </w:tc>
        <w:tc>
          <w:tcPr>
            <w:tcW w:w="258"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wordWrap w:val="0"/>
              <w:jc w:val="center"/>
              <w:rPr>
                <w:b/>
                <w:bCs/>
                <w:highlight w:val="none"/>
              </w:rPr>
            </w:pPr>
            <w:r>
              <w:rPr>
                <w:rFonts w:hint="eastAsia"/>
                <w:b/>
                <w:bCs/>
                <w:highlight w:val="none"/>
              </w:rPr>
              <w:t>行为</w:t>
            </w:r>
            <w:r>
              <w:rPr>
                <w:rFonts w:hint="eastAsia"/>
                <w:b/>
                <w:bCs/>
                <w:highlight w:val="none"/>
              </w:rPr>
              <w:br w:type="textWrapping"/>
            </w:r>
            <w:r>
              <w:rPr>
                <w:rFonts w:hint="eastAsia"/>
                <w:b/>
                <w:bCs/>
                <w:highlight w:val="none"/>
              </w:rPr>
              <w:t>类目</w:t>
            </w:r>
          </w:p>
        </w:tc>
        <w:tc>
          <w:tcPr>
            <w:tcW w:w="947"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wordWrap w:val="0"/>
              <w:jc w:val="center"/>
              <w:rPr>
                <w:b/>
                <w:bCs/>
                <w:highlight w:val="none"/>
              </w:rPr>
            </w:pPr>
            <w:r>
              <w:rPr>
                <w:rFonts w:hint="eastAsia"/>
                <w:b/>
                <w:bCs/>
                <w:highlight w:val="none"/>
              </w:rPr>
              <w:t>行为描述及认定标准</w:t>
            </w:r>
          </w:p>
        </w:tc>
        <w:tc>
          <w:tcPr>
            <w:tcW w:w="286"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wordWrap w:val="0"/>
              <w:jc w:val="center"/>
              <w:rPr>
                <w:b/>
                <w:bCs/>
                <w:highlight w:val="none"/>
              </w:rPr>
            </w:pPr>
            <w:r>
              <w:rPr>
                <w:rFonts w:hint="eastAsia"/>
                <w:b/>
                <w:bCs/>
                <w:highlight w:val="none"/>
              </w:rPr>
              <w:t>认定部门/信息提报部门</w:t>
            </w:r>
          </w:p>
        </w:tc>
        <w:tc>
          <w:tcPr>
            <w:tcW w:w="249"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wordWrap w:val="0"/>
              <w:jc w:val="center"/>
              <w:rPr>
                <w:b/>
                <w:bCs/>
                <w:highlight w:val="none"/>
              </w:rPr>
            </w:pPr>
            <w:r>
              <w:rPr>
                <w:rFonts w:hint="eastAsia"/>
                <w:b/>
                <w:bCs/>
                <w:highlight w:val="none"/>
              </w:rPr>
              <w:t>信息来源</w:t>
            </w:r>
          </w:p>
        </w:tc>
        <w:tc>
          <w:tcPr>
            <w:tcW w:w="158"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wordWrap w:val="0"/>
              <w:jc w:val="center"/>
              <w:rPr>
                <w:b/>
                <w:bCs/>
                <w:highlight w:val="none"/>
              </w:rPr>
            </w:pPr>
            <w:r>
              <w:rPr>
                <w:rFonts w:hint="eastAsia"/>
                <w:b/>
                <w:bCs/>
                <w:highlight w:val="none"/>
              </w:rPr>
              <w:t>行为子目</w:t>
            </w:r>
          </w:p>
        </w:tc>
        <w:tc>
          <w:tcPr>
            <w:tcW w:w="257"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wordWrap w:val="0"/>
              <w:jc w:val="center"/>
              <w:rPr>
                <w:b/>
                <w:bCs/>
                <w:highlight w:val="none"/>
              </w:rPr>
            </w:pPr>
            <w:r>
              <w:rPr>
                <w:rFonts w:hint="eastAsia"/>
                <w:b/>
                <w:bCs/>
                <w:highlight w:val="none"/>
              </w:rPr>
              <w:t>行为分级</w:t>
            </w:r>
          </w:p>
        </w:tc>
        <w:tc>
          <w:tcPr>
            <w:tcW w:w="379" w:type="pct"/>
            <w:gridSpan w:val="2"/>
            <w:tcBorders>
              <w:top w:val="single" w:color="auto" w:sz="4" w:space="0"/>
              <w:left w:val="nil"/>
              <w:bottom w:val="single" w:color="auto" w:sz="4" w:space="0"/>
              <w:right w:val="single" w:color="auto" w:sz="4" w:space="0"/>
            </w:tcBorders>
            <w:shd w:val="clear" w:color="auto" w:fill="auto"/>
            <w:vAlign w:val="center"/>
          </w:tcPr>
          <w:p>
            <w:pPr>
              <w:widowControl/>
              <w:wordWrap w:val="0"/>
              <w:jc w:val="center"/>
              <w:rPr>
                <w:b/>
                <w:bCs/>
                <w:highlight w:val="none"/>
              </w:rPr>
            </w:pPr>
            <w:r>
              <w:rPr>
                <w:rFonts w:hint="eastAsia"/>
                <w:b/>
                <w:bCs/>
                <w:highlight w:val="none"/>
              </w:rPr>
              <w:t>处理范围</w:t>
            </w:r>
          </w:p>
        </w:tc>
        <w:tc>
          <w:tcPr>
            <w:tcW w:w="2306" w:type="pct"/>
            <w:gridSpan w:val="2"/>
            <w:tcBorders>
              <w:top w:val="single" w:color="auto" w:sz="4" w:space="0"/>
              <w:left w:val="nil"/>
              <w:bottom w:val="single" w:color="auto" w:sz="4" w:space="0"/>
              <w:right w:val="single" w:color="auto" w:sz="4" w:space="0"/>
            </w:tcBorders>
            <w:shd w:val="clear" w:color="auto" w:fill="auto"/>
            <w:vAlign w:val="center"/>
          </w:tcPr>
          <w:p>
            <w:pPr>
              <w:widowControl/>
              <w:wordWrap w:val="0"/>
              <w:jc w:val="center"/>
              <w:rPr>
                <w:b/>
                <w:bCs/>
                <w:highlight w:val="none"/>
              </w:rPr>
            </w:pPr>
            <w:r>
              <w:rPr>
                <w:rFonts w:hint="eastAsia"/>
                <w:b/>
                <w:bCs/>
                <w:highlight w:val="none"/>
              </w:rPr>
              <w:t>处理规则</w:t>
            </w:r>
          </w:p>
        </w:tc>
      </w:tr>
      <w:tr>
        <w:tblPrEx>
          <w:tblCellMar>
            <w:top w:w="0" w:type="dxa"/>
            <w:left w:w="108" w:type="dxa"/>
            <w:bottom w:w="0" w:type="dxa"/>
            <w:right w:w="108" w:type="dxa"/>
          </w:tblCellMar>
        </w:tblPrEx>
        <w:trPr>
          <w:trHeight w:val="20" w:hRule="atLeast"/>
          <w:tblHeader/>
          <w:jc w:val="center"/>
        </w:trPr>
        <w:tc>
          <w:tcPr>
            <w:tcW w:w="160" w:type="pct"/>
            <w:vMerge w:val="continue"/>
            <w:tcBorders>
              <w:top w:val="single" w:color="auto" w:sz="4" w:space="0"/>
              <w:left w:val="single" w:color="auto" w:sz="4" w:space="0"/>
              <w:bottom w:val="single" w:color="auto" w:sz="4" w:space="0"/>
              <w:right w:val="single" w:color="auto" w:sz="4" w:space="0"/>
            </w:tcBorders>
            <w:vAlign w:val="center"/>
          </w:tcPr>
          <w:p>
            <w:pPr>
              <w:widowControl/>
              <w:wordWrap w:val="0"/>
              <w:rPr>
                <w:b/>
                <w:bCs/>
                <w:highlight w:val="none"/>
              </w:rPr>
            </w:pPr>
          </w:p>
        </w:tc>
        <w:tc>
          <w:tcPr>
            <w:tcW w:w="258" w:type="pct"/>
            <w:vMerge w:val="continue"/>
            <w:tcBorders>
              <w:top w:val="single" w:color="auto" w:sz="4" w:space="0"/>
              <w:left w:val="single" w:color="auto" w:sz="4" w:space="0"/>
              <w:bottom w:val="single" w:color="auto" w:sz="4" w:space="0"/>
              <w:right w:val="single" w:color="auto" w:sz="4" w:space="0"/>
            </w:tcBorders>
            <w:vAlign w:val="center"/>
          </w:tcPr>
          <w:p>
            <w:pPr>
              <w:widowControl/>
              <w:wordWrap w:val="0"/>
              <w:rPr>
                <w:b/>
                <w:bCs/>
                <w:highlight w:val="none"/>
              </w:rPr>
            </w:pPr>
          </w:p>
        </w:tc>
        <w:tc>
          <w:tcPr>
            <w:tcW w:w="947" w:type="pct"/>
            <w:vMerge w:val="continue"/>
            <w:tcBorders>
              <w:top w:val="single" w:color="auto" w:sz="4" w:space="0"/>
              <w:left w:val="single" w:color="auto" w:sz="4" w:space="0"/>
              <w:bottom w:val="single" w:color="auto" w:sz="4" w:space="0"/>
              <w:right w:val="single" w:color="auto" w:sz="4" w:space="0"/>
            </w:tcBorders>
            <w:vAlign w:val="center"/>
          </w:tcPr>
          <w:p>
            <w:pPr>
              <w:widowControl/>
              <w:wordWrap w:val="0"/>
              <w:rPr>
                <w:b/>
                <w:bCs/>
                <w:highlight w:val="none"/>
              </w:rPr>
            </w:pPr>
          </w:p>
        </w:tc>
        <w:tc>
          <w:tcPr>
            <w:tcW w:w="286" w:type="pct"/>
            <w:vMerge w:val="continue"/>
            <w:tcBorders>
              <w:top w:val="single" w:color="auto" w:sz="4" w:space="0"/>
              <w:left w:val="single" w:color="auto" w:sz="4" w:space="0"/>
              <w:bottom w:val="single" w:color="auto" w:sz="4" w:space="0"/>
              <w:right w:val="single" w:color="auto" w:sz="4" w:space="0"/>
            </w:tcBorders>
            <w:vAlign w:val="center"/>
          </w:tcPr>
          <w:p>
            <w:pPr>
              <w:widowControl/>
              <w:wordWrap w:val="0"/>
              <w:rPr>
                <w:b/>
                <w:bCs/>
                <w:highlight w:val="none"/>
              </w:rPr>
            </w:pPr>
          </w:p>
        </w:tc>
        <w:tc>
          <w:tcPr>
            <w:tcW w:w="249" w:type="pct"/>
            <w:vMerge w:val="continue"/>
            <w:tcBorders>
              <w:top w:val="single" w:color="auto" w:sz="4" w:space="0"/>
              <w:left w:val="single" w:color="auto" w:sz="4" w:space="0"/>
              <w:bottom w:val="single" w:color="auto" w:sz="4" w:space="0"/>
              <w:right w:val="single" w:color="auto" w:sz="4" w:space="0"/>
            </w:tcBorders>
            <w:vAlign w:val="center"/>
          </w:tcPr>
          <w:p>
            <w:pPr>
              <w:widowControl/>
              <w:wordWrap w:val="0"/>
              <w:rPr>
                <w:b/>
                <w:bCs/>
                <w:highlight w:val="none"/>
              </w:rPr>
            </w:pPr>
          </w:p>
        </w:tc>
        <w:tc>
          <w:tcPr>
            <w:tcW w:w="158" w:type="pct"/>
            <w:vMerge w:val="continue"/>
            <w:tcBorders>
              <w:top w:val="single" w:color="auto" w:sz="4" w:space="0"/>
              <w:left w:val="single" w:color="auto" w:sz="4" w:space="0"/>
              <w:bottom w:val="single" w:color="auto" w:sz="4" w:space="0"/>
              <w:right w:val="single" w:color="auto" w:sz="4" w:space="0"/>
            </w:tcBorders>
            <w:vAlign w:val="center"/>
          </w:tcPr>
          <w:p>
            <w:pPr>
              <w:widowControl/>
              <w:wordWrap w:val="0"/>
              <w:rPr>
                <w:b/>
                <w:bCs/>
                <w:highlight w:val="none"/>
              </w:rPr>
            </w:pPr>
          </w:p>
        </w:tc>
        <w:tc>
          <w:tcPr>
            <w:tcW w:w="257" w:type="pct"/>
            <w:vMerge w:val="continue"/>
            <w:tcBorders>
              <w:top w:val="single" w:color="auto" w:sz="4" w:space="0"/>
              <w:left w:val="single" w:color="auto" w:sz="4" w:space="0"/>
              <w:bottom w:val="single" w:color="auto" w:sz="4" w:space="0"/>
              <w:right w:val="single" w:color="auto" w:sz="4" w:space="0"/>
            </w:tcBorders>
            <w:vAlign w:val="center"/>
          </w:tcPr>
          <w:p>
            <w:pPr>
              <w:widowControl/>
              <w:wordWrap w:val="0"/>
              <w:rPr>
                <w:b/>
                <w:bCs/>
                <w:highlight w:val="none"/>
              </w:rPr>
            </w:pP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b/>
                <w:bCs/>
                <w:highlight w:val="none"/>
              </w:rPr>
            </w:pPr>
            <w:r>
              <w:rPr>
                <w:rFonts w:hint="eastAsia"/>
                <w:b/>
                <w:bCs/>
                <w:highlight w:val="none"/>
              </w:rPr>
              <w:t>全集团</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b/>
                <w:bCs/>
                <w:highlight w:val="none"/>
              </w:rPr>
            </w:pPr>
            <w:r>
              <w:rPr>
                <w:rFonts w:hint="eastAsia"/>
                <w:b/>
                <w:bCs/>
                <w:highlight w:val="none"/>
              </w:rPr>
              <w:t>本省公司</w:t>
            </w:r>
          </w:p>
        </w:tc>
        <w:tc>
          <w:tcPr>
            <w:tcW w:w="1205" w:type="pct"/>
            <w:tcBorders>
              <w:top w:val="nil"/>
              <w:left w:val="nil"/>
              <w:bottom w:val="single" w:color="auto" w:sz="4" w:space="0"/>
              <w:right w:val="single" w:color="auto" w:sz="4" w:space="0"/>
            </w:tcBorders>
            <w:shd w:val="clear" w:color="auto" w:fill="auto"/>
            <w:vAlign w:val="center"/>
          </w:tcPr>
          <w:p>
            <w:pPr>
              <w:widowControl/>
              <w:wordWrap w:val="0"/>
              <w:jc w:val="center"/>
              <w:rPr>
                <w:b/>
                <w:bCs/>
                <w:highlight w:val="none"/>
              </w:rPr>
            </w:pPr>
            <w:r>
              <w:rPr>
                <w:rFonts w:hint="eastAsia"/>
                <w:b/>
                <w:bCs/>
                <w:highlight w:val="none"/>
              </w:rPr>
              <w:t>在充足供应源市场的</w:t>
            </w:r>
            <w:r>
              <w:rPr>
                <w:rFonts w:hint="eastAsia"/>
                <w:b/>
                <w:bCs/>
                <w:highlight w:val="none"/>
              </w:rPr>
              <w:br w:type="textWrapping"/>
            </w:r>
            <w:r>
              <w:rPr>
                <w:rFonts w:hint="eastAsia"/>
                <w:b/>
                <w:bCs/>
                <w:highlight w:val="none"/>
              </w:rPr>
              <w:t>禁限制期和处理措施</w:t>
            </w:r>
          </w:p>
        </w:tc>
        <w:tc>
          <w:tcPr>
            <w:tcW w:w="1100" w:type="pct"/>
            <w:tcBorders>
              <w:top w:val="nil"/>
              <w:left w:val="nil"/>
              <w:bottom w:val="single" w:color="auto" w:sz="4" w:space="0"/>
              <w:right w:val="single" w:color="auto" w:sz="4" w:space="0"/>
            </w:tcBorders>
            <w:shd w:val="clear" w:color="auto" w:fill="auto"/>
            <w:vAlign w:val="center"/>
          </w:tcPr>
          <w:p>
            <w:pPr>
              <w:widowControl/>
              <w:wordWrap w:val="0"/>
              <w:jc w:val="center"/>
              <w:rPr>
                <w:b/>
                <w:bCs/>
                <w:highlight w:val="none"/>
              </w:rPr>
            </w:pPr>
            <w:r>
              <w:rPr>
                <w:rFonts w:hint="eastAsia"/>
                <w:b/>
                <w:bCs/>
                <w:highlight w:val="none"/>
              </w:rPr>
              <w:t>在有限供应源市场的</w:t>
            </w:r>
            <w:r>
              <w:rPr>
                <w:rFonts w:hint="eastAsia"/>
                <w:b/>
                <w:bCs/>
                <w:highlight w:val="none"/>
              </w:rPr>
              <w:br w:type="textWrapping"/>
            </w:r>
            <w:r>
              <w:rPr>
                <w:rFonts w:hint="eastAsia"/>
                <w:b/>
                <w:bCs/>
                <w:highlight w:val="none"/>
              </w:rPr>
              <w:t>禁限制期和处理措施</w:t>
            </w:r>
          </w:p>
        </w:tc>
      </w:tr>
      <w:tr>
        <w:tblPrEx>
          <w:tblCellMar>
            <w:top w:w="0" w:type="dxa"/>
            <w:left w:w="108" w:type="dxa"/>
            <w:bottom w:w="0" w:type="dxa"/>
            <w:right w:w="108" w:type="dxa"/>
          </w:tblCellMar>
        </w:tblPrEx>
        <w:trPr>
          <w:trHeight w:val="20" w:hRule="atLeast"/>
          <w:jc w:val="center"/>
        </w:trPr>
        <w:tc>
          <w:tcPr>
            <w:tcW w:w="160" w:type="pc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1</w:t>
            </w:r>
          </w:p>
        </w:tc>
        <w:tc>
          <w:tcPr>
            <w:tcW w:w="2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单位行贿罪</w:t>
            </w:r>
          </w:p>
        </w:tc>
        <w:tc>
          <w:tcPr>
            <w:tcW w:w="947"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1.行为描述：近5年内，供应商被判处单位行贿罪，且行贿行为与采购活动相关的</w:t>
            </w:r>
            <w:r>
              <w:rPr>
                <w:rFonts w:hint="eastAsia"/>
                <w:highlight w:val="none"/>
              </w:rPr>
              <w:br w:type="textWrapping"/>
            </w:r>
            <w:r>
              <w:rPr>
                <w:rFonts w:hint="eastAsia"/>
                <w:highlight w:val="none"/>
              </w:rPr>
              <w:t>2.认定标准：人民法院生效判决（说明：每例相关的生效判决计为一例不良行为）</w:t>
            </w:r>
          </w:p>
        </w:tc>
        <w:tc>
          <w:tcPr>
            <w:tcW w:w="286"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采购归口管理部门或采购实施部门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特别严重不良行为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针对其中与采购活动相关的行为：</w:t>
            </w:r>
            <w:r>
              <w:rPr>
                <w:rFonts w:hint="eastAsia"/>
                <w:highlight w:val="none"/>
              </w:rPr>
              <w:br w:type="textWrapping"/>
            </w:r>
            <w:r>
              <w:rPr>
                <w:rFonts w:hint="eastAsia"/>
                <w:highlight w:val="none"/>
              </w:rPr>
              <w:t>1.禁限期：自不良行为处理结果发布次日开始，终止于生效判决日起算满5年之日</w:t>
            </w:r>
            <w:r>
              <w:rPr>
                <w:rFonts w:hint="eastAsia"/>
                <w:highlight w:val="none"/>
              </w:rPr>
              <w:br w:type="textWrapping"/>
            </w:r>
            <w:r>
              <w:rPr>
                <w:rFonts w:hint="eastAsia"/>
                <w:highlight w:val="none"/>
              </w:rPr>
              <w:t>2.禁止采购：取消禁限期内供应商所有充足供应源市场产品品类参与竞争性采购的资格</w:t>
            </w:r>
            <w:r>
              <w:rPr>
                <w:rFonts w:hint="eastAsia"/>
                <w:highlight w:val="none"/>
              </w:rPr>
              <w:br w:type="textWrapping"/>
            </w:r>
            <w:r>
              <w:rPr>
                <w:rFonts w:hint="eastAsia"/>
                <w:highlight w:val="none"/>
              </w:rPr>
              <w:t>3.取消份额：取消供应商所有充足供应源市场产品品类集中采购项目的未执行份额</w:t>
            </w:r>
            <w:r>
              <w:rPr>
                <w:rFonts w:hint="eastAsia"/>
                <w:highlight w:val="none"/>
              </w:rPr>
              <w:br w:type="textWrapping"/>
            </w:r>
            <w:r>
              <w:rPr>
                <w:rFonts w:hint="eastAsia"/>
                <w:highlight w:val="none"/>
              </w:rPr>
              <w:t>4.降级：调整所有充足供应源市场产品品类供应商分级结果为不合格</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针对其中与采购活动相关的行为：</w:t>
            </w:r>
            <w:r>
              <w:rPr>
                <w:rFonts w:hint="eastAsia"/>
                <w:highlight w:val="none"/>
              </w:rPr>
              <w:br w:type="textWrapping"/>
            </w:r>
            <w:r>
              <w:rPr>
                <w:rFonts w:hint="eastAsia"/>
                <w:highlight w:val="none"/>
              </w:rPr>
              <w:t>1.禁限期：自不良行为处理结果发布次日开始，终止于生效判决日起算满5年之日</w:t>
            </w:r>
            <w:r>
              <w:rPr>
                <w:rFonts w:hint="eastAsia"/>
                <w:highlight w:val="none"/>
              </w:rPr>
              <w:br w:type="textWrapping"/>
            </w:r>
            <w:r>
              <w:rPr>
                <w:rFonts w:hint="eastAsia"/>
                <w:highlight w:val="none"/>
              </w:rPr>
              <w:t>2.禁止采购：取消禁限期内供应商所有有限供应源市场产品品类参与竞争性采购的资格</w:t>
            </w:r>
            <w:r>
              <w:rPr>
                <w:rFonts w:hint="eastAsia"/>
                <w:highlight w:val="none"/>
              </w:rPr>
              <w:br w:type="textWrapping"/>
            </w:r>
            <w:r>
              <w:rPr>
                <w:rFonts w:hint="eastAsia"/>
                <w:highlight w:val="none"/>
              </w:rPr>
              <w:t>3.取消份额：取消供应商所有有限供应源市场产品品类集中采购项目的未执行份额</w:t>
            </w:r>
            <w:r>
              <w:rPr>
                <w:rFonts w:hint="eastAsia"/>
                <w:highlight w:val="none"/>
              </w:rPr>
              <w:br w:type="textWrapping"/>
            </w:r>
            <w:r>
              <w:rPr>
                <w:rFonts w:hint="eastAsia"/>
                <w:highlight w:val="none"/>
              </w:rPr>
              <w:t>4.降级：调整所有有限供应源市场产品品类供应商分级结果为不合格</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2</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有行贿或提供不正当利益行为</w:t>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1.行为描述：供应商或其人员对中国电信实施的采购项目/采购工作的相关人员行贿或提供不正当利益的</w:t>
            </w:r>
            <w:r>
              <w:rPr>
                <w:rFonts w:hint="eastAsia"/>
                <w:highlight w:val="none"/>
              </w:rPr>
              <w:br w:type="textWrapping"/>
            </w:r>
            <w:r>
              <w:rPr>
                <w:rFonts w:hint="eastAsia"/>
                <w:highlight w:val="none"/>
              </w:rPr>
              <w:t>2.认定标准：中国电信纪检监察机构认定为事实并通报到公司采购部门</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集团或省公司级纪检监察机构</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涉及集团级采购</w:t>
            </w:r>
          </w:p>
        </w:tc>
        <w:tc>
          <w:tcPr>
            <w:tcW w:w="25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2.限制采购：禁限期内供应商所有供应源市场产品品类参与竞争性采购时，针对每例行为：采用综合评估法进行评审的，扣减综合得分（总分）3分；采用经评审的最低投标价法进行评审的，核增评审价格3%</w:t>
            </w:r>
            <w:r>
              <w:rPr>
                <w:rFonts w:hint="eastAsia"/>
                <w:highlight w:val="none"/>
              </w:rPr>
              <w:br w:type="textWrapping"/>
            </w:r>
            <w:r>
              <w:rPr>
                <w:rFonts w:hint="eastAsia"/>
                <w:highlight w:val="none"/>
              </w:rPr>
              <w:t>3.降级：调整所有充足供应源市场产品品类供应商分级结果至下一级</w:t>
            </w:r>
            <w:r>
              <w:rPr>
                <w:rFonts w:hint="eastAsia"/>
                <w:highlight w:val="none"/>
              </w:rPr>
              <w:br w:type="textWrapping"/>
            </w:r>
            <w:r>
              <w:rPr>
                <w:rFonts w:hint="eastAsia"/>
                <w:highlight w:val="none"/>
              </w:rPr>
              <w:t>4.约谈</w:t>
            </w:r>
            <w:r>
              <w:rPr>
                <w:rFonts w:hint="eastAsia"/>
                <w:highlight w:val="none"/>
              </w:rPr>
              <w:br w:type="textWrapping"/>
            </w:r>
            <w:r>
              <w:rPr>
                <w:rFonts w:hint="eastAsia"/>
                <w:highlight w:val="none"/>
              </w:rPr>
              <w:t>5.调整涉事人员：供应商应调整不良行为涉事人员岗位，禁限期内涉事人员不得代表其参与中国电信采购活动</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2.限制采购：禁限期内供应商所有有限供应源市场产品品类参与竞争性采购时，针对每例行为：采用综合评估法进行评审的，扣减综合得分（总分）1.5分；采用经评审的最低投标价法进行评审的，核增评审价格1.5%</w:t>
            </w:r>
            <w:r>
              <w:rPr>
                <w:rFonts w:hint="eastAsia"/>
                <w:highlight w:val="none"/>
              </w:rPr>
              <w:br w:type="textWrapping"/>
            </w:r>
            <w:r>
              <w:rPr>
                <w:rFonts w:hint="eastAsia"/>
                <w:highlight w:val="none"/>
              </w:rPr>
              <w:t>3.降级：调整所有有限供应源市场产品品类供应商分级结果至下一级（如因此降到不合格级，须经决策审批通过）</w:t>
            </w:r>
            <w:r>
              <w:rPr>
                <w:rFonts w:hint="eastAsia"/>
                <w:highlight w:val="none"/>
              </w:rPr>
              <w:br w:type="textWrapping"/>
            </w:r>
            <w:r>
              <w:rPr>
                <w:rFonts w:hint="eastAsia"/>
                <w:highlight w:val="none"/>
              </w:rPr>
              <w:t>4.约谈</w:t>
            </w:r>
            <w:r>
              <w:rPr>
                <w:rFonts w:hint="eastAsia"/>
                <w:highlight w:val="none"/>
              </w:rPr>
              <w:br w:type="textWrapping"/>
            </w:r>
            <w:r>
              <w:rPr>
                <w:rFonts w:hint="eastAsia"/>
                <w:highlight w:val="none"/>
              </w:rPr>
              <w:t>5.调整涉事人员：供应商应调整不良行为涉事人员岗位，禁限期内涉事人员不得代表其参与中国电信采购活动</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不涉及集团级采购</w:t>
            </w:r>
          </w:p>
        </w:tc>
        <w:tc>
          <w:tcPr>
            <w:tcW w:w="25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2.限制采购：禁限期内供应商所有供应源市场产品品类参与竞争性采购时，针对每例行为：采用综合评估法进行评审的，扣减综合得分（总分）3分；采用经评审的最低投标价法进行评审的，核增评审价格3%</w:t>
            </w:r>
            <w:r>
              <w:rPr>
                <w:rFonts w:hint="eastAsia"/>
                <w:highlight w:val="none"/>
              </w:rPr>
              <w:br w:type="textWrapping"/>
            </w:r>
            <w:r>
              <w:rPr>
                <w:rFonts w:hint="eastAsia"/>
                <w:highlight w:val="none"/>
              </w:rPr>
              <w:t>3.降级：调整所有充足供应源市场产品品类供应商分级结果至下一级</w:t>
            </w:r>
            <w:r>
              <w:rPr>
                <w:rFonts w:hint="eastAsia"/>
                <w:highlight w:val="none"/>
              </w:rPr>
              <w:br w:type="textWrapping"/>
            </w:r>
            <w:r>
              <w:rPr>
                <w:rFonts w:hint="eastAsia"/>
                <w:highlight w:val="none"/>
              </w:rPr>
              <w:t>4.约谈</w:t>
            </w:r>
            <w:r>
              <w:rPr>
                <w:rFonts w:hint="eastAsia"/>
                <w:highlight w:val="none"/>
              </w:rPr>
              <w:br w:type="textWrapping"/>
            </w:r>
            <w:r>
              <w:rPr>
                <w:rFonts w:hint="eastAsia"/>
                <w:highlight w:val="none"/>
              </w:rPr>
              <w:t>5.调整涉事人员：供应商应调整不良行为涉事人员岗位，禁限期内涉事人员不得代表其参与中国电信采购活动</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2.限制采购：禁限期内供应商所有有限供应源市场产品品类参与竞争性采购时，针对每例行为：采用综合评估法进行评审的，扣减综合得分（总分）1.5分；采用经评审的最低投标价法进行评审的，核增评审价格1.5%</w:t>
            </w:r>
            <w:r>
              <w:rPr>
                <w:rFonts w:hint="eastAsia"/>
                <w:highlight w:val="none"/>
              </w:rPr>
              <w:br w:type="textWrapping"/>
            </w:r>
            <w:r>
              <w:rPr>
                <w:rFonts w:hint="eastAsia"/>
                <w:highlight w:val="none"/>
              </w:rPr>
              <w:t>3.降级：调整所有有限供应源市场产品品类供应商分级结果至下一级（如因此降到不合格级，须经决策审批通过）</w:t>
            </w:r>
            <w:r>
              <w:rPr>
                <w:rFonts w:hint="eastAsia"/>
                <w:highlight w:val="none"/>
              </w:rPr>
              <w:br w:type="textWrapping"/>
            </w:r>
            <w:r>
              <w:rPr>
                <w:rFonts w:hint="eastAsia"/>
                <w:highlight w:val="none"/>
              </w:rPr>
              <w:t>4.约谈</w:t>
            </w:r>
            <w:r>
              <w:rPr>
                <w:rFonts w:hint="eastAsia"/>
                <w:highlight w:val="none"/>
              </w:rPr>
              <w:br w:type="textWrapping"/>
            </w:r>
            <w:r>
              <w:rPr>
                <w:rFonts w:hint="eastAsia"/>
                <w:highlight w:val="none"/>
              </w:rPr>
              <w:t>5.调整涉事人员：供应商应调整不良行为涉事人员岗位，禁限期内涉事人员不得代表其参与中国电信采购活动</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3</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串通投标</w:t>
            </w:r>
          </w:p>
        </w:tc>
        <w:tc>
          <w:tcPr>
            <w:tcW w:w="947" w:type="pct"/>
            <w:vMerge w:val="restart"/>
            <w:tcBorders>
              <w:top w:val="nil"/>
              <w:left w:val="single" w:color="auto" w:sz="4" w:space="0"/>
              <w:bottom w:val="single" w:color="000000" w:sz="4" w:space="0"/>
              <w:right w:val="single" w:color="auto" w:sz="4" w:space="0"/>
            </w:tcBorders>
            <w:shd w:val="clear" w:color="auto" w:fill="auto"/>
            <w:vAlign w:val="center"/>
          </w:tcPr>
          <w:p>
            <w:pPr>
              <w:widowControl/>
              <w:wordWrap w:val="0"/>
              <w:rPr>
                <w:highlight w:val="none"/>
              </w:rPr>
            </w:pPr>
            <w:r>
              <w:rPr>
                <w:rFonts w:hint="eastAsia"/>
                <w:highlight w:val="none"/>
              </w:rPr>
              <w:t>1.行为描述：</w:t>
            </w:r>
            <w:r>
              <w:rPr>
                <w:rFonts w:hint="eastAsia"/>
                <w:highlight w:val="none"/>
              </w:rPr>
              <w:br w:type="page"/>
            </w:r>
          </w:p>
          <w:p>
            <w:pPr>
              <w:widowControl/>
              <w:wordWrap w:val="0"/>
              <w:rPr>
                <w:highlight w:val="none"/>
              </w:rPr>
            </w:pPr>
            <w:r>
              <w:rPr>
                <w:rFonts w:hint="eastAsia"/>
                <w:highlight w:val="none"/>
              </w:rPr>
              <w:t>（1）在中国电信实施的采购项目，具有《中华人民共和国招标投标法实施条例》第三十九条、第四十条规定的串通投标情形的，也包括中国电信实施的非招标方式采购项目和中国电信以招标、比选等各类竞争性采购形式实施的废旧闲置物资处置项目中的串通或同类行为</w:t>
            </w:r>
            <w:r>
              <w:rPr>
                <w:rFonts w:hint="eastAsia"/>
                <w:highlight w:val="none"/>
              </w:rPr>
              <w:br w:type="page"/>
            </w:r>
          </w:p>
          <w:p>
            <w:pPr>
              <w:widowControl/>
              <w:wordWrap w:val="0"/>
              <w:rPr>
                <w:highlight w:val="none"/>
              </w:rPr>
            </w:pPr>
            <w:r>
              <w:rPr>
                <w:rFonts w:hint="eastAsia"/>
                <w:highlight w:val="none"/>
              </w:rPr>
              <w:t>（2）在以拍卖方式实施的中国电信的废旧闲置物资处置项目中，存在《拍卖法》第三十七条所指向的恶意串通行为</w:t>
            </w:r>
            <w:r>
              <w:rPr>
                <w:rFonts w:hint="eastAsia"/>
                <w:highlight w:val="none"/>
              </w:rPr>
              <w:br w:type="page"/>
            </w:r>
          </w:p>
          <w:p>
            <w:pPr>
              <w:widowControl/>
              <w:wordWrap w:val="0"/>
              <w:rPr>
                <w:highlight w:val="none"/>
              </w:rPr>
            </w:pPr>
            <w:r>
              <w:rPr>
                <w:rFonts w:hint="eastAsia"/>
                <w:highlight w:val="none"/>
              </w:rPr>
              <w:t>2.认定标准：</w:t>
            </w:r>
          </w:p>
          <w:p>
            <w:pPr>
              <w:widowControl/>
              <w:wordWrap w:val="0"/>
              <w:rPr>
                <w:highlight w:val="none"/>
              </w:rPr>
            </w:pPr>
            <w:r>
              <w:rPr>
                <w:rFonts w:hint="eastAsia"/>
                <w:highlight w:val="none"/>
              </w:rPr>
              <w:t>针对行为描述（1），合同签订前发现的，由资格审查委员会/评标委员会/相应项目评审机构依法依规认定；合同签订后发现的，由中国电信采购实施部门组织认定。国家相关机构或中国电信法律部门有认定的，以其认定结果为准</w:t>
            </w:r>
          </w:p>
          <w:p>
            <w:pPr>
              <w:widowControl/>
              <w:wordWrap w:val="0"/>
              <w:rPr>
                <w:highlight w:val="none"/>
              </w:rPr>
            </w:pPr>
            <w:r>
              <w:rPr>
                <w:rFonts w:hint="eastAsia"/>
                <w:highlight w:val="none"/>
              </w:rPr>
              <w:br w:type="page"/>
            </w:r>
            <w:r>
              <w:rPr>
                <w:rFonts w:hint="eastAsia"/>
                <w:highlight w:val="none"/>
              </w:rPr>
              <w:t>针对行为描述（2），人民法院或市场行政监督管理部作出具相关认定结果。</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采购归口管理部门或采购实施部门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2.禁止采购：取消禁限期内供应商不良行为涉及充足供应源市场产品品类参与竞争性采购的资格</w:t>
            </w:r>
            <w:r>
              <w:rPr>
                <w:rFonts w:hint="eastAsia"/>
                <w:highlight w:val="none"/>
              </w:rPr>
              <w:br w:type="page"/>
            </w:r>
          </w:p>
          <w:p>
            <w:pPr>
              <w:widowControl/>
              <w:wordWrap w:val="0"/>
              <w:rPr>
                <w:highlight w:val="none"/>
              </w:rPr>
            </w:pPr>
            <w:r>
              <w:rPr>
                <w:rFonts w:hint="eastAsia"/>
                <w:highlight w:val="none"/>
              </w:rPr>
              <w:t>3.降级：调整不良行为涉及充足供应源市场产品品类相关供应商分级结果至下一级</w:t>
            </w:r>
          </w:p>
          <w:p>
            <w:pPr>
              <w:widowControl/>
              <w:wordWrap w:val="0"/>
              <w:rPr>
                <w:highlight w:val="none"/>
              </w:rPr>
            </w:pPr>
            <w:r>
              <w:rPr>
                <w:rFonts w:hint="eastAsia"/>
                <w:highlight w:val="none"/>
              </w:rPr>
              <w:br w:type="page"/>
            </w:r>
            <w:r>
              <w:rPr>
                <w:rFonts w:hint="eastAsia"/>
                <w:highlight w:val="none"/>
              </w:rPr>
              <w:t>4.约谈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page"/>
            </w:r>
          </w:p>
          <w:p>
            <w:pPr>
              <w:widowControl/>
              <w:wordWrap w:val="0"/>
              <w:rPr>
                <w:highlight w:val="none"/>
              </w:rPr>
            </w:pPr>
            <w:r>
              <w:rPr>
                <w:rFonts w:hint="eastAsia"/>
                <w:highlight w:val="none"/>
              </w:rPr>
              <w:t>2.禁止采购：取消禁限期内供应商不良行为涉及有限供应源市场产品品类参与竞争性采购的资格</w:t>
            </w:r>
          </w:p>
          <w:p>
            <w:pPr>
              <w:widowControl/>
              <w:wordWrap w:val="0"/>
              <w:rPr>
                <w:highlight w:val="none"/>
              </w:rPr>
            </w:pPr>
            <w:r>
              <w:rPr>
                <w:rFonts w:hint="eastAsia"/>
                <w:highlight w:val="none"/>
              </w:rPr>
              <w:br w:type="page"/>
            </w:r>
            <w:r>
              <w:rPr>
                <w:rFonts w:hint="eastAsia"/>
                <w:highlight w:val="none"/>
              </w:rPr>
              <w:t>3.降级：调整不良行为涉及有限供应源市场产品品类相关供应商分级结果至下一级</w:t>
            </w:r>
          </w:p>
          <w:p>
            <w:pPr>
              <w:widowControl/>
              <w:wordWrap w:val="0"/>
              <w:rPr>
                <w:highlight w:val="none"/>
              </w:rPr>
            </w:pPr>
            <w:r>
              <w:rPr>
                <w:rFonts w:hint="eastAsia"/>
                <w:highlight w:val="none"/>
              </w:rPr>
              <w:br w:type="page"/>
            </w:r>
            <w:r>
              <w:rPr>
                <w:rFonts w:hint="eastAsia"/>
                <w:highlight w:val="none"/>
              </w:rPr>
              <w:t>4.约谈</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000000"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3.降级：调整不良行为涉及充足供应源市场产品品类相关供应商分级结果至下一级</w:t>
            </w:r>
            <w:r>
              <w:rPr>
                <w:rFonts w:hint="eastAsia"/>
                <w:highlight w:val="none"/>
              </w:rPr>
              <w:br w:type="textWrapping"/>
            </w:r>
            <w:r>
              <w:rPr>
                <w:rFonts w:hint="eastAsia"/>
                <w:highlight w:val="none"/>
              </w:rPr>
              <w:t>4.约谈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2.禁止采购：取消禁限期内供应商不良行为涉及有限供应源市场产品品类参与竞争性采购的资格</w:t>
            </w:r>
            <w:r>
              <w:rPr>
                <w:rFonts w:hint="eastAsia"/>
                <w:highlight w:val="none"/>
              </w:rPr>
              <w:br w:type="textWrapping"/>
            </w:r>
            <w:r>
              <w:rPr>
                <w:rFonts w:hint="eastAsia"/>
                <w:highlight w:val="none"/>
              </w:rPr>
              <w:t>3.降级：调整不良行为涉及有限供应源市场产品品类相关供应商分级结果至下一级</w:t>
            </w:r>
            <w:r>
              <w:rPr>
                <w:rFonts w:hint="eastAsia"/>
                <w:highlight w:val="none"/>
              </w:rPr>
              <w:br w:type="textWrapping"/>
            </w:r>
            <w:r>
              <w:rPr>
                <w:rFonts w:hint="eastAsia"/>
                <w:highlight w:val="none"/>
              </w:rPr>
              <w:t>4.约谈</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4</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虚假投标</w:t>
            </w:r>
          </w:p>
        </w:tc>
        <w:tc>
          <w:tcPr>
            <w:tcW w:w="947" w:type="pct"/>
            <w:vMerge w:val="restart"/>
            <w:tcBorders>
              <w:top w:val="nil"/>
              <w:left w:val="single" w:color="auto" w:sz="4" w:space="0"/>
              <w:bottom w:val="single" w:color="000000" w:sz="4" w:space="0"/>
              <w:right w:val="single" w:color="auto" w:sz="4" w:space="0"/>
            </w:tcBorders>
            <w:shd w:val="clear" w:color="auto" w:fill="auto"/>
            <w:vAlign w:val="center"/>
          </w:tcPr>
          <w:p>
            <w:pPr>
              <w:widowControl/>
              <w:wordWrap w:val="0"/>
              <w:rPr>
                <w:highlight w:val="none"/>
              </w:rPr>
            </w:pPr>
            <w:r>
              <w:rPr>
                <w:rFonts w:hint="eastAsia"/>
                <w:highlight w:val="none"/>
              </w:rPr>
              <w:t>1.行为描述：在中国电信实施的采购项目中，具有《中华人民共和国招标投标法实施条例》第四十二条规定的弄虚作假的行为的，也包括中国电信实施的非招标方式采购项目和中国电信通过招标、比选等各类竞争性采购形式实施的废旧闲置物资处置项目中的弄虚作假或同类行为</w:t>
            </w:r>
            <w:r>
              <w:rPr>
                <w:rFonts w:hint="eastAsia"/>
                <w:highlight w:val="none"/>
              </w:rPr>
              <w:br w:type="textWrapping"/>
            </w:r>
            <w:r>
              <w:rPr>
                <w:rFonts w:hint="eastAsia"/>
                <w:highlight w:val="none"/>
              </w:rPr>
              <w:t>2.认定标准：合同签订前发现的，由资格审查委员会/评标委员会/相应项目评审机构依法依规认定；合同签订后发现的，由中国电信采购实施部门组织认定。国家相关机构或中国电信法律部门有认定的，以其认定结果为准</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采购归口管理部门或采购实施部门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3.降级：调整不良行为涉及充足供应源市场产品品类相关供应商分级结果至下一级</w:t>
            </w:r>
            <w:r>
              <w:rPr>
                <w:rFonts w:hint="eastAsia"/>
                <w:highlight w:val="none"/>
              </w:rPr>
              <w:br w:type="textWrapping"/>
            </w:r>
            <w:r>
              <w:rPr>
                <w:rFonts w:hint="eastAsia"/>
                <w:highlight w:val="none"/>
              </w:rPr>
              <w:t>4.约谈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2.禁止采购：取消禁限期内供应商不良行为涉及有限供应源市场产品品类参与竞争性采购的资格</w:t>
            </w:r>
            <w:r>
              <w:rPr>
                <w:rFonts w:hint="eastAsia"/>
                <w:highlight w:val="none"/>
              </w:rPr>
              <w:br w:type="textWrapping"/>
            </w:r>
            <w:r>
              <w:rPr>
                <w:rFonts w:hint="eastAsia"/>
                <w:highlight w:val="none"/>
              </w:rPr>
              <w:t>3.降级：调整不良行为涉及有限供应源市场产品品类相关供应商分级结果至下一级</w:t>
            </w:r>
            <w:r>
              <w:rPr>
                <w:rFonts w:hint="eastAsia"/>
                <w:highlight w:val="none"/>
              </w:rPr>
              <w:br w:type="textWrapping"/>
            </w:r>
            <w:r>
              <w:rPr>
                <w:rFonts w:hint="eastAsia"/>
                <w:highlight w:val="none"/>
              </w:rPr>
              <w:t>4.约谈</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000000"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3.降级：调整不良行为涉及充足供应源市场产品品类相关供应商分级结果至下一级</w:t>
            </w:r>
            <w:r>
              <w:rPr>
                <w:rFonts w:hint="eastAsia"/>
                <w:highlight w:val="none"/>
              </w:rPr>
              <w:br w:type="textWrapping"/>
            </w:r>
            <w:r>
              <w:rPr>
                <w:rFonts w:hint="eastAsia"/>
                <w:highlight w:val="none"/>
              </w:rPr>
              <w:t>4.约谈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2.禁止采购：取消禁限期内供应商不良行为涉及有限供应源市场产品品类参与竞争性采购的资格</w:t>
            </w:r>
            <w:r>
              <w:rPr>
                <w:rFonts w:hint="eastAsia"/>
                <w:highlight w:val="none"/>
              </w:rPr>
              <w:br w:type="textWrapping"/>
            </w:r>
            <w:r>
              <w:rPr>
                <w:rFonts w:hint="eastAsia"/>
                <w:highlight w:val="none"/>
              </w:rPr>
              <w:t>3.降级：调整不良行为涉及有限供应源市场产品品类相关供应商分级结果至下一级</w:t>
            </w:r>
            <w:r>
              <w:rPr>
                <w:rFonts w:hint="eastAsia"/>
                <w:highlight w:val="none"/>
              </w:rPr>
              <w:br w:type="textWrapping"/>
            </w:r>
            <w:r>
              <w:rPr>
                <w:rFonts w:hint="eastAsia"/>
                <w:highlight w:val="none"/>
              </w:rPr>
              <w:t>4.约谈</w:t>
            </w:r>
          </w:p>
        </w:tc>
      </w:tr>
      <w:tr>
        <w:tblPrEx>
          <w:tblCellMar>
            <w:top w:w="0" w:type="dxa"/>
            <w:left w:w="108" w:type="dxa"/>
            <w:bottom w:w="0" w:type="dxa"/>
            <w:right w:w="108" w:type="dxa"/>
          </w:tblCellMar>
        </w:tblPrEx>
        <w:trPr>
          <w:trHeight w:val="20" w:hRule="atLeast"/>
          <w:jc w:val="center"/>
        </w:trPr>
        <w:tc>
          <w:tcPr>
            <w:tcW w:w="160" w:type="pc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5</w:t>
            </w:r>
          </w:p>
        </w:tc>
        <w:tc>
          <w:tcPr>
            <w:tcW w:w="2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合同诈骗罪</w:t>
            </w:r>
          </w:p>
        </w:tc>
        <w:tc>
          <w:tcPr>
            <w:tcW w:w="947"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1.行为描述：近5年内，供应商被判处合同诈骗罪的</w:t>
            </w:r>
            <w:r>
              <w:rPr>
                <w:rFonts w:hint="eastAsia"/>
                <w:highlight w:val="none"/>
              </w:rPr>
              <w:br w:type="page"/>
            </w:r>
          </w:p>
          <w:p>
            <w:pPr>
              <w:widowControl/>
              <w:wordWrap w:val="0"/>
              <w:rPr>
                <w:highlight w:val="none"/>
              </w:rPr>
            </w:pPr>
            <w:r>
              <w:rPr>
                <w:rFonts w:hint="eastAsia"/>
                <w:highlight w:val="none"/>
              </w:rPr>
              <w:t>2.认定标准：人民法院生效判决（说明：每例相关的生效判决计为一例不良行为）</w:t>
            </w:r>
          </w:p>
        </w:tc>
        <w:tc>
          <w:tcPr>
            <w:tcW w:w="286"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采购归口管理部门或采购实施部门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page"/>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特别严重不良行为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1.禁限期：自不良行为处理结果发布次日开始，终止于生效判决日起算满5年之日</w:t>
            </w:r>
            <w:r>
              <w:rPr>
                <w:rFonts w:hint="eastAsia"/>
                <w:highlight w:val="none"/>
              </w:rPr>
              <w:br w:type="page"/>
            </w:r>
          </w:p>
          <w:p>
            <w:pPr>
              <w:widowControl/>
              <w:wordWrap w:val="0"/>
              <w:rPr>
                <w:highlight w:val="none"/>
              </w:rPr>
            </w:pPr>
            <w:r>
              <w:rPr>
                <w:rFonts w:hint="eastAsia"/>
                <w:highlight w:val="none"/>
              </w:rPr>
              <w:t>2.禁止采购：取消禁限期内供应商所有充足供应源市场产品品类参与竞争性采购的资格</w:t>
            </w:r>
          </w:p>
          <w:p>
            <w:pPr>
              <w:widowControl/>
              <w:wordWrap w:val="0"/>
              <w:rPr>
                <w:highlight w:val="none"/>
              </w:rPr>
            </w:pPr>
            <w:r>
              <w:rPr>
                <w:rFonts w:hint="eastAsia"/>
                <w:highlight w:val="none"/>
              </w:rPr>
              <w:t>3.取消份额：取消当期供应商所有充足供应源市场产品品类集中采购项目的未执行份额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4.降级：调整所有充足供应源市场产品品类供应商分级结果为不合格</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1.禁限期：自不良行为处理结果发布次日开始，终止于生效判决日起算满5年之日</w:t>
            </w:r>
          </w:p>
          <w:p>
            <w:pPr>
              <w:widowControl/>
              <w:wordWrap w:val="0"/>
              <w:rPr>
                <w:highlight w:val="none"/>
              </w:rPr>
            </w:pPr>
            <w:r>
              <w:rPr>
                <w:rFonts w:hint="eastAsia"/>
                <w:highlight w:val="none"/>
              </w:rPr>
              <w:br w:type="page"/>
            </w:r>
            <w:r>
              <w:rPr>
                <w:rFonts w:hint="eastAsia"/>
                <w:highlight w:val="none"/>
              </w:rPr>
              <w:t>2.禁止采购：取消禁限期内供应商所有有限供应源市场产品品类参与竞争性采购的资格</w:t>
            </w:r>
            <w:r>
              <w:rPr>
                <w:rFonts w:hint="eastAsia"/>
                <w:highlight w:val="none"/>
              </w:rPr>
              <w:br w:type="page"/>
            </w:r>
          </w:p>
          <w:p>
            <w:pPr>
              <w:widowControl/>
              <w:wordWrap w:val="0"/>
              <w:rPr>
                <w:highlight w:val="none"/>
              </w:rPr>
            </w:pPr>
            <w:r>
              <w:rPr>
                <w:rFonts w:hint="eastAsia"/>
                <w:highlight w:val="none"/>
              </w:rPr>
              <w:t>3.取消份额：取消当期供应商所有有限供应源市场产品品类集中采购项目的未执行份额</w:t>
            </w:r>
            <w:r>
              <w:rPr>
                <w:rFonts w:hint="eastAsia"/>
                <w:highlight w:val="none"/>
              </w:rPr>
              <w:br w:type="page"/>
            </w:r>
          </w:p>
          <w:p>
            <w:pPr>
              <w:widowControl/>
              <w:wordWrap w:val="0"/>
              <w:rPr>
                <w:highlight w:val="none"/>
              </w:rPr>
            </w:pPr>
            <w:r>
              <w:rPr>
                <w:rFonts w:hint="eastAsia"/>
                <w:highlight w:val="none"/>
              </w:rPr>
              <w:t>4.降级：调整所有有限供应源市场产品品类供应商分级结果为不合格</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6</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造成安全生产事故</w:t>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1.行为描述：在中国电信范围内，造成安全生产事故的</w:t>
            </w:r>
            <w:r>
              <w:rPr>
                <w:rFonts w:hint="eastAsia"/>
                <w:highlight w:val="none"/>
              </w:rPr>
              <w:br w:type="page"/>
            </w:r>
          </w:p>
          <w:p>
            <w:pPr>
              <w:widowControl/>
              <w:wordWrap w:val="0"/>
              <w:rPr>
                <w:highlight w:val="none"/>
              </w:rPr>
            </w:pPr>
            <w:r>
              <w:rPr>
                <w:rFonts w:hint="eastAsia"/>
                <w:highlight w:val="none"/>
              </w:rPr>
              <w:t>2.认定标准：国家《生产安全事故报告和调查处理条例》（国务院令第493号）定义的生产安全事故</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集团公司相关管理部门</w:t>
            </w:r>
          </w:p>
        </w:tc>
        <w:tc>
          <w:tcPr>
            <w:tcW w:w="249"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page"/>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br w:type="page"/>
            </w:r>
            <w:r>
              <w:rPr>
                <w:rFonts w:hint="eastAsia"/>
                <w:highlight w:val="none"/>
              </w:rPr>
              <w:t>特别重大事故</w:t>
            </w:r>
            <w:r>
              <w:rPr>
                <w:rFonts w:hint="eastAsia"/>
                <w:highlight w:val="none"/>
              </w:rPr>
              <w:br w:type="page"/>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特别严重不良行为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page"/>
            </w:r>
          </w:p>
          <w:p>
            <w:pPr>
              <w:widowControl/>
              <w:wordWrap w:val="0"/>
              <w:rPr>
                <w:highlight w:val="none"/>
              </w:rPr>
            </w:pPr>
            <w:r>
              <w:rPr>
                <w:rFonts w:hint="eastAsia"/>
                <w:highlight w:val="none"/>
              </w:rPr>
              <w:t>2.禁止采购：取消禁限期内供应商所有充足供应源市场产品品类参与竞争性采购的资格</w:t>
            </w:r>
            <w:r>
              <w:rPr>
                <w:rFonts w:hint="eastAsia"/>
                <w:highlight w:val="none"/>
              </w:rPr>
              <w:br w:type="page"/>
            </w:r>
          </w:p>
          <w:p>
            <w:pPr>
              <w:widowControl/>
              <w:wordWrap w:val="0"/>
              <w:rPr>
                <w:highlight w:val="none"/>
              </w:rPr>
            </w:pPr>
            <w:r>
              <w:rPr>
                <w:rFonts w:hint="eastAsia"/>
                <w:highlight w:val="none"/>
              </w:rPr>
              <w:t>3.取消份额：取消当期供应商所有充足供应源市场产品品类集中采购项目的未执行份额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4.降级：调整不良行为涉及充足供应源市场产品品类相关供应商分级结果为不合格</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p>
          <w:p>
            <w:pPr>
              <w:widowControl/>
              <w:wordWrap w:val="0"/>
              <w:rPr>
                <w:highlight w:val="none"/>
              </w:rPr>
            </w:pPr>
            <w:r>
              <w:rPr>
                <w:rFonts w:hint="eastAsia"/>
                <w:highlight w:val="none"/>
              </w:rPr>
              <w:br w:type="page"/>
            </w:r>
            <w:r>
              <w:rPr>
                <w:rFonts w:hint="eastAsia"/>
                <w:highlight w:val="none"/>
              </w:rPr>
              <w:t>2.禁止采购：取消禁限期内供应商所有有限供应源市场产品品类参与竞争性采购的资格</w:t>
            </w:r>
            <w:r>
              <w:rPr>
                <w:rFonts w:hint="eastAsia"/>
                <w:highlight w:val="none"/>
              </w:rPr>
              <w:br w:type="page"/>
            </w:r>
          </w:p>
          <w:p>
            <w:pPr>
              <w:widowControl/>
              <w:wordWrap w:val="0"/>
              <w:rPr>
                <w:highlight w:val="none"/>
              </w:rPr>
            </w:pPr>
            <w:r>
              <w:rPr>
                <w:rFonts w:hint="eastAsia"/>
                <w:highlight w:val="none"/>
              </w:rPr>
              <w:t>3.取消份额：取消当期供应商所有有限供应源市场产品品类集中采购项目的未执行份额</w:t>
            </w:r>
            <w:r>
              <w:rPr>
                <w:rFonts w:hint="eastAsia"/>
                <w:highlight w:val="none"/>
              </w:rPr>
              <w:br w:type="page"/>
            </w:r>
          </w:p>
          <w:p>
            <w:pPr>
              <w:widowControl/>
              <w:wordWrap w:val="0"/>
              <w:rPr>
                <w:highlight w:val="none"/>
              </w:rPr>
            </w:pPr>
            <w:r>
              <w:rPr>
                <w:rFonts w:hint="eastAsia"/>
                <w:highlight w:val="none"/>
              </w:rPr>
              <w:t>4.降级：调整不良行为涉及有限供应源市场产品品类相关供应商分级结果为不合格</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重大事故</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特别严重不良行为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3.取消份额：取消当期供应商不良行为涉及充足供应源市场产品品类集中采购项目的未执行份额</w:t>
            </w:r>
            <w:r>
              <w:rPr>
                <w:rFonts w:hint="eastAsia"/>
                <w:highlight w:val="none"/>
              </w:rPr>
              <w:br w:type="textWrapping"/>
            </w:r>
            <w:r>
              <w:rPr>
                <w:rFonts w:hint="eastAsia"/>
                <w:highlight w:val="none"/>
              </w:rPr>
              <w:t>4.降级：调整不良行为涉及充足供应源市场产品品类相关供应商分级结果为不合格</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6分；采用经评审的最低投标价法进行评审的，核增评审价格6%</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3.调减份额：调减当期供应商不良行为涉及有限供应源市场产品品类集中采购项目的未执行份额，针对每例行为，调减额为初始分配份额的50%</w:t>
            </w:r>
            <w:r>
              <w:rPr>
                <w:rFonts w:hint="eastAsia"/>
                <w:highlight w:val="none"/>
              </w:rPr>
              <w:br w:type="textWrapping"/>
            </w: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较大事故</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3.取消份额：取消当期供应商不良行为涉及充足供应源市场产品品类集中采购项目的未执行份额</w:t>
            </w:r>
            <w:r>
              <w:rPr>
                <w:rFonts w:hint="eastAsia"/>
                <w:highlight w:val="none"/>
              </w:rPr>
              <w:br w:type="textWrapping"/>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3分；采用经评审的最低投标价法进行评审的，核增评审价格3%</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3.调减份额：调减当期供应商不良行为涉及有限供应源市场产品品类集中采购项目的未执行份额，针对每例行为，调减额为初始分配份额的30%</w:t>
            </w:r>
            <w:r>
              <w:rPr>
                <w:rFonts w:hint="eastAsia"/>
                <w:highlight w:val="none"/>
              </w:rPr>
              <w:br w:type="textWrapping"/>
            </w: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一般事故</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充足供应源市场产品品类参与竞争性采购时，针对每例行为：采用综合评估法进行评审的，扣减综合得分（总分）3分；采用经评审的最低投标价法进行评审的，核增评审价格3%</w:t>
            </w:r>
            <w:r>
              <w:rPr>
                <w:rFonts w:hint="eastAsia"/>
                <w:highlight w:val="none"/>
              </w:rPr>
              <w:br w:type="textWrapping"/>
            </w:r>
            <w:r>
              <w:rPr>
                <w:rFonts w:hint="eastAsia"/>
                <w:highlight w:val="none"/>
              </w:rPr>
              <w:t>3.调减份额：调减当期供应商不良行为涉及充足供应源市场产品品类集中采购项目的未执行份额，针对每例行为，调减额为初始分配份额的30%</w:t>
            </w:r>
            <w:r>
              <w:rPr>
                <w:rFonts w:hint="eastAsia"/>
                <w:highlight w:val="none"/>
              </w:rPr>
              <w:br w:type="textWrapping"/>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1.5分；采用经评审的最低投标价法进行评审的，核增评审价格1.5%</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3.调减份额：调减当期供应商不良行为涉及有限供应源市场产品品类集中采购项目的未执行份额，针对每例行为，调减额为初始分配份额的15%</w:t>
            </w:r>
            <w:r>
              <w:rPr>
                <w:rFonts w:hint="eastAsia"/>
                <w:highlight w:val="none"/>
              </w:rPr>
              <w:br w:type="textWrapping"/>
            </w: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7</w:t>
            </w:r>
          </w:p>
        </w:tc>
        <w:tc>
          <w:tcPr>
            <w:tcW w:w="2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造成重大网信安全事件</w:t>
            </w:r>
          </w:p>
        </w:tc>
        <w:tc>
          <w:tcPr>
            <w:tcW w:w="947"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w:t>
            </w:r>
            <w:r>
              <w:rPr>
                <w:rFonts w:hint="eastAsia"/>
                <w:highlight w:val="none"/>
              </w:rPr>
              <w:br w:type="page"/>
            </w:r>
          </w:p>
          <w:p>
            <w:pPr>
              <w:widowControl/>
              <w:wordWrap w:val="0"/>
              <w:rPr>
                <w:highlight w:val="none"/>
              </w:rPr>
            </w:pPr>
            <w:r>
              <w:rPr>
                <w:rFonts w:hint="eastAsia"/>
                <w:highlight w:val="none"/>
              </w:rPr>
              <w:t>（1）在中国电信范围内，造成重大网信安全事件的</w:t>
            </w:r>
          </w:p>
          <w:p>
            <w:pPr>
              <w:widowControl/>
              <w:wordWrap w:val="0"/>
              <w:rPr>
                <w:highlight w:val="none"/>
              </w:rPr>
            </w:pPr>
            <w:r>
              <w:rPr>
                <w:rFonts w:hint="eastAsia"/>
                <w:highlight w:val="none"/>
              </w:rPr>
              <w:br w:type="page"/>
            </w:r>
            <w:r>
              <w:rPr>
                <w:rFonts w:hint="eastAsia"/>
                <w:highlight w:val="none"/>
              </w:rPr>
              <w:t>（2）因供应商责任造成网信安问题，并导致中国电信被公安部、工信部等国家部委通报或处理的</w:t>
            </w:r>
            <w:r>
              <w:rPr>
                <w:rFonts w:hint="eastAsia"/>
                <w:highlight w:val="none"/>
              </w:rPr>
              <w:br w:type="page"/>
            </w:r>
          </w:p>
          <w:p>
            <w:pPr>
              <w:widowControl/>
              <w:wordWrap w:val="0"/>
              <w:rPr>
                <w:highlight w:val="none"/>
              </w:rPr>
            </w:pPr>
            <w:r>
              <w:rPr>
                <w:rFonts w:hint="eastAsia"/>
                <w:highlight w:val="none"/>
              </w:rPr>
              <w:t>2.认定标准：</w:t>
            </w:r>
          </w:p>
          <w:p>
            <w:pPr>
              <w:widowControl/>
              <w:wordWrap w:val="0"/>
              <w:rPr>
                <w:highlight w:val="none"/>
              </w:rPr>
            </w:pPr>
            <w:r>
              <w:rPr>
                <w:rFonts w:hint="eastAsia"/>
                <w:highlight w:val="none"/>
              </w:rPr>
              <w:br w:type="page"/>
            </w:r>
            <w:r>
              <w:rPr>
                <w:rFonts w:hint="eastAsia"/>
                <w:highlight w:val="none"/>
              </w:rPr>
              <w:t>（1）国家工信部《公共互联网网络安全突发事件应急预案》（工信部网安[2017]281号）定义的重大网络安全事件；《互联网网络安全信息通报实施办法》（工信部保[2009]156号）定义的重大事件及以上级别事件；中国电信集团信息安全管理办法定义的重大信息安全事件</w:t>
            </w:r>
            <w:r>
              <w:rPr>
                <w:rFonts w:hint="eastAsia"/>
                <w:highlight w:val="none"/>
              </w:rPr>
              <w:br w:type="page"/>
            </w:r>
          </w:p>
          <w:p>
            <w:pPr>
              <w:widowControl/>
              <w:wordWrap w:val="0"/>
              <w:rPr>
                <w:highlight w:val="none"/>
              </w:rPr>
            </w:pPr>
            <w:r>
              <w:rPr>
                <w:rFonts w:hint="eastAsia"/>
                <w:highlight w:val="none"/>
              </w:rPr>
              <w:t>（2）国家部委通报经集团公司相关部门认定</w:t>
            </w:r>
          </w:p>
        </w:tc>
        <w:tc>
          <w:tcPr>
            <w:tcW w:w="286"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集团公司相关管理部门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page"/>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p>
          <w:p>
            <w:pPr>
              <w:widowControl/>
              <w:wordWrap w:val="0"/>
              <w:rPr>
                <w:highlight w:val="none"/>
              </w:rPr>
            </w:pPr>
            <w:r>
              <w:rPr>
                <w:rFonts w:hint="eastAsia"/>
                <w:highlight w:val="none"/>
              </w:rPr>
              <w:br w:type="page"/>
            </w:r>
            <w:r>
              <w:rPr>
                <w:rFonts w:hint="eastAsia"/>
                <w:highlight w:val="none"/>
              </w:rPr>
              <w:t>2.禁止采购：取消禁限期内供应商不良行为涉及充足供应源市场产品品类参与竞争性采购的资格</w:t>
            </w:r>
          </w:p>
          <w:p>
            <w:pPr>
              <w:widowControl/>
              <w:wordWrap w:val="0"/>
              <w:rPr>
                <w:highlight w:val="none"/>
              </w:rPr>
            </w:pPr>
            <w:r>
              <w:rPr>
                <w:rFonts w:hint="eastAsia"/>
                <w:highlight w:val="none"/>
              </w:rPr>
              <w:br w:type="page"/>
            </w:r>
            <w:r>
              <w:rPr>
                <w:rFonts w:hint="eastAsia"/>
                <w:highlight w:val="none"/>
              </w:rPr>
              <w:t>3.取消份额：取消当期供应商不良行为涉及充足供应源市场产品品类集中采购项目的未执行份额</w:t>
            </w:r>
            <w:r>
              <w:rPr>
                <w:rFonts w:hint="eastAsia"/>
                <w:highlight w:val="none"/>
              </w:rPr>
              <w:br w:type="page"/>
            </w:r>
          </w:p>
          <w:p>
            <w:pPr>
              <w:widowControl/>
              <w:wordWrap w:val="0"/>
              <w:rPr>
                <w:highlight w:val="none"/>
              </w:rPr>
            </w:pP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p>
          <w:p>
            <w:pPr>
              <w:widowControl/>
              <w:wordWrap w:val="0"/>
              <w:rPr>
                <w:highlight w:val="none"/>
              </w:rPr>
            </w:pPr>
            <w:r>
              <w:rPr>
                <w:rFonts w:hint="eastAsia"/>
                <w:highlight w:val="none"/>
              </w:rPr>
              <w:br w:type="page"/>
            </w:r>
            <w:r>
              <w:rPr>
                <w:rFonts w:hint="eastAsia"/>
                <w:highlight w:val="none"/>
              </w:rPr>
              <w:t>2.限制采购：禁限期内供应商不良行为涉及有限供应源市场产品品类参与竞争性采购时，针对每例行为：采用综合评估法进行评审的，扣减综合得分（总分）5分；采用经评审的最低投标价法进行评审的，核增评审价格5%</w:t>
            </w:r>
            <w:r>
              <w:rPr>
                <w:rFonts w:hint="eastAsia"/>
                <w:highlight w:val="none"/>
              </w:rPr>
              <w:br w:type="page"/>
            </w:r>
          </w:p>
          <w:p>
            <w:pPr>
              <w:widowControl/>
              <w:wordWrap w:val="0"/>
              <w:rPr>
                <w:highlight w:val="none"/>
              </w:rPr>
            </w:pPr>
            <w:r>
              <w:rPr>
                <w:rFonts w:hint="eastAsia"/>
                <w:highlight w:val="none"/>
              </w:rPr>
              <w:t>3.调减份额：调减当期供应商不良行为涉及有限供应源市场产品品类集中采购项目的未执行份额，针对每例行为，调减额为初始分配份额的30%</w:t>
            </w:r>
            <w:r>
              <w:rPr>
                <w:rFonts w:hint="eastAsia"/>
                <w:highlight w:val="none"/>
              </w:rPr>
              <w:br w:type="page"/>
            </w:r>
          </w:p>
          <w:p>
            <w:pPr>
              <w:widowControl/>
              <w:wordWrap w:val="0"/>
              <w:rPr>
                <w:highlight w:val="none"/>
              </w:rPr>
            </w:pP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8</w:t>
            </w:r>
          </w:p>
        </w:tc>
        <w:tc>
          <w:tcPr>
            <w:tcW w:w="2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因供应商责任给中国电信造成网信安全风险</w:t>
            </w:r>
          </w:p>
        </w:tc>
        <w:tc>
          <w:tcPr>
            <w:tcW w:w="947"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w:t>
            </w:r>
            <w:r>
              <w:rPr>
                <w:rFonts w:hint="eastAsia"/>
                <w:highlight w:val="none"/>
              </w:rPr>
              <w:br w:type="textWrapping"/>
            </w:r>
            <w:r>
              <w:rPr>
                <w:rFonts w:hint="eastAsia"/>
                <w:highlight w:val="none"/>
              </w:rPr>
              <w:t>（1）所开发的信息系统存在未经中国电信授权擅自使用中国电信商标、标识情况，且存在严重安全隐患的</w:t>
            </w:r>
            <w:r>
              <w:rPr>
                <w:rFonts w:hint="eastAsia"/>
                <w:highlight w:val="none"/>
              </w:rPr>
              <w:br w:type="textWrapping"/>
            </w:r>
            <w:r>
              <w:rPr>
                <w:rFonts w:hint="eastAsia"/>
                <w:highlight w:val="none"/>
              </w:rPr>
              <w:t>（2）违反《网络产品安全漏洞管理规定》未经授权探测、发布中国电信网络、信息系统及其设备漏洞的</w:t>
            </w:r>
            <w:r>
              <w:rPr>
                <w:rFonts w:hint="eastAsia"/>
                <w:highlight w:val="none"/>
              </w:rPr>
              <w:br w:type="textWrapping"/>
            </w:r>
            <w:r>
              <w:rPr>
                <w:rFonts w:hint="eastAsia"/>
                <w:highlight w:val="none"/>
              </w:rPr>
              <w:t>（3）违反网络安全法第二十二条规定网络产品存在后门、木马和恶意程序的。对发现的安全缺陷、漏洞等风险，未及时采取补救措施的</w:t>
            </w:r>
            <w:r>
              <w:rPr>
                <w:rFonts w:hint="eastAsia"/>
                <w:highlight w:val="none"/>
              </w:rPr>
              <w:br w:type="textWrapping"/>
            </w:r>
            <w:r>
              <w:rPr>
                <w:rFonts w:hint="eastAsia"/>
                <w:highlight w:val="none"/>
              </w:rPr>
              <w:t>（4）未经中国电信授权，擅自公开或向第三方提中国电信拥有所有权的软件（或固件）源代码的</w:t>
            </w:r>
            <w:r>
              <w:rPr>
                <w:rFonts w:hint="eastAsia"/>
                <w:highlight w:val="none"/>
              </w:rPr>
              <w:br w:type="textWrapping"/>
            </w:r>
            <w:r>
              <w:rPr>
                <w:rFonts w:hint="eastAsia"/>
                <w:highlight w:val="none"/>
              </w:rPr>
              <w:t>（5）未经授权对中国电信运营的网络开展渗透测试的</w:t>
            </w:r>
            <w:r>
              <w:rPr>
                <w:rFonts w:hint="eastAsia"/>
                <w:highlight w:val="none"/>
              </w:rPr>
              <w:br w:type="textWrapping"/>
            </w:r>
            <w:r>
              <w:rPr>
                <w:rFonts w:hint="eastAsia"/>
                <w:highlight w:val="none"/>
              </w:rPr>
              <w:t>（6）未经中国电信授权擅自登录中国电信所运营的网络和信息系统进行查询、修改、删除等操作的</w:t>
            </w:r>
            <w:r>
              <w:rPr>
                <w:rFonts w:hint="eastAsia"/>
                <w:highlight w:val="none"/>
              </w:rPr>
              <w:br w:type="textWrapping"/>
            </w:r>
            <w:r>
              <w:rPr>
                <w:rFonts w:hint="eastAsia"/>
                <w:highlight w:val="none"/>
              </w:rPr>
              <w:t>（7）未经中国电信授权擅自保存中国电信运营的网络、信息系统极其设备账号、口令、数据、系统解构、拓扑图等信息的</w:t>
            </w:r>
            <w:r>
              <w:rPr>
                <w:rFonts w:hint="eastAsia"/>
                <w:highlight w:val="none"/>
              </w:rPr>
              <w:br w:type="textWrapping"/>
            </w:r>
            <w:r>
              <w:rPr>
                <w:rFonts w:hint="eastAsia"/>
                <w:highlight w:val="none"/>
              </w:rPr>
              <w:t>2.认定标准：</w:t>
            </w:r>
            <w:r>
              <w:rPr>
                <w:rFonts w:hint="eastAsia"/>
                <w:highlight w:val="none"/>
              </w:rPr>
              <w:br w:type="textWrapping"/>
            </w:r>
            <w:r>
              <w:rPr>
                <w:rFonts w:hint="eastAsia"/>
                <w:highlight w:val="none"/>
              </w:rPr>
              <w:t>针对行为描述（1）：国家部委通报，经中国电信集团有限公司相关管理部门认定</w:t>
            </w:r>
          </w:p>
          <w:p>
            <w:pPr>
              <w:widowControl/>
              <w:wordWrap w:val="0"/>
              <w:rPr>
                <w:highlight w:val="none"/>
              </w:rPr>
            </w:pPr>
            <w:r>
              <w:rPr>
                <w:rFonts w:hint="eastAsia"/>
                <w:highlight w:val="none"/>
              </w:rPr>
              <w:t>针对行为描述（2）、（3）、（4）、（5）、（6）、（7）：中国电信集团有限公司相关管理部门组织认定</w:t>
            </w:r>
          </w:p>
        </w:tc>
        <w:tc>
          <w:tcPr>
            <w:tcW w:w="286"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集团公司相关管理部门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3.取消份额：取消当期供应商不良行为涉及充足供应源市场产品品类集中采购项目的未执行份额</w:t>
            </w:r>
            <w:r>
              <w:rPr>
                <w:rFonts w:hint="eastAsia"/>
                <w:highlight w:val="none"/>
              </w:rPr>
              <w:br w:type="textWrapping"/>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3分；采用经评审的最低投标价法进行评审的，核增评审价格3%</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3.调减份额：调减当期供应商不良行为涉及有限供应源市场产品品类集中采购项目的未执行份额，针对每例行为，调减额为初始分配份额的20%</w:t>
            </w:r>
            <w:r>
              <w:rPr>
                <w:rFonts w:hint="eastAsia"/>
                <w:highlight w:val="none"/>
              </w:rPr>
              <w:br w:type="textWrapping"/>
            </w: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9</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造成重大通信网络事件</w:t>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w:t>
            </w:r>
          </w:p>
          <w:p>
            <w:pPr>
              <w:widowControl/>
              <w:wordWrap w:val="0"/>
              <w:rPr>
                <w:highlight w:val="none"/>
              </w:rPr>
            </w:pPr>
            <w:r>
              <w:rPr>
                <w:rFonts w:hint="eastAsia"/>
                <w:highlight w:val="none"/>
              </w:rPr>
              <w:br w:type="page"/>
            </w:r>
            <w:r>
              <w:rPr>
                <w:rFonts w:hint="eastAsia"/>
                <w:highlight w:val="none"/>
              </w:rPr>
              <w:t>（1）在中国电信范围内，造成重大通信事故及以上级别通信事故/通信网络重大事件及以上级别事件的</w:t>
            </w:r>
            <w:r>
              <w:rPr>
                <w:rFonts w:hint="eastAsia"/>
                <w:highlight w:val="none"/>
              </w:rPr>
              <w:br w:type="page"/>
            </w:r>
          </w:p>
          <w:p>
            <w:pPr>
              <w:widowControl/>
              <w:wordWrap w:val="0"/>
              <w:rPr>
                <w:highlight w:val="none"/>
              </w:rPr>
            </w:pPr>
            <w:r>
              <w:rPr>
                <w:rFonts w:hint="eastAsia"/>
                <w:highlight w:val="none"/>
              </w:rPr>
              <w:t>（2）供应商软件BUG造成重大通信事故及以上级别通信事故/通信网络重大事件及以上级别事件无法在一个月内提供修复版本/补丁的</w:t>
            </w:r>
          </w:p>
          <w:p>
            <w:pPr>
              <w:widowControl/>
              <w:wordWrap w:val="0"/>
              <w:rPr>
                <w:highlight w:val="none"/>
              </w:rPr>
            </w:pPr>
            <w:r>
              <w:rPr>
                <w:rFonts w:hint="eastAsia"/>
                <w:highlight w:val="none"/>
              </w:rPr>
              <w:br w:type="page"/>
            </w:r>
            <w:r>
              <w:rPr>
                <w:rFonts w:hint="eastAsia"/>
                <w:highlight w:val="none"/>
              </w:rPr>
              <w:t>（3）供应商硬件缺陷造成重大通信事故及以上级别通信事故/通信网络重大事件及以上级别事件无法在两个月内完成全网缺陷硬件更换的</w:t>
            </w:r>
          </w:p>
          <w:p>
            <w:pPr>
              <w:widowControl/>
              <w:wordWrap w:val="0"/>
              <w:rPr>
                <w:highlight w:val="none"/>
              </w:rPr>
            </w:pPr>
            <w:r>
              <w:rPr>
                <w:rFonts w:hint="eastAsia"/>
                <w:highlight w:val="none"/>
              </w:rPr>
              <w:br w:type="page"/>
            </w:r>
            <w:r>
              <w:rPr>
                <w:rFonts w:hint="eastAsia"/>
                <w:highlight w:val="none"/>
              </w:rPr>
              <w:t>2.认定标准：</w:t>
            </w:r>
          </w:p>
          <w:p>
            <w:pPr>
              <w:widowControl/>
              <w:wordWrap w:val="0"/>
              <w:rPr>
                <w:highlight w:val="none"/>
              </w:rPr>
            </w:pPr>
            <w:r>
              <w:rPr>
                <w:rFonts w:hint="eastAsia"/>
                <w:highlight w:val="none"/>
              </w:rPr>
              <w:br w:type="page"/>
            </w:r>
            <w:r>
              <w:rPr>
                <w:rFonts w:hint="eastAsia"/>
                <w:highlight w:val="none"/>
              </w:rPr>
              <w:t>针对行为描述（1）：工信部《电信网络运行监督管理办法》（工信部电管[2009]187号）定义的重大通信事故及以上级别通信事故；中国电信全网重大通信事故/通信网络事件定义</w:t>
            </w:r>
          </w:p>
          <w:p>
            <w:pPr>
              <w:widowControl/>
              <w:wordWrap w:val="0"/>
              <w:rPr>
                <w:highlight w:val="none"/>
              </w:rPr>
            </w:pPr>
            <w:r>
              <w:rPr>
                <w:rFonts w:hint="eastAsia"/>
                <w:highlight w:val="none"/>
              </w:rPr>
              <w:br w:type="page"/>
            </w:r>
            <w:r>
              <w:rPr>
                <w:rFonts w:hint="eastAsia"/>
                <w:highlight w:val="none"/>
              </w:rPr>
              <w:t>针对行为描述（2）和（3）：电信集团公司相关管理部门组织认定</w:t>
            </w:r>
          </w:p>
        </w:tc>
        <w:tc>
          <w:tcPr>
            <w:tcW w:w="286"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集团公司相关管理部门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page"/>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特别重大事件</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p>
          <w:p>
            <w:pPr>
              <w:widowControl/>
              <w:wordWrap w:val="0"/>
              <w:rPr>
                <w:highlight w:val="none"/>
              </w:rPr>
            </w:pPr>
            <w:r>
              <w:rPr>
                <w:rFonts w:hint="eastAsia"/>
                <w:highlight w:val="none"/>
              </w:rPr>
              <w:br w:type="page"/>
            </w:r>
            <w:r>
              <w:rPr>
                <w:rFonts w:hint="eastAsia"/>
                <w:highlight w:val="none"/>
              </w:rPr>
              <w:t>2.禁止采购：取消禁限期内供应商不良行为涉及充足供应源市场产品品类参与竞争性采购的资格</w:t>
            </w:r>
          </w:p>
          <w:p>
            <w:pPr>
              <w:widowControl/>
              <w:wordWrap w:val="0"/>
              <w:rPr>
                <w:highlight w:val="none"/>
              </w:rPr>
            </w:pPr>
            <w:r>
              <w:rPr>
                <w:rFonts w:hint="eastAsia"/>
                <w:highlight w:val="none"/>
              </w:rPr>
              <w:br w:type="page"/>
            </w:r>
            <w:r>
              <w:rPr>
                <w:rFonts w:hint="eastAsia"/>
                <w:highlight w:val="none"/>
              </w:rPr>
              <w:t>3.取消份额：取消当期供应商不良行为涉及充足供应源市场产品品类集中采购项目的未执行份额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p>
          <w:p>
            <w:pPr>
              <w:widowControl/>
              <w:wordWrap w:val="0"/>
              <w:rPr>
                <w:highlight w:val="none"/>
              </w:rPr>
            </w:pPr>
            <w:r>
              <w:rPr>
                <w:rFonts w:hint="eastAsia"/>
                <w:highlight w:val="none"/>
              </w:rPr>
              <w:br w:type="page"/>
            </w:r>
            <w:r>
              <w:rPr>
                <w:rFonts w:hint="eastAsia"/>
                <w:highlight w:val="none"/>
              </w:rPr>
              <w:t>2.限制采购：禁限期内供应商不良行为涉及有限供应源市场产品品类参与竞争性采购时，针对每例行为：采用综合评估法进行评审的，扣减综合得分（总分）3分；采用经评审的最低投标价法进行评审的，核增评审价格3%</w:t>
            </w:r>
            <w:r>
              <w:rPr>
                <w:rFonts w:hint="eastAsia"/>
                <w:highlight w:val="none"/>
              </w:rPr>
              <w:br w:type="page"/>
            </w:r>
          </w:p>
          <w:p>
            <w:pPr>
              <w:widowControl/>
              <w:wordWrap w:val="0"/>
              <w:rPr>
                <w:highlight w:val="none"/>
              </w:rPr>
            </w:pPr>
            <w:r>
              <w:rPr>
                <w:rFonts w:hint="eastAsia"/>
                <w:highlight w:val="none"/>
              </w:rPr>
              <w:t>3.调减份额：调减当期供应商不良行为涉及有限供应源市场产品品类集中采购项目的未执行份额，针对每例行为，调减额为初始分配份额的30%</w:t>
            </w:r>
            <w:r>
              <w:rPr>
                <w:rFonts w:hint="eastAsia"/>
                <w:highlight w:val="none"/>
              </w:rPr>
              <w:br w:type="page"/>
            </w:r>
          </w:p>
          <w:p>
            <w:pPr>
              <w:widowControl/>
              <w:wordWrap w:val="0"/>
              <w:rPr>
                <w:highlight w:val="none"/>
              </w:rPr>
            </w:pP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集团公司相关管理部门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重大事件</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3.取消份额：取消当期供应商不良行为涉及充足供应源市场产品品类集中采购项目的未执行份额</w:t>
            </w:r>
            <w:r>
              <w:rPr>
                <w:rFonts w:hint="eastAsia"/>
                <w:highlight w:val="none"/>
              </w:rPr>
              <w:br w:type="textWrapping"/>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2分；采用经评审的最低投标价法进行评审的，核增评审价格2%</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3.调减份额：调减当期供应商不良行为涉及有限供应源市场产品品类集中采购项目的未执行份额，针对每例行为，调减额为初始分配份额的20%</w:t>
            </w:r>
            <w:r>
              <w:rPr>
                <w:rFonts w:hint="eastAsia"/>
                <w:highlight w:val="none"/>
              </w:rPr>
              <w:br w:type="textWrapping"/>
            </w: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10</w:t>
            </w:r>
          </w:p>
        </w:tc>
        <w:tc>
          <w:tcPr>
            <w:tcW w:w="2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被认定为失信被执行人</w:t>
            </w:r>
          </w:p>
        </w:tc>
        <w:tc>
          <w:tcPr>
            <w:tcW w:w="947"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1.行为描述：供应商被人民法院认定为失信被执行人的</w:t>
            </w:r>
            <w:r>
              <w:rPr>
                <w:rFonts w:hint="eastAsia"/>
                <w:highlight w:val="none"/>
              </w:rPr>
              <w:br w:type="textWrapping"/>
            </w:r>
            <w:r>
              <w:rPr>
                <w:rFonts w:hint="eastAsia"/>
                <w:highlight w:val="none"/>
              </w:rPr>
              <w:t>2.认定标准：最高人民法院公布的结果（以“信用中国”网站信息为准）</w:t>
            </w:r>
          </w:p>
        </w:tc>
        <w:tc>
          <w:tcPr>
            <w:tcW w:w="286"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采购归口管理部门或采购实施部门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1.禁限期：自不良行为处理结果发布次日开始，终止于从失信被执行人名单中被删除之日</w:t>
            </w:r>
            <w:r>
              <w:rPr>
                <w:rFonts w:hint="eastAsia"/>
                <w:highlight w:val="none"/>
              </w:rPr>
              <w:br w:type="textWrapping"/>
            </w:r>
            <w:r>
              <w:rPr>
                <w:rFonts w:hint="eastAsia"/>
                <w:highlight w:val="none"/>
              </w:rPr>
              <w:t>2.禁止采购：取消禁限期内供应商所有充足供应源市场产品品类参与竞争性采购的资格</w:t>
            </w:r>
            <w:r>
              <w:rPr>
                <w:rFonts w:hint="eastAsia"/>
                <w:highlight w:val="none"/>
              </w:rPr>
              <w:br w:type="textWrapping"/>
            </w:r>
            <w:r>
              <w:rPr>
                <w:rFonts w:hint="eastAsia"/>
                <w:highlight w:val="none"/>
              </w:rPr>
              <w:t>3.暂停执行份额：暂停禁限期内供应商所有充足供应源市场产品品类集中采购项目的未执行份额</w:t>
            </w:r>
            <w:r>
              <w:rPr>
                <w:rFonts w:hint="eastAsia"/>
                <w:highlight w:val="none"/>
              </w:rPr>
              <w:br w:type="textWrapping"/>
            </w:r>
            <w:r>
              <w:rPr>
                <w:rFonts w:hint="eastAsia"/>
                <w:highlight w:val="none"/>
              </w:rPr>
              <w:t>4.降级：调整所有充足供应源市场产品品类供应商分级结果至下一级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1.禁限期：自不良行为处理结果发布次日开始，终止于从失信被执行人名单中被删除之日</w:t>
            </w:r>
            <w:r>
              <w:rPr>
                <w:rFonts w:hint="eastAsia"/>
                <w:highlight w:val="none"/>
              </w:rPr>
              <w:br w:type="textWrapping"/>
            </w:r>
            <w:r>
              <w:rPr>
                <w:rFonts w:hint="eastAsia"/>
                <w:highlight w:val="none"/>
              </w:rPr>
              <w:t>2.禁止采购：取消禁限期内供应商所有有限供应源市场产品品类参与竞争性采购的资格</w:t>
            </w:r>
            <w:r>
              <w:rPr>
                <w:rFonts w:hint="eastAsia"/>
                <w:highlight w:val="none"/>
              </w:rPr>
              <w:br w:type="textWrapping"/>
            </w:r>
            <w:r>
              <w:rPr>
                <w:rFonts w:hint="eastAsia"/>
                <w:highlight w:val="none"/>
              </w:rPr>
              <w:t>3.暂停执行份额：暂停禁限期内供应商所有有限供应源市场产品品类集中采购项目的未执行份额</w:t>
            </w:r>
            <w:r>
              <w:rPr>
                <w:rFonts w:hint="eastAsia"/>
                <w:highlight w:val="none"/>
              </w:rPr>
              <w:br w:type="textWrapping"/>
            </w:r>
            <w:r>
              <w:rPr>
                <w:rFonts w:hint="eastAsia"/>
                <w:highlight w:val="none"/>
              </w:rPr>
              <w:t>4.降级：调整所有有限供应源市场产品品类供应商分级结果至下一级</w:t>
            </w:r>
          </w:p>
        </w:tc>
      </w:tr>
      <w:tr>
        <w:tblPrEx>
          <w:tblCellMar>
            <w:top w:w="0" w:type="dxa"/>
            <w:left w:w="108" w:type="dxa"/>
            <w:bottom w:w="0" w:type="dxa"/>
            <w:right w:w="108" w:type="dxa"/>
          </w:tblCellMar>
        </w:tblPrEx>
        <w:trPr>
          <w:trHeight w:val="20" w:hRule="atLeast"/>
          <w:jc w:val="center"/>
        </w:trPr>
        <w:tc>
          <w:tcPr>
            <w:tcW w:w="160" w:type="pc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11</w:t>
            </w:r>
          </w:p>
        </w:tc>
        <w:tc>
          <w:tcPr>
            <w:tcW w:w="2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环保问题</w:t>
            </w:r>
          </w:p>
        </w:tc>
        <w:tc>
          <w:tcPr>
            <w:tcW w:w="947"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1.行为描述：因供应商责任造成环保问题，并导致中国电信被政府环保部门通报或处理的</w:t>
            </w:r>
          </w:p>
          <w:p>
            <w:pPr>
              <w:widowControl/>
              <w:wordWrap w:val="0"/>
              <w:rPr>
                <w:highlight w:val="none"/>
              </w:rPr>
            </w:pPr>
            <w:r>
              <w:rPr>
                <w:rFonts w:hint="eastAsia"/>
                <w:highlight w:val="none"/>
              </w:rPr>
              <w:br w:type="page"/>
            </w:r>
            <w:r>
              <w:rPr>
                <w:rFonts w:hint="eastAsia"/>
                <w:highlight w:val="none"/>
              </w:rPr>
              <w:t>2.认定标准：电信集团公司相关管理部门组织认定</w:t>
            </w:r>
          </w:p>
        </w:tc>
        <w:tc>
          <w:tcPr>
            <w:tcW w:w="286"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集团公司相关管理部门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page"/>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page"/>
            </w:r>
          </w:p>
          <w:p>
            <w:pPr>
              <w:widowControl/>
              <w:wordWrap w:val="0"/>
              <w:rPr>
                <w:highlight w:val="none"/>
              </w:rPr>
            </w:pPr>
            <w:r>
              <w:rPr>
                <w:rFonts w:hint="eastAsia"/>
                <w:highlight w:val="none"/>
              </w:rPr>
              <w:t>2.禁止采购：取消禁限期内供应商不良行为涉及充足供应源市场产品品类参与竞争性采购的资格</w:t>
            </w:r>
          </w:p>
          <w:p>
            <w:pPr>
              <w:widowControl/>
              <w:wordWrap w:val="0"/>
              <w:rPr>
                <w:highlight w:val="none"/>
              </w:rPr>
            </w:pPr>
            <w:r>
              <w:rPr>
                <w:rFonts w:hint="eastAsia"/>
                <w:highlight w:val="none"/>
              </w:rPr>
              <w:br w:type="page"/>
            </w:r>
            <w:r>
              <w:rPr>
                <w:rFonts w:hint="eastAsia"/>
                <w:highlight w:val="none"/>
              </w:rPr>
              <w:t>3.取消份额：取消当期供应商不良行为涉及充足供应源市场产品品类集中采购项目的未执行份额</w:t>
            </w:r>
            <w:r>
              <w:rPr>
                <w:rFonts w:hint="eastAsia"/>
                <w:highlight w:val="none"/>
              </w:rPr>
              <w:br w:type="page"/>
            </w:r>
          </w:p>
          <w:p>
            <w:pPr>
              <w:widowControl/>
              <w:wordWrap w:val="0"/>
              <w:rPr>
                <w:highlight w:val="none"/>
              </w:rPr>
            </w:pP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page"/>
            </w:r>
          </w:p>
          <w:p>
            <w:pPr>
              <w:widowControl/>
              <w:wordWrap w:val="0"/>
              <w:rPr>
                <w:highlight w:val="none"/>
              </w:rPr>
            </w:pPr>
            <w:r>
              <w:rPr>
                <w:rFonts w:hint="eastAsia"/>
                <w:highlight w:val="none"/>
              </w:rPr>
              <w:t>2.限制采购：禁限期内供应商不良行为涉及有限供应源市场产品品类参与竞争性采购时，针对每例行为：采用综合评估法进行评审的，扣减综合得分（总分）3分；采用经评审的最低投标价法进行评审的，核增评审价格3%</w:t>
            </w:r>
            <w:r>
              <w:rPr>
                <w:rFonts w:hint="eastAsia"/>
                <w:highlight w:val="none"/>
              </w:rPr>
              <w:br w:type="page"/>
            </w:r>
          </w:p>
          <w:p>
            <w:pPr>
              <w:widowControl/>
              <w:wordWrap w:val="0"/>
              <w:rPr>
                <w:highlight w:val="none"/>
              </w:rPr>
            </w:pPr>
            <w:r>
              <w:rPr>
                <w:rFonts w:hint="eastAsia"/>
                <w:highlight w:val="none"/>
              </w:rPr>
              <w:t>3.调减份额：调减当期供应商不良行为涉及有限供应源市场产品品类集中采购项目的未执行份额，针对每例行为，调减额为初始分配份额的20%</w:t>
            </w:r>
            <w:r>
              <w:rPr>
                <w:rFonts w:hint="eastAsia"/>
                <w:highlight w:val="none"/>
              </w:rPr>
              <w:br w:type="page"/>
            </w:r>
          </w:p>
          <w:p>
            <w:pPr>
              <w:widowControl/>
              <w:wordWrap w:val="0"/>
              <w:rPr>
                <w:highlight w:val="none"/>
              </w:rPr>
            </w:pP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12</w:t>
            </w:r>
          </w:p>
        </w:tc>
        <w:tc>
          <w:tcPr>
            <w:tcW w:w="2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严重违法经营</w:t>
            </w:r>
          </w:p>
        </w:tc>
        <w:tc>
          <w:tcPr>
            <w:tcW w:w="947"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1.行为描述：供应商违反法律法规经营，被有关行政、司法机关处以吊销营业执照，或勒令停止营业的</w:t>
            </w:r>
            <w:r>
              <w:rPr>
                <w:rFonts w:hint="eastAsia"/>
                <w:highlight w:val="none"/>
              </w:rPr>
              <w:br w:type="textWrapping"/>
            </w:r>
            <w:r>
              <w:rPr>
                <w:rFonts w:hint="eastAsia"/>
                <w:highlight w:val="none"/>
              </w:rPr>
              <w:t>2.认定标准：国家有关管理监督机构公布的结果</w:t>
            </w:r>
          </w:p>
        </w:tc>
        <w:tc>
          <w:tcPr>
            <w:tcW w:w="286"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采购归口管理部门或采购实施部门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特别严重不良行为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1.禁限期：自不良行为处理结果发布次日开始，终止于重新取得的营业执照/准许恢复营业之日</w:t>
            </w:r>
            <w:r>
              <w:rPr>
                <w:rFonts w:hint="eastAsia"/>
                <w:highlight w:val="none"/>
              </w:rPr>
              <w:br w:type="textWrapping"/>
            </w:r>
            <w:r>
              <w:rPr>
                <w:rFonts w:hint="eastAsia"/>
                <w:highlight w:val="none"/>
              </w:rPr>
              <w:t>2.禁止采购：取消禁限期内供应商所有充足供应源市场产品品类参与竞争性采购的资格</w:t>
            </w:r>
            <w:r>
              <w:rPr>
                <w:rFonts w:hint="eastAsia"/>
                <w:highlight w:val="none"/>
              </w:rPr>
              <w:br w:type="textWrapping"/>
            </w:r>
            <w:r>
              <w:rPr>
                <w:rFonts w:hint="eastAsia"/>
                <w:highlight w:val="none"/>
              </w:rPr>
              <w:t>3.取消份额：取消当期供应商所有充足供应源市场产品品类集中采购项目的未执行份额</w:t>
            </w:r>
            <w:r>
              <w:rPr>
                <w:rFonts w:hint="eastAsia"/>
                <w:highlight w:val="none"/>
              </w:rPr>
              <w:br w:type="textWrapping"/>
            </w:r>
            <w:r>
              <w:rPr>
                <w:rFonts w:hint="eastAsia"/>
                <w:highlight w:val="none"/>
              </w:rPr>
              <w:t>4.降级：调整所有充足供应源市场产品品类供应商分级结果为不合格</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1.禁限期：自不良行为处理结果发布次日开始，终止于重新取得的营业执照/准许恢复营业之日</w:t>
            </w:r>
            <w:r>
              <w:rPr>
                <w:rFonts w:hint="eastAsia"/>
                <w:highlight w:val="none"/>
              </w:rPr>
              <w:br w:type="textWrapping"/>
            </w:r>
            <w:r>
              <w:rPr>
                <w:rFonts w:hint="eastAsia"/>
                <w:highlight w:val="none"/>
              </w:rPr>
              <w:t>2.禁止采购：取消禁限期内供应商所有有限供应源市场产品品类参与竞争性采购的资格</w:t>
            </w:r>
            <w:r>
              <w:rPr>
                <w:rFonts w:hint="eastAsia"/>
                <w:highlight w:val="none"/>
              </w:rPr>
              <w:br w:type="textWrapping"/>
            </w:r>
            <w:r>
              <w:rPr>
                <w:rFonts w:hint="eastAsia"/>
                <w:highlight w:val="none"/>
              </w:rPr>
              <w:t>3.取消份额：取消当期供应商所有有限供应源市场产品品类集中采购项目的未执行份额</w:t>
            </w:r>
            <w:r>
              <w:rPr>
                <w:rFonts w:hint="eastAsia"/>
                <w:highlight w:val="none"/>
              </w:rPr>
              <w:br w:type="textWrapping"/>
            </w:r>
            <w:r>
              <w:rPr>
                <w:rFonts w:hint="eastAsia"/>
                <w:highlight w:val="none"/>
              </w:rPr>
              <w:t>4.降级：调整所有有限供应源市场产品品类供应商分级结果为不合格</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13</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恶意修改合同文本</w:t>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在中国电信实施的采购项目中，供应商背离前期采购结果，在合同签订过程中擅自对合同文本作出实质性修改；也包括在合同签订后对合同原件或复印件的内容擅自进行修改、篡改。采购结果包括但不限于通过招标、竞争性谈判、比选、询价、定向谈判等各类采购形式达成的结果</w:t>
            </w:r>
            <w:r>
              <w:rPr>
                <w:rFonts w:hint="eastAsia"/>
                <w:highlight w:val="none"/>
              </w:rPr>
              <w:br w:type="textWrapping"/>
            </w:r>
            <w:r>
              <w:rPr>
                <w:rFonts w:hint="eastAsia"/>
                <w:highlight w:val="none"/>
              </w:rPr>
              <w:t>2.认定标准：中国电信采购实施部门组织认定</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采购实施部门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充足供应源市场产品品类参与竞争性采购时，针对每例行为：采用综合评估法进行评审的，扣减综合得分（总分）2分；采用经评审的最低投标价法进行评审的，核增评审价格2%</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1分；采用经评审的最低投标价法进行评审的，核增评审价格1%</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充足供应源市场产品品类参与竞争性采购时，针对每例行为：采用综合评估法进行评审的，扣减综合得分（总分）2分；采用经评审的最低投标价法进行评审的，核增评审价格2%</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1分；采用经评审的最低投标价法进行评审的，核增评审价格1%</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14</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恶意扰乱采购供应链工作秩序</w:t>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1.行为描述：在中国电信实施的采购项目或其他采购工作中，以恶意投诉或其他非法手段，干扰采购工作进程、采购工作秩序、工作结果的</w:t>
            </w:r>
          </w:p>
          <w:p>
            <w:pPr>
              <w:widowControl/>
              <w:wordWrap w:val="0"/>
              <w:rPr>
                <w:highlight w:val="none"/>
              </w:rPr>
            </w:pPr>
            <w:r>
              <w:rPr>
                <w:rFonts w:hint="eastAsia"/>
                <w:highlight w:val="none"/>
              </w:rPr>
              <w:br w:type="page"/>
            </w:r>
            <w:r>
              <w:rPr>
                <w:rFonts w:hint="eastAsia"/>
                <w:highlight w:val="none"/>
              </w:rPr>
              <w:t>2.认定标准：中国电信采购实施部门或采购归口管理部门组织认定；采购工作包括但不限于采购实施、采购管理、物流管理、质量管理、供应商管理和其他供应链管理工作</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采购实施部门或采购归口管理部门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2.禁止采购：取消禁限期内供应商不良行为涉及充足供应源市场产品品类参与竞争性采购的资格</w:t>
            </w:r>
            <w:r>
              <w:rPr>
                <w:rFonts w:hint="eastAsia"/>
                <w:highlight w:val="none"/>
              </w:rPr>
              <w:br w:type="page"/>
            </w:r>
          </w:p>
          <w:p>
            <w:pPr>
              <w:widowControl/>
              <w:wordWrap w:val="0"/>
              <w:rPr>
                <w:highlight w:val="none"/>
              </w:rPr>
            </w:pPr>
            <w:r>
              <w:rPr>
                <w:rFonts w:hint="eastAsia"/>
                <w:highlight w:val="none"/>
              </w:rPr>
              <w:t>3.降级：调整不良行为涉及充足供应源市场产品品类相关供应商分级结果至下一级</w:t>
            </w:r>
            <w:r>
              <w:rPr>
                <w:rFonts w:hint="eastAsia"/>
                <w:highlight w:val="none"/>
              </w:rPr>
              <w:br w:type="page"/>
            </w:r>
            <w:r>
              <w:rPr>
                <w:rFonts w:hint="eastAsia"/>
                <w:highlight w:val="none"/>
              </w:rPr>
              <w:t>4.约谈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限制采购：禁限期内供应商不良行为涉及有限供应源市场产品品类参与竞争性采购时，针对每例行为：采用综合评估法进行评审的，扣减综合得分（总分）1分；采用经评审的最低投标价法进行评审的，核增评审价格1%</w:t>
            </w:r>
          </w:p>
          <w:p>
            <w:pPr>
              <w:widowControl/>
              <w:wordWrap w:val="0"/>
              <w:rPr>
                <w:highlight w:val="none"/>
              </w:rPr>
            </w:pPr>
            <w:r>
              <w:rPr>
                <w:rFonts w:hint="eastAsia"/>
                <w:highlight w:val="none"/>
              </w:rPr>
              <w:br w:type="page"/>
            </w:r>
            <w:r>
              <w:rPr>
                <w:rFonts w:hint="eastAsia"/>
                <w:highlight w:val="none"/>
              </w:rPr>
              <w:t>3.降级：调整不良行为涉及有限供应源市场产品品类相关供应商分级结果至下一级</w:t>
            </w:r>
            <w:r>
              <w:rPr>
                <w:rFonts w:hint="eastAsia"/>
                <w:highlight w:val="none"/>
              </w:rPr>
              <w:br w:type="page"/>
            </w:r>
          </w:p>
          <w:p>
            <w:pPr>
              <w:widowControl/>
              <w:wordWrap w:val="0"/>
              <w:rPr>
                <w:highlight w:val="none"/>
              </w:rPr>
            </w:pPr>
            <w:r>
              <w:rPr>
                <w:rFonts w:hint="eastAsia"/>
                <w:highlight w:val="none"/>
              </w:rPr>
              <w:t>4.约谈</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3.降级：调整不良行为涉及充足供应源市场产品品类相关供应商分级结果至下一级</w:t>
            </w:r>
            <w:r>
              <w:rPr>
                <w:rFonts w:hint="eastAsia"/>
                <w:highlight w:val="none"/>
              </w:rPr>
              <w:br w:type="textWrapping"/>
            </w:r>
            <w:r>
              <w:rPr>
                <w:rFonts w:hint="eastAsia"/>
                <w:highlight w:val="none"/>
              </w:rPr>
              <w:t>4.约谈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1分；采用经评审的最低投标价法进行评审的，核增评审价格1%</w:t>
            </w:r>
            <w:r>
              <w:rPr>
                <w:rFonts w:hint="eastAsia"/>
                <w:highlight w:val="none"/>
              </w:rPr>
              <w:br w:type="textWrapping"/>
            </w:r>
            <w:r>
              <w:rPr>
                <w:rFonts w:hint="eastAsia"/>
                <w:highlight w:val="none"/>
              </w:rPr>
              <w:t>3.降级：调整不良行为涉及有限供应源市场产品品类相关供应商分级结果至下一级</w:t>
            </w:r>
            <w:r>
              <w:rPr>
                <w:rFonts w:hint="eastAsia"/>
                <w:highlight w:val="none"/>
              </w:rPr>
              <w:br w:type="textWrapping"/>
            </w:r>
            <w:r>
              <w:rPr>
                <w:rFonts w:hint="eastAsia"/>
                <w:highlight w:val="none"/>
              </w:rPr>
              <w:t>4.约谈</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15</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转包或违法/违约分包</w:t>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1.行为描述：在中国电信合同履行过程中，供应商存在转包、违法或违约分包的</w:t>
            </w:r>
          </w:p>
          <w:p>
            <w:pPr>
              <w:widowControl/>
              <w:wordWrap w:val="0"/>
              <w:rPr>
                <w:highlight w:val="none"/>
              </w:rPr>
            </w:pPr>
            <w:r>
              <w:rPr>
                <w:rFonts w:hint="eastAsia"/>
                <w:highlight w:val="none"/>
              </w:rPr>
              <w:br w:type="page"/>
            </w:r>
            <w:r>
              <w:rPr>
                <w:rFonts w:hint="eastAsia"/>
                <w:highlight w:val="none"/>
              </w:rPr>
              <w:t>2.认定标准：中国电信采购实施部门组织认定</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采购实施部门</w:t>
            </w:r>
          </w:p>
        </w:tc>
        <w:tc>
          <w:tcPr>
            <w:tcW w:w="249"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导致发生质量安全事故</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page"/>
            </w:r>
          </w:p>
          <w:p>
            <w:pPr>
              <w:widowControl/>
              <w:wordWrap w:val="0"/>
              <w:rPr>
                <w:highlight w:val="none"/>
              </w:rPr>
            </w:pPr>
            <w:r>
              <w:rPr>
                <w:rFonts w:hint="eastAsia"/>
                <w:highlight w:val="none"/>
              </w:rPr>
              <w:t>2.禁止采购：取消禁限期内供应商不良行为涉及充足供应源市场产品品类参与竞争性采购的资格</w:t>
            </w:r>
            <w:r>
              <w:rPr>
                <w:rFonts w:hint="eastAsia"/>
                <w:highlight w:val="none"/>
              </w:rPr>
              <w:br w:type="page"/>
            </w:r>
          </w:p>
          <w:p>
            <w:pPr>
              <w:widowControl/>
              <w:wordWrap w:val="0"/>
              <w:rPr>
                <w:highlight w:val="none"/>
              </w:rPr>
            </w:pPr>
            <w:r>
              <w:rPr>
                <w:rFonts w:hint="eastAsia"/>
                <w:highlight w:val="none"/>
              </w:rPr>
              <w:t>3.取消份额：取消当期供应商不良行为涉及充足供应源市场产品品类集中采购项目的未执行份额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4.降级：调整不良行为涉及充足供应源市场产品品类相关供应商分级结果至下一级</w:t>
            </w:r>
          </w:p>
          <w:p>
            <w:pPr>
              <w:widowControl/>
              <w:wordWrap w:val="0"/>
              <w:rPr>
                <w:highlight w:val="none"/>
              </w:rPr>
            </w:pPr>
            <w:r>
              <w:rPr>
                <w:rFonts w:hint="eastAsia"/>
                <w:highlight w:val="none"/>
              </w:rPr>
              <w:br w:type="page"/>
            </w:r>
            <w:r>
              <w:rPr>
                <w:rFonts w:hint="eastAsia"/>
                <w:highlight w:val="none"/>
              </w:rPr>
              <w:t>5.约谈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p>
          <w:p>
            <w:pPr>
              <w:widowControl/>
              <w:wordWrap w:val="0"/>
              <w:rPr>
                <w:highlight w:val="none"/>
              </w:rPr>
            </w:pPr>
            <w:r>
              <w:rPr>
                <w:rFonts w:hint="eastAsia"/>
                <w:highlight w:val="none"/>
              </w:rPr>
              <w:br w:type="page"/>
            </w:r>
            <w:r>
              <w:rPr>
                <w:rFonts w:hint="eastAsia"/>
                <w:highlight w:val="none"/>
              </w:rPr>
              <w:t>2.限制采购：禁限期内供应商不良行为涉及的有限供应源市场产品品类参与竞争性采购时，针对每例行为：采用综合评估法进行评审的，扣减综合得分（总分）2分；采用经评审的最低投标价法进行评审的，核增评审价格2%</w:t>
            </w:r>
            <w:r>
              <w:rPr>
                <w:rFonts w:hint="eastAsia"/>
                <w:highlight w:val="none"/>
              </w:rPr>
              <w:br w:type="page"/>
            </w:r>
          </w:p>
          <w:p>
            <w:pPr>
              <w:widowControl/>
              <w:wordWrap w:val="0"/>
              <w:rPr>
                <w:highlight w:val="none"/>
              </w:rPr>
            </w:pPr>
            <w:r>
              <w:rPr>
                <w:rFonts w:hint="eastAsia"/>
                <w:highlight w:val="none"/>
              </w:rPr>
              <w:t>3.调减份额：调减当期供应商不良行为涉及有限供应源市场产品品类集中采购项目的未执行份额，针对每例行为，调减额为初始分配份额的30%</w:t>
            </w:r>
            <w:r>
              <w:rPr>
                <w:rFonts w:hint="eastAsia"/>
                <w:highlight w:val="none"/>
              </w:rPr>
              <w:br w:type="page"/>
            </w:r>
          </w:p>
          <w:p>
            <w:pPr>
              <w:widowControl/>
              <w:wordWrap w:val="0"/>
              <w:rPr>
                <w:highlight w:val="none"/>
              </w:rPr>
            </w:pPr>
            <w:r>
              <w:rPr>
                <w:rFonts w:hint="eastAsia"/>
                <w:highlight w:val="none"/>
              </w:rPr>
              <w:t>4.降级：调整不良行为涉及有限供应源市场产品品类相关供应商分级结果至下一级</w:t>
            </w:r>
          </w:p>
          <w:p>
            <w:pPr>
              <w:widowControl/>
              <w:wordWrap w:val="0"/>
              <w:rPr>
                <w:highlight w:val="none"/>
              </w:rPr>
            </w:pPr>
            <w:r>
              <w:rPr>
                <w:rFonts w:hint="eastAsia"/>
                <w:highlight w:val="none"/>
              </w:rPr>
              <w:br w:type="page"/>
            </w:r>
            <w:r>
              <w:rPr>
                <w:rFonts w:hint="eastAsia"/>
                <w:highlight w:val="none"/>
              </w:rPr>
              <w:t>5.约谈</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未导致发生质量安全事故</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的有限供应源市场产品品类参与竞争性采购时，针对每例行为：采用综合评估法进行评审的，扣减综合得分（总分）2分；采用经评审的最低投标价法进行评审的，核增评审价格2%</w:t>
            </w:r>
            <w:r>
              <w:rPr>
                <w:rFonts w:hint="eastAsia"/>
                <w:highlight w:val="none"/>
              </w:rPr>
              <w:br w:type="textWrapping"/>
            </w:r>
            <w:r>
              <w:rPr>
                <w:rFonts w:hint="eastAsia"/>
                <w:highlight w:val="none"/>
              </w:rPr>
              <w:t>3.调减份额：调减当期供应商不良行为涉及充足供应源市场产品品类集中采购项目的未执行份额，针对每例行为，调减额为初始分配份额的20%</w:t>
            </w:r>
            <w:r>
              <w:rPr>
                <w:rFonts w:hint="eastAsia"/>
                <w:highlight w:val="none"/>
              </w:rPr>
              <w:br w:type="textWrapping"/>
            </w:r>
            <w:r>
              <w:rPr>
                <w:rFonts w:hint="eastAsia"/>
                <w:highlight w:val="none"/>
              </w:rPr>
              <w:t>4.降级：调整不良行为涉及充足供应源市场产品品类相关供应商分级结果至下一级</w:t>
            </w:r>
            <w:r>
              <w:rPr>
                <w:rFonts w:hint="eastAsia"/>
                <w:highlight w:val="none"/>
              </w:rPr>
              <w:br w:type="textWrapping"/>
            </w:r>
            <w:r>
              <w:rPr>
                <w:rFonts w:hint="eastAsia"/>
                <w:highlight w:val="none"/>
              </w:rPr>
              <w:t>5.约谈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的有限供应源市场产品品类参与竞争性采购时，针对每例行为：采用综合评估法进行评审的，扣减综合得分（总分）1分；采用经评审的最低投标价法进行评审的，核增评审价格1%</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3.调减份额：调减当期供应商不良行为涉及有限供应源市场产品品类集中采购项目的未执行份额，针对每例行为，调减额为初始分配份额的10%</w:t>
            </w:r>
            <w:r>
              <w:rPr>
                <w:rFonts w:hint="eastAsia"/>
                <w:highlight w:val="none"/>
              </w:rPr>
              <w:br w:type="textWrapping"/>
            </w:r>
            <w:r>
              <w:rPr>
                <w:rFonts w:hint="eastAsia"/>
                <w:highlight w:val="none"/>
              </w:rPr>
              <w:t>4.降级：调整不良行为涉及有限供应源市场产品品类相关供应商分级结果至下一级</w:t>
            </w:r>
            <w:r>
              <w:rPr>
                <w:rFonts w:hint="eastAsia"/>
                <w:highlight w:val="none"/>
              </w:rPr>
              <w:br w:type="textWrapping"/>
            </w:r>
            <w:r>
              <w:rPr>
                <w:rFonts w:hint="eastAsia"/>
                <w:highlight w:val="none"/>
              </w:rPr>
              <w:t>5.约谈</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导致发生质量安全事故</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3.取消份额：取消当期供应商不良行为涉及充足供应源市场产品品类集中采购项目的未执行份额</w:t>
            </w:r>
            <w:r>
              <w:rPr>
                <w:rFonts w:hint="eastAsia"/>
                <w:highlight w:val="none"/>
              </w:rPr>
              <w:br w:type="textWrapping"/>
            </w:r>
            <w:r>
              <w:rPr>
                <w:rFonts w:hint="eastAsia"/>
                <w:highlight w:val="none"/>
              </w:rPr>
              <w:t>4.降级：调整不良行为涉及充足供应源市场产品品类相关供应商分级结果至下一级</w:t>
            </w:r>
            <w:r>
              <w:rPr>
                <w:rFonts w:hint="eastAsia"/>
                <w:highlight w:val="none"/>
              </w:rPr>
              <w:br w:type="textWrapping"/>
            </w:r>
            <w:r>
              <w:rPr>
                <w:rFonts w:hint="eastAsia"/>
                <w:highlight w:val="none"/>
              </w:rPr>
              <w:t>5.约谈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限制采购：禁限期内供应商不良行为涉及的有限供应源市场产品品类参与竞争性采购时，针对每例行为：采用综合评估法进行评审的，扣减综合得分（总分）2分；采用经评审的最低投标价法进行评审的，核增评审价格2%</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3.调减份额：调减当期供应商不良行为涉及有限供应源市场产品品类集中采购项目的未执行份额，针对每例行为，调减额为初始分配份额的30%</w:t>
            </w:r>
            <w:r>
              <w:rPr>
                <w:rFonts w:hint="eastAsia"/>
                <w:highlight w:val="none"/>
              </w:rPr>
              <w:br w:type="textWrapping"/>
            </w:r>
            <w:r>
              <w:rPr>
                <w:rFonts w:hint="eastAsia"/>
                <w:highlight w:val="none"/>
              </w:rPr>
              <w:t>4.降级：调整不良行为涉及有限供应源市场产品品类相关供应商分级结果至下一级</w:t>
            </w:r>
            <w:r>
              <w:rPr>
                <w:rFonts w:hint="eastAsia"/>
                <w:highlight w:val="none"/>
              </w:rPr>
              <w:br w:type="textWrapping"/>
            </w:r>
            <w:r>
              <w:rPr>
                <w:rFonts w:hint="eastAsia"/>
                <w:highlight w:val="none"/>
              </w:rPr>
              <w:t>5.约谈</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未导致发生质量安全事故</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限制采购：禁限期内供应商不良行为涉及的有限供应源市场产品品类参与竞争性采购时，针对每例行为：采用综合评估法进行评审的，扣减综合得分（总分）2分；采用经评审的最低投标价法进行评审的，核增评审价格2%</w:t>
            </w:r>
            <w:r>
              <w:rPr>
                <w:rFonts w:hint="eastAsia"/>
                <w:highlight w:val="none"/>
              </w:rPr>
              <w:br w:type="page"/>
            </w:r>
          </w:p>
          <w:p>
            <w:pPr>
              <w:widowControl/>
              <w:wordWrap w:val="0"/>
              <w:rPr>
                <w:highlight w:val="none"/>
              </w:rPr>
            </w:pPr>
            <w:r>
              <w:rPr>
                <w:rFonts w:hint="eastAsia"/>
                <w:highlight w:val="none"/>
              </w:rPr>
              <w:t>3.调减份额：调减当期供应商不良行为涉及充足供应源市场产品品类集中采购项目的未执行份额，针对每例行为，调减额为初始分配份额的20%</w:t>
            </w:r>
            <w:r>
              <w:rPr>
                <w:rFonts w:hint="eastAsia"/>
                <w:highlight w:val="none"/>
              </w:rPr>
              <w:br w:type="page"/>
            </w:r>
          </w:p>
          <w:p>
            <w:pPr>
              <w:widowControl/>
              <w:wordWrap w:val="0"/>
              <w:rPr>
                <w:highlight w:val="none"/>
              </w:rPr>
            </w:pPr>
            <w:r>
              <w:rPr>
                <w:rFonts w:hint="eastAsia"/>
                <w:highlight w:val="none"/>
              </w:rPr>
              <w:t>4.降级：调整不良行为涉及充足供应源市场产品品类相关供应商分级结果至下一级</w:t>
            </w:r>
            <w:r>
              <w:rPr>
                <w:rFonts w:hint="eastAsia"/>
                <w:highlight w:val="none"/>
              </w:rPr>
              <w:br w:type="page"/>
            </w:r>
          </w:p>
          <w:p>
            <w:pPr>
              <w:widowControl/>
              <w:wordWrap w:val="0"/>
              <w:rPr>
                <w:highlight w:val="none"/>
              </w:rPr>
            </w:pPr>
            <w:r>
              <w:rPr>
                <w:rFonts w:hint="eastAsia"/>
                <w:highlight w:val="none"/>
              </w:rPr>
              <w:t>5.约谈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限制采购：禁限期内供应商不良行为涉及的有限供应源市场产品品类参与竞争性采购时，针对每例行为：采用综合评估法进行评审的，扣减综合得分（总分）1分；采用经评审的最低投标价法进行评审的，核增评审价格1%</w:t>
            </w:r>
            <w:r>
              <w:rPr>
                <w:rFonts w:hint="eastAsia"/>
                <w:highlight w:val="none"/>
              </w:rPr>
              <w:br w:type="page"/>
            </w:r>
          </w:p>
          <w:p>
            <w:pPr>
              <w:widowControl/>
              <w:wordWrap w:val="0"/>
              <w:rPr>
                <w:highlight w:val="none"/>
              </w:rPr>
            </w:pPr>
            <w:r>
              <w:rPr>
                <w:rFonts w:hint="eastAsia"/>
                <w:highlight w:val="none"/>
              </w:rPr>
              <w:t>3.调减份额：调减当期供应商不良行为涉及有限供应源市场产品品类集中采购项目的未执行份额，针对每例行为，调减额为初始分配份额的10%</w:t>
            </w:r>
            <w:r>
              <w:rPr>
                <w:rFonts w:hint="eastAsia"/>
                <w:highlight w:val="none"/>
              </w:rPr>
              <w:br w:type="page"/>
            </w:r>
          </w:p>
          <w:p>
            <w:pPr>
              <w:widowControl/>
              <w:wordWrap w:val="0"/>
              <w:rPr>
                <w:highlight w:val="none"/>
              </w:rPr>
            </w:pPr>
            <w:r>
              <w:rPr>
                <w:rFonts w:hint="eastAsia"/>
                <w:highlight w:val="none"/>
              </w:rPr>
              <w:t>4.降级：调整不良行为涉及有限供应源市场产品品类相关供应商分级结果至下一级</w:t>
            </w:r>
            <w:r>
              <w:rPr>
                <w:rFonts w:hint="eastAsia"/>
                <w:highlight w:val="none"/>
              </w:rPr>
              <w:br w:type="page"/>
            </w:r>
          </w:p>
          <w:p>
            <w:pPr>
              <w:widowControl/>
              <w:wordWrap w:val="0"/>
              <w:rPr>
                <w:highlight w:val="none"/>
              </w:rPr>
            </w:pPr>
            <w:r>
              <w:rPr>
                <w:rFonts w:hint="eastAsia"/>
                <w:highlight w:val="none"/>
              </w:rPr>
              <w:t>5.约谈</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16</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拒绝履约</w:t>
            </w:r>
            <w:r>
              <w:rPr>
                <w:rFonts w:hint="eastAsia"/>
                <w:highlight w:val="none"/>
              </w:rPr>
              <w:br w:type="page"/>
            </w:r>
            <w:r>
              <w:rPr>
                <w:rFonts w:hint="eastAsia"/>
                <w:highlight w:val="none"/>
              </w:rPr>
              <w:br w:type="page"/>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1.行为描述：在中国电信合同履行过程中拒绝履约，包括但不限于以下情形、经公司采购实施部门协调仍拒不改正的：</w:t>
            </w:r>
          </w:p>
          <w:p>
            <w:pPr>
              <w:widowControl/>
              <w:wordWrap w:val="0"/>
              <w:rPr>
                <w:highlight w:val="none"/>
              </w:rPr>
            </w:pPr>
            <w:r>
              <w:rPr>
                <w:rFonts w:hint="eastAsia"/>
                <w:highlight w:val="none"/>
              </w:rPr>
              <w:br w:type="page"/>
            </w:r>
            <w:r>
              <w:rPr>
                <w:rFonts w:hint="eastAsia"/>
                <w:highlight w:val="none"/>
              </w:rPr>
              <w:t>（1）无正当理由拒绝接受订单/拒绝供应/中断供应</w:t>
            </w:r>
            <w:r>
              <w:rPr>
                <w:rFonts w:hint="eastAsia"/>
                <w:highlight w:val="none"/>
              </w:rPr>
              <w:br w:type="page"/>
            </w:r>
          </w:p>
          <w:p>
            <w:pPr>
              <w:widowControl/>
              <w:wordWrap w:val="0"/>
              <w:rPr>
                <w:highlight w:val="none"/>
              </w:rPr>
            </w:pPr>
            <w:r>
              <w:rPr>
                <w:rFonts w:hint="eastAsia"/>
                <w:highlight w:val="none"/>
              </w:rPr>
              <w:t>（2）选择性地接受订单或供应/附加额外条件接受订单或供应</w:t>
            </w:r>
          </w:p>
          <w:p>
            <w:pPr>
              <w:widowControl/>
              <w:wordWrap w:val="0"/>
              <w:rPr>
                <w:highlight w:val="none"/>
              </w:rPr>
            </w:pPr>
            <w:r>
              <w:rPr>
                <w:rFonts w:hint="eastAsia"/>
                <w:highlight w:val="none"/>
              </w:rPr>
              <w:br w:type="page"/>
            </w:r>
            <w:r>
              <w:rPr>
                <w:rFonts w:hint="eastAsia"/>
                <w:highlight w:val="none"/>
              </w:rPr>
              <w:t>（3）故意拖延供应导致采购方被迫取消订单/解除合同</w:t>
            </w:r>
            <w:r>
              <w:rPr>
                <w:rFonts w:hint="eastAsia"/>
                <w:highlight w:val="none"/>
              </w:rPr>
              <w:br w:type="page"/>
            </w:r>
          </w:p>
          <w:p>
            <w:pPr>
              <w:widowControl/>
              <w:wordWrap w:val="0"/>
              <w:rPr>
                <w:highlight w:val="none"/>
              </w:rPr>
            </w:pPr>
            <w:r>
              <w:rPr>
                <w:rFonts w:hint="eastAsia"/>
                <w:highlight w:val="none"/>
              </w:rPr>
              <w:t>（4）拒绝支付招标代理/采购代理服务费</w:t>
            </w:r>
            <w:r>
              <w:rPr>
                <w:rFonts w:hint="eastAsia"/>
                <w:highlight w:val="none"/>
              </w:rPr>
              <w:br w:type="page"/>
            </w:r>
          </w:p>
          <w:p>
            <w:pPr>
              <w:widowControl/>
              <w:wordWrap w:val="0"/>
              <w:rPr>
                <w:highlight w:val="none"/>
              </w:rPr>
            </w:pPr>
            <w:r>
              <w:rPr>
                <w:rFonts w:hint="eastAsia"/>
                <w:highlight w:val="none"/>
              </w:rPr>
              <w:t>（5）无正当理由拒绝按照约定的价格及其他条件签订维护保修服务、备品备件等采购合同</w:t>
            </w:r>
            <w:r>
              <w:rPr>
                <w:rFonts w:hint="eastAsia"/>
                <w:highlight w:val="none"/>
              </w:rPr>
              <w:br w:type="page"/>
            </w:r>
          </w:p>
          <w:p>
            <w:pPr>
              <w:widowControl/>
              <w:wordWrap w:val="0"/>
              <w:rPr>
                <w:highlight w:val="none"/>
              </w:rPr>
            </w:pPr>
            <w:r>
              <w:rPr>
                <w:rFonts w:hint="eastAsia"/>
                <w:highlight w:val="none"/>
              </w:rPr>
              <w:t>（6）无正当理由拒绝按照合同约定义务配合业务、系统或数据的割接、迁移，或为相关工作设置障碍或进行阻挠</w:t>
            </w:r>
            <w:r>
              <w:rPr>
                <w:rFonts w:hint="eastAsia"/>
                <w:highlight w:val="none"/>
              </w:rPr>
              <w:br w:type="page"/>
            </w:r>
          </w:p>
          <w:p>
            <w:pPr>
              <w:widowControl/>
              <w:wordWrap w:val="0"/>
              <w:rPr>
                <w:highlight w:val="none"/>
              </w:rPr>
            </w:pPr>
            <w:r>
              <w:rPr>
                <w:rFonts w:hint="eastAsia"/>
                <w:highlight w:val="none"/>
              </w:rPr>
              <w:t>2.认定标准：中国电信采购实施部门组织认定。供应包括提供货物和/或服务，以及实施/交付工程</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采购实施部门</w:t>
            </w:r>
          </w:p>
        </w:tc>
        <w:tc>
          <w:tcPr>
            <w:tcW w:w="249"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导致重新招标</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p>
          <w:p>
            <w:pPr>
              <w:widowControl/>
              <w:wordWrap w:val="0"/>
              <w:rPr>
                <w:highlight w:val="none"/>
              </w:rPr>
            </w:pPr>
            <w:r>
              <w:rPr>
                <w:rFonts w:hint="eastAsia"/>
                <w:highlight w:val="none"/>
              </w:rPr>
              <w:br w:type="page"/>
            </w:r>
            <w:r>
              <w:rPr>
                <w:rFonts w:hint="eastAsia"/>
                <w:highlight w:val="none"/>
              </w:rPr>
              <w:t>2.禁止采购：取消禁限期内供应商不良行为涉及充足供应源市场产品品类参与竞争性采购的资格</w:t>
            </w:r>
          </w:p>
          <w:p>
            <w:pPr>
              <w:widowControl/>
              <w:wordWrap w:val="0"/>
              <w:rPr>
                <w:highlight w:val="none"/>
              </w:rPr>
            </w:pPr>
            <w:r>
              <w:rPr>
                <w:rFonts w:hint="eastAsia"/>
                <w:highlight w:val="none"/>
              </w:rPr>
              <w:br w:type="page"/>
            </w:r>
            <w:r>
              <w:rPr>
                <w:rFonts w:hint="eastAsia"/>
                <w:highlight w:val="none"/>
              </w:rPr>
              <w:t>3.取消份额：取消当期供应商不良行为涉及充足供应源市场产品品类集中采购项目的未执行份额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4.降级：调整不良行为涉及充足供应源市场产品品类相关供应商分级结果至下一级</w:t>
            </w:r>
          </w:p>
          <w:p>
            <w:pPr>
              <w:widowControl/>
              <w:wordWrap w:val="0"/>
              <w:rPr>
                <w:highlight w:val="none"/>
              </w:rPr>
            </w:pPr>
            <w:r>
              <w:rPr>
                <w:rFonts w:hint="eastAsia"/>
                <w:highlight w:val="none"/>
              </w:rPr>
              <w:br w:type="page"/>
            </w:r>
            <w:r>
              <w:rPr>
                <w:rFonts w:hint="eastAsia"/>
                <w:highlight w:val="none"/>
              </w:rPr>
              <w:t>5.约谈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p>
          <w:p>
            <w:pPr>
              <w:widowControl/>
              <w:wordWrap w:val="0"/>
              <w:rPr>
                <w:highlight w:val="none"/>
              </w:rPr>
            </w:pPr>
            <w:r>
              <w:rPr>
                <w:rFonts w:hint="eastAsia"/>
                <w:highlight w:val="none"/>
              </w:rPr>
              <w:br w:type="page"/>
            </w:r>
            <w:r>
              <w:rPr>
                <w:rFonts w:hint="eastAsia"/>
                <w:highlight w:val="none"/>
              </w:rPr>
              <w:t>2.禁止采购：取消禁限期内供应商不良行为涉及有限供应源市场产品品类参与竞争性采购的资格</w:t>
            </w:r>
          </w:p>
          <w:p>
            <w:pPr>
              <w:widowControl/>
              <w:wordWrap w:val="0"/>
              <w:rPr>
                <w:highlight w:val="none"/>
              </w:rPr>
            </w:pPr>
            <w:r>
              <w:rPr>
                <w:rFonts w:hint="eastAsia"/>
                <w:highlight w:val="none"/>
              </w:rPr>
              <w:br w:type="page"/>
            </w:r>
            <w:r>
              <w:rPr>
                <w:rFonts w:hint="eastAsia"/>
                <w:highlight w:val="none"/>
              </w:rPr>
              <w:t>3.调减份额：调减当期供应商不良行为涉及有限供应源市场产品品类集中采购项目的未执行份额，针对每例行为，调减额为初始分配份额的30%</w:t>
            </w:r>
          </w:p>
          <w:p>
            <w:pPr>
              <w:widowControl/>
              <w:wordWrap w:val="0"/>
              <w:rPr>
                <w:highlight w:val="none"/>
              </w:rPr>
            </w:pPr>
            <w:r>
              <w:rPr>
                <w:rFonts w:hint="eastAsia"/>
                <w:highlight w:val="none"/>
              </w:rPr>
              <w:br w:type="page"/>
            </w:r>
            <w:r>
              <w:rPr>
                <w:rFonts w:hint="eastAsia"/>
                <w:highlight w:val="none"/>
              </w:rPr>
              <w:t>4.降级：调整不良行为涉及有限供应源市场产品品类相关供应商分级结果至下一级</w:t>
            </w:r>
          </w:p>
          <w:p>
            <w:pPr>
              <w:widowControl/>
              <w:wordWrap w:val="0"/>
              <w:rPr>
                <w:highlight w:val="none"/>
              </w:rPr>
            </w:pPr>
            <w:r>
              <w:rPr>
                <w:rFonts w:hint="eastAsia"/>
                <w:highlight w:val="none"/>
              </w:rPr>
              <w:br w:type="page"/>
            </w:r>
            <w:r>
              <w:rPr>
                <w:rFonts w:hint="eastAsia"/>
                <w:highlight w:val="none"/>
              </w:rPr>
              <w:t>5.约谈</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未导致重新招标</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限制采购：禁限期内供应商不良行为涉及充足供应源市场产品品类参与竞争性采购时，针对每例行为：采用综合评估法进行评审的，扣减综合得分（总分）1分；采用经评审的最低投标价法进行评审的，核增评审价格1%</w:t>
            </w:r>
            <w:r>
              <w:rPr>
                <w:rFonts w:hint="eastAsia"/>
                <w:highlight w:val="none"/>
              </w:rPr>
              <w:br w:type="textWrapping"/>
            </w:r>
            <w:r>
              <w:rPr>
                <w:rFonts w:hint="eastAsia"/>
                <w:highlight w:val="none"/>
              </w:rPr>
              <w:t>3.调减份额：调减当期供应商不良行为涉及充足供应源市场产品品类集中采购项目的未执行份额，针对每例行为，调减额为初始分配份额的20%</w:t>
            </w:r>
            <w:r>
              <w:rPr>
                <w:rFonts w:hint="eastAsia"/>
                <w:highlight w:val="none"/>
              </w:rPr>
              <w:br w:type="textWrapping"/>
            </w:r>
            <w:r>
              <w:rPr>
                <w:rFonts w:hint="eastAsia"/>
                <w:highlight w:val="none"/>
              </w:rPr>
              <w:t>4.降级：调整不良行为涉及充足供应源市场产品品类相关供应商分级结果至下一级</w:t>
            </w:r>
            <w:r>
              <w:rPr>
                <w:rFonts w:hint="eastAsia"/>
                <w:highlight w:val="none"/>
              </w:rPr>
              <w:br w:type="textWrapping"/>
            </w:r>
            <w:r>
              <w:rPr>
                <w:rFonts w:hint="eastAsia"/>
                <w:highlight w:val="none"/>
              </w:rPr>
              <w:t>5.约谈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0.5分；采用经评审的最低投标价法进行评审的，核增评审价格0.5%</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3.调减份额：调减当期供应商不良行为涉及有限供应源市场产品品类集中采购项目的未执行份额，针对每例行为，调减额为初始分配份额的10%</w:t>
            </w:r>
            <w:r>
              <w:rPr>
                <w:rFonts w:hint="eastAsia"/>
                <w:highlight w:val="none"/>
              </w:rPr>
              <w:br w:type="textWrapping"/>
            </w:r>
            <w:r>
              <w:rPr>
                <w:rFonts w:hint="eastAsia"/>
                <w:highlight w:val="none"/>
              </w:rPr>
              <w:t>4.降级：调整不良行为涉及有限供应源市场产品品类相关供应商分级结果至下一级</w:t>
            </w:r>
            <w:r>
              <w:rPr>
                <w:rFonts w:hint="eastAsia"/>
                <w:highlight w:val="none"/>
              </w:rPr>
              <w:br w:type="textWrapping"/>
            </w:r>
            <w:r>
              <w:rPr>
                <w:rFonts w:hint="eastAsia"/>
                <w:highlight w:val="none"/>
              </w:rPr>
              <w:t>5.约谈</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导致重新招标</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3.取消份额：取消当期供应商不良行为涉及充足供应源市场产品品类集中采购项目的未执行份额</w:t>
            </w:r>
            <w:r>
              <w:rPr>
                <w:rFonts w:hint="eastAsia"/>
                <w:highlight w:val="none"/>
              </w:rPr>
              <w:br w:type="textWrapping"/>
            </w:r>
            <w:r>
              <w:rPr>
                <w:rFonts w:hint="eastAsia"/>
                <w:highlight w:val="none"/>
              </w:rPr>
              <w:t>4.降级：调整不良行为涉及充足供应源市场产品品类相关供应商分级结果至下一级</w:t>
            </w:r>
            <w:r>
              <w:rPr>
                <w:rFonts w:hint="eastAsia"/>
                <w:highlight w:val="none"/>
              </w:rPr>
              <w:br w:type="textWrapping"/>
            </w:r>
            <w:r>
              <w:rPr>
                <w:rFonts w:hint="eastAsia"/>
                <w:highlight w:val="none"/>
              </w:rPr>
              <w:t>5.约谈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2.禁止采购：取消禁限期内供应商不良行为涉及有限供应源市场产品品类参与竞争性采购的资格</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3.调减份额：调减当期供应商不良行为涉及有限供应源市场产品品类集中采购项目的未执行份额，针对每例行为，调减额为初始分配份额的30%</w:t>
            </w:r>
            <w:r>
              <w:rPr>
                <w:rFonts w:hint="eastAsia"/>
                <w:highlight w:val="none"/>
              </w:rPr>
              <w:br w:type="textWrapping"/>
            </w:r>
            <w:r>
              <w:rPr>
                <w:rFonts w:hint="eastAsia"/>
                <w:highlight w:val="none"/>
              </w:rPr>
              <w:t>4.降级：调整不良行为涉及有限供应源市场产品品类相关供应商分级结果至下一级</w:t>
            </w:r>
            <w:r>
              <w:rPr>
                <w:rFonts w:hint="eastAsia"/>
                <w:highlight w:val="none"/>
              </w:rPr>
              <w:br w:type="textWrapping"/>
            </w:r>
            <w:r>
              <w:rPr>
                <w:rFonts w:hint="eastAsia"/>
                <w:highlight w:val="none"/>
              </w:rPr>
              <w:t>5.约谈</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未导致重新招标</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p>
          <w:p>
            <w:pPr>
              <w:widowControl/>
              <w:wordWrap w:val="0"/>
              <w:rPr>
                <w:highlight w:val="none"/>
              </w:rPr>
            </w:pPr>
            <w:r>
              <w:rPr>
                <w:rFonts w:hint="eastAsia"/>
                <w:highlight w:val="none"/>
              </w:rPr>
              <w:br w:type="page"/>
            </w:r>
            <w:r>
              <w:rPr>
                <w:rFonts w:hint="eastAsia"/>
                <w:highlight w:val="none"/>
              </w:rPr>
              <w:t>2.限制采购：禁限期内供应商不良行为涉及充足供应源市场产品品类参与竞争性采购时，针对每例行为：采用综合评估法进行评审的，扣减综合得分（总分）1分；采用经评审的最低投标价法进行评审的，核增评审价格1%</w:t>
            </w:r>
            <w:r>
              <w:rPr>
                <w:rFonts w:hint="eastAsia"/>
                <w:highlight w:val="none"/>
              </w:rPr>
              <w:br w:type="page"/>
            </w:r>
          </w:p>
          <w:p>
            <w:pPr>
              <w:widowControl/>
              <w:wordWrap w:val="0"/>
              <w:rPr>
                <w:highlight w:val="none"/>
              </w:rPr>
            </w:pPr>
            <w:r>
              <w:rPr>
                <w:rFonts w:hint="eastAsia"/>
                <w:highlight w:val="none"/>
              </w:rPr>
              <w:t>3.调减份额：调减当期供应商不良行为涉及充足供应源市场产品品类集中采购项目的未执行份额，针对每例行为，调减额为初始分配份额的20%</w:t>
            </w:r>
            <w:r>
              <w:rPr>
                <w:rFonts w:hint="eastAsia"/>
                <w:highlight w:val="none"/>
              </w:rPr>
              <w:br w:type="page"/>
            </w:r>
          </w:p>
          <w:p>
            <w:pPr>
              <w:widowControl/>
              <w:wordWrap w:val="0"/>
              <w:rPr>
                <w:highlight w:val="none"/>
              </w:rPr>
            </w:pPr>
            <w:r>
              <w:rPr>
                <w:rFonts w:hint="eastAsia"/>
                <w:highlight w:val="none"/>
              </w:rPr>
              <w:t>4.降级：调整不良行为涉及充足供应源市场产品品类相关供应商分级结果至下一级</w:t>
            </w:r>
          </w:p>
          <w:p>
            <w:pPr>
              <w:widowControl/>
              <w:wordWrap w:val="0"/>
              <w:rPr>
                <w:highlight w:val="none"/>
              </w:rPr>
            </w:pPr>
            <w:r>
              <w:rPr>
                <w:rFonts w:hint="eastAsia"/>
                <w:highlight w:val="none"/>
              </w:rPr>
              <w:br w:type="page"/>
            </w:r>
            <w:r>
              <w:rPr>
                <w:rFonts w:hint="eastAsia"/>
                <w:highlight w:val="none"/>
              </w:rPr>
              <w:t>5.约谈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page"/>
            </w:r>
          </w:p>
          <w:p>
            <w:pPr>
              <w:widowControl/>
              <w:wordWrap w:val="0"/>
              <w:rPr>
                <w:highlight w:val="none"/>
              </w:rPr>
            </w:pPr>
            <w:r>
              <w:rPr>
                <w:rFonts w:hint="eastAsia"/>
                <w:highlight w:val="none"/>
              </w:rPr>
              <w:t>2.限制采购：禁限期内供应商不良行为涉及有限供应源市场产品品类参与竞争性采购时，针对每例行为：采用综合评估法进行评审的，扣减综合得分（总分）0.5分；采用经评审的最低投标价法进行评审的，核增评审价格0.5%</w:t>
            </w:r>
          </w:p>
          <w:p>
            <w:pPr>
              <w:widowControl/>
              <w:wordWrap w:val="0"/>
              <w:rPr>
                <w:highlight w:val="none"/>
              </w:rPr>
            </w:pPr>
            <w:r>
              <w:rPr>
                <w:rFonts w:hint="eastAsia"/>
                <w:highlight w:val="none"/>
              </w:rPr>
              <w:br w:type="page"/>
            </w:r>
            <w:r>
              <w:rPr>
                <w:rFonts w:hint="eastAsia"/>
                <w:highlight w:val="none"/>
              </w:rPr>
              <w:t>3.调减份额：调减当期供应商不良行为涉及有限供应源市场产品品类集中采购项目的未执行份额，针对每例行为，调减额为初始分配份额的10%</w:t>
            </w:r>
            <w:r>
              <w:rPr>
                <w:rFonts w:hint="eastAsia"/>
                <w:highlight w:val="none"/>
              </w:rPr>
              <w:br w:type="page"/>
            </w:r>
          </w:p>
          <w:p>
            <w:pPr>
              <w:widowControl/>
              <w:wordWrap w:val="0"/>
              <w:rPr>
                <w:highlight w:val="none"/>
              </w:rPr>
            </w:pPr>
            <w:r>
              <w:rPr>
                <w:rFonts w:hint="eastAsia"/>
                <w:highlight w:val="none"/>
              </w:rPr>
              <w:t>4.降级：调整不良行为涉及有限供应源市场产品品类相关供应商分级结果至下一级</w:t>
            </w:r>
          </w:p>
          <w:p>
            <w:pPr>
              <w:widowControl/>
              <w:wordWrap w:val="0"/>
              <w:rPr>
                <w:highlight w:val="none"/>
              </w:rPr>
            </w:pPr>
            <w:r>
              <w:rPr>
                <w:rFonts w:hint="eastAsia"/>
                <w:highlight w:val="none"/>
              </w:rPr>
              <w:br w:type="page"/>
            </w:r>
            <w:r>
              <w:rPr>
                <w:rFonts w:hint="eastAsia"/>
                <w:highlight w:val="none"/>
              </w:rPr>
              <w:t>5.约谈</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17</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严重履约延迟问题</w:t>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w:t>
            </w:r>
            <w:r>
              <w:rPr>
                <w:rFonts w:hint="eastAsia"/>
                <w:highlight w:val="none"/>
              </w:rPr>
              <w:br w:type="page"/>
            </w:r>
          </w:p>
          <w:p>
            <w:pPr>
              <w:widowControl/>
              <w:wordWrap w:val="0"/>
              <w:rPr>
                <w:highlight w:val="none"/>
              </w:rPr>
            </w:pPr>
            <w:r>
              <w:rPr>
                <w:rFonts w:hint="eastAsia"/>
                <w:highlight w:val="none"/>
              </w:rPr>
              <w:t>（1）在合同履行过程中，由于供应商原因导致物资或服务交付延迟或相应工程项目延期等，延迟金额超过合同额的50%且延迟时间超过约定交付时间一倍，且引起采购单位或使用单位投诉、造成较大影响并被追究责任的</w:t>
            </w:r>
            <w:r>
              <w:rPr>
                <w:rFonts w:hint="eastAsia"/>
                <w:highlight w:val="none"/>
              </w:rPr>
              <w:br w:type="page"/>
            </w:r>
          </w:p>
          <w:p>
            <w:pPr>
              <w:widowControl/>
              <w:wordWrap w:val="0"/>
              <w:rPr>
                <w:highlight w:val="none"/>
              </w:rPr>
            </w:pPr>
            <w:r>
              <w:rPr>
                <w:rFonts w:hint="eastAsia"/>
                <w:highlight w:val="none"/>
              </w:rPr>
              <w:t>（2）在合同履行过程中，由于供应商原因导致物资或服务交付延迟，对重点工程进度产生重大影响的</w:t>
            </w:r>
          </w:p>
          <w:p>
            <w:pPr>
              <w:widowControl/>
              <w:wordWrap w:val="0"/>
              <w:rPr>
                <w:highlight w:val="none"/>
              </w:rPr>
            </w:pPr>
            <w:r>
              <w:rPr>
                <w:rFonts w:hint="eastAsia"/>
                <w:highlight w:val="none"/>
              </w:rPr>
              <w:br w:type="page"/>
            </w:r>
            <w:r>
              <w:rPr>
                <w:rFonts w:hint="eastAsia"/>
                <w:highlight w:val="none"/>
              </w:rPr>
              <w:t>2.认定标准：</w:t>
            </w:r>
          </w:p>
          <w:p>
            <w:pPr>
              <w:widowControl/>
              <w:wordWrap w:val="0"/>
              <w:rPr>
                <w:highlight w:val="none"/>
              </w:rPr>
            </w:pPr>
            <w:r>
              <w:rPr>
                <w:rFonts w:hint="eastAsia"/>
                <w:highlight w:val="none"/>
              </w:rPr>
              <w:br w:type="page"/>
            </w:r>
            <w:r>
              <w:rPr>
                <w:rFonts w:hint="eastAsia"/>
                <w:highlight w:val="none"/>
              </w:rPr>
              <w:t>针对行为描述（1）：发生有效投诉并经中国电信相关管理部门组织认定</w:t>
            </w:r>
          </w:p>
          <w:p>
            <w:pPr>
              <w:widowControl/>
              <w:wordWrap w:val="0"/>
              <w:rPr>
                <w:highlight w:val="none"/>
              </w:rPr>
            </w:pPr>
            <w:r>
              <w:rPr>
                <w:rFonts w:hint="eastAsia"/>
                <w:highlight w:val="none"/>
              </w:rPr>
              <w:br w:type="page"/>
            </w:r>
            <w:r>
              <w:rPr>
                <w:rFonts w:hint="eastAsia"/>
                <w:highlight w:val="none"/>
              </w:rPr>
              <w:t>针对行为描述（2）：发生有效投诉，并由中国电信相关工程建设管理部门组织采购等部门参加工程协调会，进行评估认定并形成会议纪要或备忘录。不涉及考核周期</w:t>
            </w:r>
            <w:r>
              <w:rPr>
                <w:rFonts w:hint="eastAsia"/>
                <w:highlight w:val="none"/>
              </w:rPr>
              <w:br w:type="page"/>
            </w:r>
          </w:p>
          <w:p>
            <w:pPr>
              <w:widowControl/>
              <w:wordWrap w:val="0"/>
              <w:rPr>
                <w:highlight w:val="none"/>
              </w:rPr>
            </w:pPr>
            <w:r>
              <w:rPr>
                <w:rFonts w:hint="eastAsia"/>
                <w:highlight w:val="none"/>
              </w:rPr>
              <w:t>针对行为描述所涉及的考核周期、延迟金额及合同额、延迟时间及约定交付时间的计取原则：</w:t>
            </w:r>
            <w:r>
              <w:rPr>
                <w:rFonts w:hint="eastAsia"/>
                <w:highlight w:val="none"/>
              </w:rPr>
              <w:br w:type="page"/>
            </w:r>
          </w:p>
          <w:p>
            <w:pPr>
              <w:widowControl/>
              <w:wordWrap w:val="0"/>
              <w:rPr>
                <w:highlight w:val="none"/>
              </w:rPr>
            </w:pPr>
            <w:r>
              <w:rPr>
                <w:rFonts w:hint="eastAsia"/>
                <w:highlight w:val="none"/>
              </w:rPr>
              <w:t>（1）考核周期：考核周期原则上为合同的执行期，即自合同签订或供应商具有交付义务的时点（以较早者计）开始，至下次采购文件发售截止日为止（非周期性采购的单次合同至合同期末），如果合同执行期延长，以延长后期限为准</w:t>
            </w:r>
          </w:p>
          <w:p>
            <w:pPr>
              <w:widowControl/>
              <w:wordWrap w:val="0"/>
              <w:rPr>
                <w:highlight w:val="none"/>
              </w:rPr>
            </w:pPr>
            <w:r>
              <w:rPr>
                <w:rFonts w:hint="eastAsia"/>
                <w:highlight w:val="none"/>
              </w:rPr>
              <w:br w:type="page"/>
            </w:r>
            <w:r>
              <w:rPr>
                <w:rFonts w:hint="eastAsia"/>
                <w:highlight w:val="none"/>
              </w:rPr>
              <w:t>（2）延迟金额及合同额：延迟金额取各次发生交付延迟的订单/批次的延迟交付部分金额之和，合同额取分配份额/合同金额（含税价口径，非金额表示的折算为金额；有调整的以调整后金额为准）</w:t>
            </w:r>
            <w:r>
              <w:rPr>
                <w:rFonts w:hint="eastAsia"/>
                <w:highlight w:val="none"/>
              </w:rPr>
              <w:br w:type="page"/>
            </w:r>
          </w:p>
          <w:p>
            <w:pPr>
              <w:widowControl/>
              <w:wordWrap w:val="0"/>
              <w:rPr>
                <w:highlight w:val="none"/>
              </w:rPr>
            </w:pPr>
            <w:r>
              <w:rPr>
                <w:rFonts w:hint="eastAsia"/>
                <w:highlight w:val="none"/>
              </w:rPr>
              <w:t>（3）延迟时间及约定交付时间：延迟时间取各次发生交付延迟的订单/批次的延迟天数的加权平均值，约定交付时间取各次发生交付延迟的订单/批次的约定交付天数的加权平均值，权重为各次延迟部分金额占考核周期内全部延迟部分金额的比例</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公司相关管理部门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page"/>
            </w:r>
          </w:p>
          <w:p>
            <w:pPr>
              <w:widowControl/>
              <w:wordWrap w:val="0"/>
              <w:rPr>
                <w:highlight w:val="none"/>
              </w:rPr>
            </w:pPr>
            <w:r>
              <w:rPr>
                <w:rFonts w:hint="eastAsia"/>
                <w:highlight w:val="none"/>
              </w:rPr>
              <w:t>2.限制采购：禁限期内供应商不良行为涉及充足供应源市场产品品类参与竞争性采购时，针对每例行为：采用综合评估法进行评审的，扣减综合得分（总分）1分；采用经评审的最低投标价法进行评审的，核增评审价格1%</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page"/>
            </w:r>
          </w:p>
          <w:p>
            <w:pPr>
              <w:widowControl/>
              <w:wordWrap w:val="0"/>
              <w:rPr>
                <w:highlight w:val="none"/>
              </w:rPr>
            </w:pPr>
            <w:r>
              <w:rPr>
                <w:rFonts w:hint="eastAsia"/>
                <w:highlight w:val="none"/>
              </w:rPr>
              <w:t>2.限制采购：禁限期内供应商不良行为涉及有限供应源市场产品品类参与竞争性采购时，针对每例行为：采用综合评估法进行评审的，扣减综合得分（总分）0.5分；采用经评审的最低投标价法进行评审的，核增评审价格0.5%</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充足供应源市场产品品类参与竞争性采购时，针对每例行为：采用综合评估法进行评审的，扣减综合得分（总分）1分；采用经评审的最低投标价法进行评审的，核增评审价格1%</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0.5分；采用经评审的最低投标价法进行评审的，核增评审价格0.5%</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18</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严重履约质量问题</w:t>
            </w:r>
            <w:r>
              <w:rPr>
                <w:rFonts w:hint="eastAsia"/>
                <w:highlight w:val="none"/>
              </w:rPr>
              <w:br w:type="page"/>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供应商在中国电信合同履行中提供的产品和/或服务，被国家或省级政府监管部门（包括但不限于：工信部、市场监督管理总局，通信管理局、市场监督管理局）认定为存在以次充好、偷工减料情形的，或被国家或省级官方新闻媒体曝光存在以次充好、偷工减料情形的</w:t>
            </w:r>
            <w:r>
              <w:rPr>
                <w:rFonts w:hint="eastAsia"/>
                <w:highlight w:val="none"/>
              </w:rPr>
              <w:br w:type="page"/>
            </w:r>
          </w:p>
          <w:p>
            <w:pPr>
              <w:widowControl/>
              <w:wordWrap w:val="0"/>
              <w:rPr>
                <w:highlight w:val="none"/>
              </w:rPr>
            </w:pPr>
            <w:r>
              <w:rPr>
                <w:rFonts w:hint="eastAsia"/>
                <w:highlight w:val="none"/>
              </w:rPr>
              <w:t>2.认定标准：中国电信相关管理部门组织认定</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公司相关管理部门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p>
          <w:p>
            <w:pPr>
              <w:widowControl/>
              <w:wordWrap w:val="0"/>
              <w:rPr>
                <w:highlight w:val="none"/>
              </w:rPr>
            </w:pPr>
            <w:r>
              <w:rPr>
                <w:rFonts w:hint="eastAsia"/>
                <w:highlight w:val="none"/>
              </w:rPr>
              <w:br w:type="page"/>
            </w:r>
            <w:r>
              <w:rPr>
                <w:rFonts w:hint="eastAsia"/>
                <w:highlight w:val="none"/>
              </w:rPr>
              <w:t>2.禁止采购：取消禁限期内供应商不良行为涉及充足供应源市场产品品类参与竞争性采购的资格</w:t>
            </w:r>
            <w:r>
              <w:rPr>
                <w:rFonts w:hint="eastAsia"/>
                <w:highlight w:val="none"/>
              </w:rPr>
              <w:br w:type="page"/>
            </w:r>
          </w:p>
          <w:p>
            <w:pPr>
              <w:widowControl/>
              <w:wordWrap w:val="0"/>
              <w:rPr>
                <w:highlight w:val="none"/>
              </w:rPr>
            </w:pPr>
            <w:r>
              <w:rPr>
                <w:rFonts w:hint="eastAsia"/>
                <w:highlight w:val="none"/>
              </w:rPr>
              <w:t>3.取消份额：取消当期供应商不良行为涉及充足供应源市场产品品类集中采购项目的未执行份额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p>
          <w:p>
            <w:pPr>
              <w:widowControl/>
              <w:wordWrap w:val="0"/>
              <w:rPr>
                <w:highlight w:val="none"/>
              </w:rPr>
            </w:pPr>
            <w:r>
              <w:rPr>
                <w:rFonts w:hint="eastAsia"/>
                <w:highlight w:val="none"/>
              </w:rPr>
              <w:br w:type="page"/>
            </w:r>
            <w:r>
              <w:rPr>
                <w:rFonts w:hint="eastAsia"/>
                <w:highlight w:val="none"/>
              </w:rPr>
              <w:t>2.限制采购：禁限期内供应商不良行为涉及有限供应源市场产品品类参与竞争性采购时，针对每例行为：采用综合评估法进行评审的，扣减综合得分（总分）3分；采用经评审的最低投标价法进行评审的，核增评审价格3%</w:t>
            </w:r>
          </w:p>
          <w:p>
            <w:pPr>
              <w:widowControl/>
              <w:wordWrap w:val="0"/>
              <w:rPr>
                <w:highlight w:val="none"/>
              </w:rPr>
            </w:pPr>
            <w:r>
              <w:rPr>
                <w:rFonts w:hint="eastAsia"/>
                <w:highlight w:val="none"/>
              </w:rPr>
              <w:br w:type="page"/>
            </w:r>
            <w:r>
              <w:rPr>
                <w:rFonts w:hint="eastAsia"/>
                <w:highlight w:val="none"/>
              </w:rPr>
              <w:t>3.调减份额：调减当期供应商不良行为涉及有限供应源市场产品品类集中采购项目的未执行份额，针对每例行为，调减额为初始分配份额的20%</w:t>
            </w:r>
          </w:p>
          <w:p>
            <w:pPr>
              <w:widowControl/>
              <w:wordWrap w:val="0"/>
              <w:rPr>
                <w:highlight w:val="none"/>
              </w:rPr>
            </w:pPr>
            <w:r>
              <w:rPr>
                <w:rFonts w:hint="eastAsia"/>
                <w:highlight w:val="none"/>
              </w:rPr>
              <w:br w:type="page"/>
            </w: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3.取消份额：取消当期供应商不良行为涉及充足供应源市场产品品类集中采购项目的未执行份额</w:t>
            </w:r>
            <w:r>
              <w:rPr>
                <w:rFonts w:hint="eastAsia"/>
                <w:highlight w:val="none"/>
              </w:rPr>
              <w:br w:type="textWrapping"/>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3分；采用经评审的最低投标价法进行评审的，核增评审价格3%</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3.调减份额：调减当期供应商不良行为涉及有限供应源市场产品品类集中采购项目的未执行份额，针对每例行为，调减额为初始分配份额的20%</w:t>
            </w:r>
            <w:r>
              <w:rPr>
                <w:rFonts w:hint="eastAsia"/>
                <w:highlight w:val="none"/>
              </w:rPr>
              <w:br w:type="textWrapping"/>
            </w: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19</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严重到货检测质量问题</w:t>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供应商在中国电信合同履行中提供的产品（含备货或拟供应的产品），由于供应商原因导致产品到货质量检测结果严重不合格情况，按同一类产品口径在一个合同（或框架协议）项下累计发生2次及以上的。其中到货检测结果，是指由中国电信采购实施单位同级或上级公司采购归口管理部门发布的结果，到货检测结果严重不合格的具体标准以合同（或框架协议）约定为准</w:t>
            </w:r>
          </w:p>
          <w:p>
            <w:pPr>
              <w:widowControl/>
              <w:wordWrap w:val="0"/>
              <w:rPr>
                <w:highlight w:val="none"/>
              </w:rPr>
            </w:pPr>
            <w:r>
              <w:rPr>
                <w:rFonts w:hint="eastAsia"/>
                <w:highlight w:val="none"/>
              </w:rPr>
              <w:br w:type="page"/>
            </w:r>
            <w:r>
              <w:rPr>
                <w:rFonts w:hint="eastAsia"/>
                <w:highlight w:val="none"/>
              </w:rPr>
              <w:t>2.认定标准：中国电信相关管理部门组织认定</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公司相关管理部门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2.禁止采购：取消禁限期内供应商不良行为涉及充足供应源市场产品品类参与竞争性采购的资格</w:t>
            </w:r>
          </w:p>
          <w:p>
            <w:pPr>
              <w:widowControl/>
              <w:wordWrap w:val="0"/>
              <w:rPr>
                <w:highlight w:val="none"/>
              </w:rPr>
            </w:pPr>
            <w:r>
              <w:rPr>
                <w:rFonts w:hint="eastAsia"/>
                <w:highlight w:val="none"/>
              </w:rPr>
              <w:br w:type="page"/>
            </w:r>
            <w:r>
              <w:rPr>
                <w:rFonts w:hint="eastAsia"/>
                <w:highlight w:val="none"/>
              </w:rPr>
              <w:t>3.取消份额：取消当期供应商不良行为涉及充足供应源市场产品品类集中采购项目的未执行份额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限制采购：禁限期内供应商不良行为涉及有限供应源市场产品品类参与竞争性采购时，针对每例行为：采用综合评估法进行评审的，扣减综合得分（总分）1.5分；采用经评审的最低投标价法进行评审的，核增评审价格1.5%</w:t>
            </w:r>
            <w:r>
              <w:rPr>
                <w:rFonts w:hint="eastAsia"/>
                <w:highlight w:val="none"/>
              </w:rPr>
              <w:br w:type="page"/>
            </w:r>
          </w:p>
          <w:p>
            <w:pPr>
              <w:widowControl/>
              <w:wordWrap w:val="0"/>
              <w:rPr>
                <w:highlight w:val="none"/>
              </w:rPr>
            </w:pPr>
            <w:r>
              <w:rPr>
                <w:rFonts w:hint="eastAsia"/>
                <w:highlight w:val="none"/>
              </w:rPr>
              <w:t>3.调减份额：调减当期供应商不良行为涉及有限供应源市场产品品类集中采购项目的未执行份额，针对每例行为，调减额为初始分配份额的20%</w:t>
            </w:r>
            <w:r>
              <w:rPr>
                <w:rFonts w:hint="eastAsia"/>
                <w:highlight w:val="none"/>
              </w:rPr>
              <w:br w:type="page"/>
            </w:r>
          </w:p>
          <w:p>
            <w:pPr>
              <w:widowControl/>
              <w:wordWrap w:val="0"/>
              <w:rPr>
                <w:highlight w:val="none"/>
              </w:rPr>
            </w:pP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3.取消份额：取消当期供应商不良行为涉及充足供应源市场产品品类集中采购项目的未执行份额</w:t>
            </w:r>
            <w:r>
              <w:rPr>
                <w:rFonts w:hint="eastAsia"/>
                <w:highlight w:val="none"/>
              </w:rPr>
              <w:br w:type="textWrapping"/>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1.5分；采用经评审的最低投标价法进行评审的，核增评审价格1.5%</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3.调减份额：调减当期供应商不良行为涉及有限供应源市场产品品类集中采购项目的未执行份额，针对每例行为，调减额为初始分配份额的20%</w:t>
            </w:r>
            <w:r>
              <w:rPr>
                <w:rFonts w:hint="eastAsia"/>
                <w:highlight w:val="none"/>
              </w:rPr>
              <w:br w:type="textWrapping"/>
            </w: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20</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拒绝整改履约问题</w:t>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1.行为描述：在中国电信合同履行过程中，供应商发生违约行为，经采购方要求整改后，仍拒绝或以各种方式逃避整改的</w:t>
            </w:r>
            <w:r>
              <w:rPr>
                <w:rFonts w:hint="eastAsia"/>
                <w:highlight w:val="none"/>
              </w:rPr>
              <w:br w:type="textWrapping"/>
            </w:r>
            <w:r>
              <w:rPr>
                <w:rFonts w:hint="eastAsia"/>
                <w:highlight w:val="none"/>
              </w:rPr>
              <w:t>2.认定标准：中国电信采购实施或合同执行部门组织认定</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采购实施部门或合同执行部门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3.取消份额：取消当期供应商不良行为涉及充足供应源市场产品品类集中采购项目的未执行份额</w:t>
            </w:r>
            <w:r>
              <w:rPr>
                <w:rFonts w:hint="eastAsia"/>
                <w:highlight w:val="none"/>
              </w:rPr>
              <w:br w:type="textWrapping"/>
            </w:r>
            <w:r>
              <w:rPr>
                <w:rFonts w:hint="eastAsia"/>
                <w:highlight w:val="none"/>
              </w:rPr>
              <w:t>4.降级：调整不良行为涉及充足供应源市场产品品类相关供应商分级结果至下一级</w:t>
            </w:r>
            <w:r>
              <w:rPr>
                <w:rFonts w:hint="eastAsia"/>
                <w:highlight w:val="none"/>
              </w:rPr>
              <w:br w:type="textWrapping"/>
            </w:r>
            <w:r>
              <w:rPr>
                <w:rFonts w:hint="eastAsia"/>
                <w:highlight w:val="none"/>
              </w:rPr>
              <w:t>5.约谈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1.5分；采用经评审的最低投标价法进行评审的，核增评审价格1.5%</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3.调减份额：调减当期供应商不良行为涉及有限供应源市场产品品类集中采购项目的未执行份额，针对每例行为，调减额为初始分配份额的20%</w:t>
            </w:r>
            <w:r>
              <w:rPr>
                <w:rFonts w:hint="eastAsia"/>
                <w:highlight w:val="none"/>
              </w:rPr>
              <w:br w:type="textWrapping"/>
            </w:r>
            <w:r>
              <w:rPr>
                <w:rFonts w:hint="eastAsia"/>
                <w:highlight w:val="none"/>
              </w:rPr>
              <w:t>4.降级：调整不良行为涉及有限供应源市场产品品类相关供应商分级结果至下一级</w:t>
            </w:r>
            <w:r>
              <w:rPr>
                <w:rFonts w:hint="eastAsia"/>
                <w:highlight w:val="none"/>
              </w:rPr>
              <w:br w:type="textWrapping"/>
            </w:r>
            <w:r>
              <w:rPr>
                <w:rFonts w:hint="eastAsia"/>
                <w:highlight w:val="none"/>
              </w:rPr>
              <w:t>5.约谈</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2.禁止采购：取消禁限期内供应商不良行为涉及充足供应源市场产品品类参与竞争性采购的资格</w:t>
            </w:r>
            <w:r>
              <w:rPr>
                <w:rFonts w:hint="eastAsia"/>
                <w:highlight w:val="none"/>
              </w:rPr>
              <w:br w:type="page"/>
            </w:r>
          </w:p>
          <w:p>
            <w:pPr>
              <w:widowControl/>
              <w:wordWrap w:val="0"/>
              <w:rPr>
                <w:highlight w:val="none"/>
              </w:rPr>
            </w:pPr>
            <w:r>
              <w:rPr>
                <w:rFonts w:hint="eastAsia"/>
                <w:highlight w:val="none"/>
              </w:rPr>
              <w:t>3.取消份额：取消当期供应商不良行为涉及充足供应源市场产品品类集中采购项目的未执行份额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4.降级：调整不良行为涉及充足供应源市场产品品类相关供应商分级结果至下一级</w:t>
            </w:r>
          </w:p>
          <w:p>
            <w:pPr>
              <w:widowControl/>
              <w:wordWrap w:val="0"/>
              <w:rPr>
                <w:highlight w:val="none"/>
              </w:rPr>
            </w:pPr>
            <w:r>
              <w:rPr>
                <w:rFonts w:hint="eastAsia"/>
                <w:highlight w:val="none"/>
              </w:rPr>
              <w:br w:type="page"/>
            </w:r>
            <w:r>
              <w:rPr>
                <w:rFonts w:hint="eastAsia"/>
                <w:highlight w:val="none"/>
              </w:rPr>
              <w:t>5.约谈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限制采购：禁限期内供应商不良行为涉及有限供应源市场产品品类参与竞争性采购时，针对每例行为：采用综合评估法进行评审的，扣减综合得分（总分）1.5分；采用经评审的最低投标价法进行评审的，核增评审价格1.5%</w:t>
            </w:r>
          </w:p>
          <w:p>
            <w:pPr>
              <w:widowControl/>
              <w:wordWrap w:val="0"/>
              <w:rPr>
                <w:highlight w:val="none"/>
              </w:rPr>
            </w:pPr>
            <w:r>
              <w:rPr>
                <w:rFonts w:hint="eastAsia"/>
                <w:highlight w:val="none"/>
              </w:rPr>
              <w:t>3.调减份额：调减当期供应商不良行为涉及有限供应源市场产品品类集中采购项目的未执行份额，针对每例行为，调减额为初始分配份额的20%</w:t>
            </w:r>
          </w:p>
          <w:p>
            <w:pPr>
              <w:widowControl/>
              <w:wordWrap w:val="0"/>
              <w:rPr>
                <w:highlight w:val="none"/>
              </w:rPr>
            </w:pPr>
            <w:r>
              <w:rPr>
                <w:rFonts w:hint="eastAsia"/>
                <w:highlight w:val="none"/>
              </w:rPr>
              <w:br w:type="page"/>
            </w:r>
            <w:r>
              <w:rPr>
                <w:rFonts w:hint="eastAsia"/>
                <w:highlight w:val="none"/>
              </w:rPr>
              <w:t>4.降级：调整不良行为涉及有限供应源市场产品品类相关供应商分级结果至下一级</w:t>
            </w:r>
            <w:r>
              <w:rPr>
                <w:rFonts w:hint="eastAsia"/>
                <w:highlight w:val="none"/>
              </w:rPr>
              <w:br w:type="page"/>
            </w:r>
          </w:p>
          <w:p>
            <w:pPr>
              <w:widowControl/>
              <w:wordWrap w:val="0"/>
              <w:rPr>
                <w:highlight w:val="none"/>
              </w:rPr>
            </w:pPr>
            <w:r>
              <w:rPr>
                <w:rFonts w:hint="eastAsia"/>
                <w:highlight w:val="none"/>
              </w:rPr>
              <w:t>5.约谈</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000000" w:sz="4" w:space="0"/>
              <w:right w:val="single" w:color="auto" w:sz="4" w:space="0"/>
            </w:tcBorders>
            <w:shd w:val="clear" w:color="auto" w:fill="auto"/>
            <w:vAlign w:val="center"/>
          </w:tcPr>
          <w:p>
            <w:pPr>
              <w:widowControl/>
              <w:wordWrap w:val="0"/>
              <w:jc w:val="center"/>
              <w:rPr>
                <w:highlight w:val="none"/>
              </w:rPr>
            </w:pPr>
            <w:r>
              <w:rPr>
                <w:rFonts w:hint="eastAsia"/>
                <w:highlight w:val="none"/>
              </w:rPr>
              <w:t>21</w:t>
            </w:r>
          </w:p>
        </w:tc>
        <w:tc>
          <w:tcPr>
            <w:tcW w:w="258" w:type="pct"/>
            <w:vMerge w:val="restart"/>
            <w:tcBorders>
              <w:top w:val="nil"/>
              <w:left w:val="single" w:color="auto" w:sz="4" w:space="0"/>
              <w:bottom w:val="single" w:color="000000" w:sz="4" w:space="0"/>
              <w:right w:val="single" w:color="auto" w:sz="4" w:space="0"/>
            </w:tcBorders>
            <w:shd w:val="clear" w:color="auto" w:fill="auto"/>
            <w:vAlign w:val="center"/>
          </w:tcPr>
          <w:p>
            <w:pPr>
              <w:widowControl/>
              <w:wordWrap w:val="0"/>
              <w:jc w:val="center"/>
              <w:rPr>
                <w:highlight w:val="none"/>
              </w:rPr>
            </w:pPr>
            <w:r>
              <w:rPr>
                <w:rFonts w:hint="eastAsia"/>
                <w:highlight w:val="none"/>
              </w:rPr>
              <w:t>虚假履约</w:t>
            </w:r>
          </w:p>
        </w:tc>
        <w:tc>
          <w:tcPr>
            <w:tcW w:w="947" w:type="pct"/>
            <w:vMerge w:val="restart"/>
            <w:tcBorders>
              <w:top w:val="nil"/>
              <w:left w:val="single" w:color="auto" w:sz="4" w:space="0"/>
              <w:bottom w:val="single" w:color="000000" w:sz="4" w:space="0"/>
              <w:right w:val="single" w:color="auto" w:sz="4" w:space="0"/>
            </w:tcBorders>
            <w:shd w:val="clear" w:color="auto" w:fill="auto"/>
            <w:vAlign w:val="center"/>
          </w:tcPr>
          <w:p>
            <w:pPr>
              <w:widowControl/>
              <w:wordWrap w:val="0"/>
              <w:rPr>
                <w:highlight w:val="none"/>
              </w:rPr>
            </w:pPr>
            <w:r>
              <w:rPr>
                <w:rFonts w:hint="eastAsia"/>
                <w:highlight w:val="none"/>
              </w:rPr>
              <w:t>1.行为描述：供应商在中国电信合同履行中弄虚作假，使用伪造或变造的证明材料企图让中国电信相信其已经部分或全部履行相关合同义务</w:t>
            </w:r>
          </w:p>
          <w:p>
            <w:pPr>
              <w:widowControl/>
              <w:wordWrap w:val="0"/>
              <w:rPr>
                <w:highlight w:val="none"/>
              </w:rPr>
            </w:pPr>
            <w:r>
              <w:rPr>
                <w:rFonts w:hint="eastAsia"/>
                <w:highlight w:val="none"/>
              </w:rPr>
              <w:br w:type="page"/>
            </w:r>
            <w:r>
              <w:rPr>
                <w:rFonts w:hint="eastAsia"/>
                <w:highlight w:val="none"/>
              </w:rPr>
              <w:t>2.认定标准：中国电信合同履行部门或采购实施部门组织认定</w:t>
            </w:r>
          </w:p>
        </w:tc>
        <w:tc>
          <w:tcPr>
            <w:tcW w:w="286" w:type="pct"/>
            <w:vMerge w:val="restart"/>
            <w:tcBorders>
              <w:top w:val="nil"/>
              <w:left w:val="single" w:color="auto" w:sz="4" w:space="0"/>
              <w:bottom w:val="single" w:color="000000" w:sz="4" w:space="0"/>
              <w:right w:val="single" w:color="auto" w:sz="4" w:space="0"/>
            </w:tcBorders>
            <w:shd w:val="clear" w:color="auto" w:fill="auto"/>
            <w:vAlign w:val="center"/>
          </w:tcPr>
          <w:p>
            <w:pPr>
              <w:widowControl/>
              <w:wordWrap w:val="0"/>
              <w:jc w:val="center"/>
              <w:rPr>
                <w:highlight w:val="none"/>
              </w:rPr>
            </w:pPr>
            <w:r>
              <w:rPr>
                <w:rFonts w:hint="eastAsia"/>
                <w:highlight w:val="none"/>
              </w:rPr>
              <w:t>合同履行部门或采购实施部门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page"/>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涉及集团级采购</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2.禁止采购：取消禁限期内供应商不良行为涉及充足供应源市场产品品类参与竞争性采购的资格</w:t>
            </w:r>
          </w:p>
          <w:p>
            <w:pPr>
              <w:widowControl/>
              <w:wordWrap w:val="0"/>
              <w:rPr>
                <w:highlight w:val="none"/>
              </w:rPr>
            </w:pPr>
            <w:r>
              <w:rPr>
                <w:rFonts w:hint="eastAsia"/>
                <w:highlight w:val="none"/>
              </w:rPr>
              <w:br w:type="page"/>
            </w:r>
            <w:r>
              <w:rPr>
                <w:rFonts w:hint="eastAsia"/>
                <w:highlight w:val="none"/>
              </w:rPr>
              <w:t>3.取消份额：取消当期供应商不良行为涉及充足供应源市场产品品类集中采购项目的未执行份额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限制采购：禁限期内供应商不良行为涉及有限供应源市场产品品类参与竞争性采购时，针对每例行为：采用综合评估法进行评审的，扣减综合得分（总分）2分；采用经评审的最低投标价法进行评审的，核增评审价格2%</w:t>
            </w:r>
            <w:r>
              <w:rPr>
                <w:rFonts w:hint="eastAsia"/>
                <w:highlight w:val="none"/>
              </w:rPr>
              <w:br w:type="page"/>
            </w:r>
          </w:p>
          <w:p>
            <w:pPr>
              <w:widowControl/>
              <w:wordWrap w:val="0"/>
              <w:rPr>
                <w:highlight w:val="none"/>
              </w:rPr>
            </w:pPr>
            <w:r>
              <w:rPr>
                <w:rFonts w:hint="eastAsia"/>
                <w:highlight w:val="none"/>
              </w:rPr>
              <w:t>3.调减份额：调减当期供应商不良行为涉及有限供应源市场产品品类集中采购项目的未执行份额，针对每例行为，调减额为初始分配份额的15%</w:t>
            </w:r>
            <w:r>
              <w:rPr>
                <w:rFonts w:hint="eastAsia"/>
                <w:highlight w:val="none"/>
              </w:rPr>
              <w:br w:type="page"/>
            </w:r>
          </w:p>
          <w:p>
            <w:pPr>
              <w:widowControl/>
              <w:wordWrap w:val="0"/>
              <w:rPr>
                <w:highlight w:val="none"/>
              </w:rPr>
            </w:pP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000000"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000000"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000000"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000000"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不涉及集团级采购</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nil"/>
              <w:right w:val="nil"/>
            </w:tcBorders>
            <w:shd w:val="clear" w:color="auto" w:fill="auto"/>
            <w:vAlign w:val="center"/>
          </w:tcPr>
          <w:p>
            <w:pPr>
              <w:widowControl/>
              <w:wordWrap w:val="0"/>
              <w:rPr>
                <w:highlight w:val="none"/>
              </w:rPr>
            </w:pPr>
          </w:p>
        </w:tc>
        <w:tc>
          <w:tcPr>
            <w:tcW w:w="191" w:type="pc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3.取消份额：取消当期供应商不良行为涉及充足供应源市场产品品类集中采购项目的未执行份额</w:t>
            </w:r>
            <w:r>
              <w:rPr>
                <w:rFonts w:hint="eastAsia"/>
                <w:highlight w:val="none"/>
              </w:rPr>
              <w:br w:type="textWrapping"/>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2分；采用经评审的最低投标价法进行评审的，核增评审价格2%</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3.调减份额：调减当期供应商不良行为涉及有限供应源市场产品品类集中采购项目的未执行份额，针对每例行为，调减额为初始分配份额的15%</w:t>
            </w:r>
            <w:r>
              <w:rPr>
                <w:rFonts w:hint="eastAsia"/>
                <w:highlight w:val="none"/>
              </w:rPr>
              <w:br w:type="textWrapping"/>
            </w: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22</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重大问题未妥善解决</w:t>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1.行为描述：在中国电信合同履行过程中，供应商存在相关重大问题超出合理期限未解决的</w:t>
            </w:r>
            <w:r>
              <w:rPr>
                <w:rFonts w:hint="eastAsia"/>
                <w:highlight w:val="none"/>
              </w:rPr>
              <w:br w:type="textWrapping"/>
            </w:r>
            <w:r>
              <w:rPr>
                <w:rFonts w:hint="eastAsia"/>
                <w:highlight w:val="none"/>
              </w:rPr>
              <w:t>2.认定标准：中国电信合同执行部门上报正式文件或在履约投诉平台反映，并经公司相关管理部门组织认定</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公司相关管理部门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single" w:color="auto" w:sz="4" w:space="0"/>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1.禁限期：自不良行为处理结果发布次日开始，终止于公司相关管理部门确认问题解决并修改记账之日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3.暂停执行份额：暂停当期供应商不良行为涉及充足供应源市场产品品类集中采购项目的未执行份额</w:t>
            </w:r>
            <w:r>
              <w:rPr>
                <w:rFonts w:hint="eastAsia"/>
                <w:highlight w:val="none"/>
              </w:rPr>
              <w:br w:type="textWrapping"/>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1.禁限期：自不良行为处理结果发布次日开始，终止于公司相关管理部门确认问题解决并修改记账之日</w:t>
            </w:r>
            <w:r>
              <w:rPr>
                <w:rFonts w:hint="eastAsia"/>
                <w:highlight w:val="none"/>
              </w:rPr>
              <w:br w:type="textWrapping"/>
            </w:r>
            <w:r>
              <w:rPr>
                <w:rFonts w:hint="eastAsia"/>
                <w:highlight w:val="none"/>
              </w:rPr>
              <w:t>2.禁止采购：取消禁限期内供应商不良行为涉及有限供应源市场产品品类参与竞争性采购的资格</w:t>
            </w:r>
            <w:r>
              <w:rPr>
                <w:rFonts w:hint="eastAsia"/>
                <w:highlight w:val="none"/>
              </w:rPr>
              <w:br w:type="textWrapping"/>
            </w:r>
            <w:r>
              <w:rPr>
                <w:rFonts w:hint="eastAsia"/>
                <w:highlight w:val="none"/>
              </w:rPr>
              <w:t>3.暂停执行份额：暂停当期供应商不良行为涉及有限供应源市场产品品类集中采购项目的未执行份额</w:t>
            </w:r>
            <w:r>
              <w:rPr>
                <w:rFonts w:hint="eastAsia"/>
                <w:highlight w:val="none"/>
              </w:rPr>
              <w:br w:type="textWrapping"/>
            </w: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1.禁限期：自不良行为处理结果发布次日开始，终止于公司相关管理部门确认问题解决并修改记账之日</w:t>
            </w:r>
          </w:p>
          <w:p>
            <w:pPr>
              <w:widowControl/>
              <w:wordWrap w:val="0"/>
              <w:rPr>
                <w:highlight w:val="none"/>
              </w:rPr>
            </w:pPr>
            <w:r>
              <w:rPr>
                <w:rFonts w:hint="eastAsia"/>
                <w:highlight w:val="none"/>
              </w:rPr>
              <w:br w:type="page"/>
            </w:r>
            <w:r>
              <w:rPr>
                <w:rFonts w:hint="eastAsia"/>
                <w:highlight w:val="none"/>
              </w:rPr>
              <w:t>2.禁止采购：取消禁限期内供应商不良行为涉及充足供应源市场产品品类参与竞争性采购的资格</w:t>
            </w:r>
          </w:p>
          <w:p>
            <w:pPr>
              <w:widowControl/>
              <w:wordWrap w:val="0"/>
              <w:rPr>
                <w:highlight w:val="none"/>
              </w:rPr>
            </w:pPr>
            <w:r>
              <w:rPr>
                <w:rFonts w:hint="eastAsia"/>
                <w:highlight w:val="none"/>
              </w:rPr>
              <w:br w:type="page"/>
            </w:r>
            <w:r>
              <w:rPr>
                <w:rFonts w:hint="eastAsia"/>
                <w:highlight w:val="none"/>
              </w:rPr>
              <w:t>3.暂停执行份额：暂停当期供应商不良行为涉及充足供应源市场产品品类集中采购项目的未执行份额</w:t>
            </w:r>
            <w:r>
              <w:rPr>
                <w:rFonts w:hint="eastAsia"/>
                <w:highlight w:val="none"/>
              </w:rPr>
              <w:br w:type="page"/>
            </w:r>
          </w:p>
          <w:p>
            <w:pPr>
              <w:widowControl/>
              <w:wordWrap w:val="0"/>
              <w:rPr>
                <w:highlight w:val="none"/>
              </w:rPr>
            </w:pP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1.禁限期：自不良行为处理结果发布次日开始，终止于公司相关管理部门确认问题解决并修改记账之日</w:t>
            </w:r>
          </w:p>
          <w:p>
            <w:pPr>
              <w:widowControl/>
              <w:wordWrap w:val="0"/>
              <w:rPr>
                <w:highlight w:val="none"/>
              </w:rPr>
            </w:pPr>
            <w:r>
              <w:rPr>
                <w:rFonts w:hint="eastAsia"/>
                <w:highlight w:val="none"/>
              </w:rPr>
              <w:br w:type="page"/>
            </w:r>
            <w:r>
              <w:rPr>
                <w:rFonts w:hint="eastAsia"/>
                <w:highlight w:val="none"/>
              </w:rPr>
              <w:t>2.禁止采购：取消禁限期内供应商不良行为涉及有限供应源市场产品品类参与竞争性采购的资格</w:t>
            </w:r>
          </w:p>
          <w:p>
            <w:pPr>
              <w:widowControl/>
              <w:wordWrap w:val="0"/>
              <w:rPr>
                <w:highlight w:val="none"/>
              </w:rPr>
            </w:pPr>
            <w:r>
              <w:rPr>
                <w:rFonts w:hint="eastAsia"/>
                <w:highlight w:val="none"/>
              </w:rPr>
              <w:br w:type="page"/>
            </w:r>
            <w:r>
              <w:rPr>
                <w:rFonts w:hint="eastAsia"/>
                <w:highlight w:val="none"/>
              </w:rPr>
              <w:t>3.暂停执行份额：暂停当期供应商不良行为涉及有限供应源市场产品品类集中采购项目的未执行份额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23</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拖欠农民工工资</w:t>
            </w:r>
            <w:r>
              <w:rPr>
                <w:rFonts w:hint="eastAsia"/>
                <w:highlight w:val="none"/>
              </w:rPr>
              <w:br w:type="page"/>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1.行为描述：在中国电信合同履行过程中，供应商发生拖欠农民工工资，引发农民工上访事件的</w:t>
            </w:r>
          </w:p>
          <w:p>
            <w:pPr>
              <w:widowControl/>
              <w:wordWrap w:val="0"/>
              <w:rPr>
                <w:highlight w:val="none"/>
              </w:rPr>
            </w:pPr>
            <w:r>
              <w:rPr>
                <w:rFonts w:hint="eastAsia"/>
                <w:highlight w:val="none"/>
              </w:rPr>
              <w:br w:type="page"/>
            </w:r>
            <w:r>
              <w:rPr>
                <w:rFonts w:hint="eastAsia"/>
                <w:highlight w:val="none"/>
              </w:rPr>
              <w:t>2.认定标准：中国电信相关管理部门组织认定</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公司相关管理部门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上访到集团公司及以上层面</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2.禁止采购：取消禁限期内供应商不良行为涉及充足供应源市场产品品类参与竞争性采购的资格</w:t>
            </w:r>
          </w:p>
          <w:p>
            <w:pPr>
              <w:widowControl/>
              <w:wordWrap w:val="0"/>
              <w:rPr>
                <w:highlight w:val="none"/>
              </w:rPr>
            </w:pPr>
            <w:r>
              <w:rPr>
                <w:rFonts w:hint="eastAsia"/>
                <w:highlight w:val="none"/>
              </w:rPr>
              <w:br w:type="page"/>
            </w:r>
            <w:r>
              <w:rPr>
                <w:rFonts w:hint="eastAsia"/>
                <w:highlight w:val="none"/>
              </w:rPr>
              <w:t>3.调减份额：调减当期供应商不良行为涉及充足供应源市场产品品类集中采购项目的未执行份额，针对每例行为，调减额为初始分配份额的20%</w:t>
            </w:r>
            <w:r>
              <w:rPr>
                <w:rFonts w:hint="eastAsia"/>
                <w:highlight w:val="none"/>
              </w:rPr>
              <w:br w:type="page"/>
            </w:r>
          </w:p>
          <w:p>
            <w:pPr>
              <w:widowControl/>
              <w:wordWrap w:val="0"/>
              <w:rPr>
                <w:highlight w:val="none"/>
              </w:rPr>
            </w:pPr>
            <w:r>
              <w:rPr>
                <w:rFonts w:hint="eastAsia"/>
                <w:highlight w:val="none"/>
              </w:rPr>
              <w:t>4.降级：调整不良行为涉及充足供应源市场产品品类相关供应商分级结果至下一级</w:t>
            </w:r>
          </w:p>
          <w:p>
            <w:pPr>
              <w:widowControl/>
              <w:wordWrap w:val="0"/>
              <w:rPr>
                <w:highlight w:val="none"/>
              </w:rPr>
            </w:pPr>
            <w:r>
              <w:rPr>
                <w:rFonts w:hint="eastAsia"/>
                <w:highlight w:val="none"/>
              </w:rPr>
              <w:br w:type="page"/>
            </w:r>
            <w:r>
              <w:rPr>
                <w:rFonts w:hint="eastAsia"/>
                <w:highlight w:val="none"/>
              </w:rPr>
              <w:t>5.约谈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限制采购：禁限期内供应商不良行为涉及有限供应源市场产品品类参与竞争性采购时，针对每例行为：采用综合评估法进行评审的，扣减综合得分（总分）2分；采用经评审的最低投标价法进行评审的，核增评审价格2%</w:t>
            </w:r>
            <w:r>
              <w:rPr>
                <w:rFonts w:hint="eastAsia"/>
                <w:highlight w:val="none"/>
              </w:rPr>
              <w:br w:type="page"/>
            </w:r>
          </w:p>
          <w:p>
            <w:pPr>
              <w:widowControl/>
              <w:wordWrap w:val="0"/>
              <w:rPr>
                <w:highlight w:val="none"/>
              </w:rPr>
            </w:pPr>
            <w:r>
              <w:rPr>
                <w:rFonts w:hint="eastAsia"/>
                <w:highlight w:val="none"/>
              </w:rPr>
              <w:t>3.调减份额：调减当期供应商不良行为涉及有限供应源市场产品品类集中采购项目的未执行份额，针对每例行为，调减额为初始分配份额的10%</w:t>
            </w:r>
            <w:r>
              <w:rPr>
                <w:rFonts w:hint="eastAsia"/>
                <w:highlight w:val="none"/>
              </w:rPr>
              <w:br w:type="page"/>
            </w:r>
          </w:p>
          <w:p>
            <w:pPr>
              <w:widowControl/>
              <w:wordWrap w:val="0"/>
              <w:rPr>
                <w:highlight w:val="none"/>
              </w:rPr>
            </w:pPr>
            <w:r>
              <w:rPr>
                <w:rFonts w:hint="eastAsia"/>
                <w:highlight w:val="none"/>
              </w:rPr>
              <w:t>4.降级：调整不良行为涉及有限供应源市场产品品类相关供应商分级结果至下一级</w:t>
            </w:r>
            <w:r>
              <w:rPr>
                <w:rFonts w:hint="eastAsia"/>
                <w:highlight w:val="none"/>
              </w:rPr>
              <w:br w:type="page"/>
            </w:r>
          </w:p>
          <w:p>
            <w:pPr>
              <w:widowControl/>
              <w:wordWrap w:val="0"/>
              <w:rPr>
                <w:highlight w:val="none"/>
              </w:rPr>
            </w:pPr>
            <w:r>
              <w:rPr>
                <w:rFonts w:hint="eastAsia"/>
                <w:highlight w:val="none"/>
              </w:rPr>
              <w:t>5.约谈</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上访到省公司及以下层面</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充足供应源市场产品品类参与竞争性采购时，针对每例行为：采用综合评估法进行评审的，扣减综合得分（总分）2分；采用经评审的最低投标价法进行评审的，核增评审价格2%</w:t>
            </w:r>
            <w:r>
              <w:rPr>
                <w:rFonts w:hint="eastAsia"/>
                <w:highlight w:val="none"/>
              </w:rPr>
              <w:br w:type="textWrapping"/>
            </w:r>
            <w:r>
              <w:rPr>
                <w:rFonts w:hint="eastAsia"/>
                <w:highlight w:val="none"/>
              </w:rPr>
              <w:t>3.降级：调整不良行为涉及充足供应源市场产品品类相关供应商分级结果至下一级</w:t>
            </w:r>
            <w:r>
              <w:rPr>
                <w:rFonts w:hint="eastAsia"/>
                <w:highlight w:val="none"/>
              </w:rPr>
              <w:br w:type="textWrapping"/>
            </w:r>
            <w:r>
              <w:rPr>
                <w:rFonts w:hint="eastAsia"/>
                <w:highlight w:val="none"/>
              </w:rPr>
              <w:t>4.约谈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1分；采用经评审的最低投标价法进行评审的，核增评审价格1%</w:t>
            </w:r>
            <w:r>
              <w:rPr>
                <w:rFonts w:hint="eastAsia"/>
                <w:highlight w:val="none"/>
              </w:rPr>
              <w:br w:type="textWrapping"/>
            </w:r>
            <w:r>
              <w:rPr>
                <w:rFonts w:hint="eastAsia"/>
                <w:highlight w:val="none"/>
              </w:rPr>
              <w:t>3.降级：调整不良行为涉及有限供应源市场产品品类相关供应商分级结果至下一级</w:t>
            </w:r>
            <w:r>
              <w:rPr>
                <w:rFonts w:hint="eastAsia"/>
                <w:highlight w:val="none"/>
              </w:rPr>
              <w:br w:type="textWrapping"/>
            </w:r>
            <w:r>
              <w:rPr>
                <w:rFonts w:hint="eastAsia"/>
                <w:highlight w:val="none"/>
              </w:rPr>
              <w:t>4.约谈</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24</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涉及围绕企业经商、靠企吃企、关联交易、违规经商办企业、内外勾结等违规违纪事项</w:t>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供应商或其人员涉及党规党纪或中国电信企业工作纪律、工作管理规定中定义的违规违纪事项，包括“围绕企业经商”、“靠企吃企”、违规“关联交易”、“违规经商办企业”、内外勾结损害中国电信利益、其他中国电信纪检监察机构认定的严重违规违纪事项，被纪检监察机构认定为事实并要求处理供应商</w:t>
            </w:r>
            <w:r>
              <w:rPr>
                <w:rFonts w:hint="eastAsia"/>
                <w:highlight w:val="none"/>
              </w:rPr>
              <w:br w:type="textWrapping"/>
            </w:r>
            <w:r>
              <w:rPr>
                <w:rFonts w:hint="eastAsia"/>
                <w:highlight w:val="none"/>
              </w:rPr>
              <w:t>2.认定标准：中国电信纪检监察机构认定为事实并要求采购部门处理供应商。其中“涉及”是指供应商参与上述违规违纪事项，或者虽未主动参与但是成为违规违纪事项发生或构成的原因或直接因素</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公司纪检监察机构</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2.禁止采购：取消禁限期内供应商所有充足供应源市场产品品类参与竞争性采购的资格</w:t>
            </w:r>
            <w:r>
              <w:rPr>
                <w:rFonts w:hint="eastAsia"/>
                <w:highlight w:val="none"/>
              </w:rPr>
              <w:br w:type="textWrapping"/>
            </w:r>
            <w:r>
              <w:rPr>
                <w:rFonts w:hint="eastAsia"/>
                <w:highlight w:val="none"/>
              </w:rPr>
              <w:t>3.取消份额：取消供应商所有充足供应源市场产品品类集中采购项目的未执行份额</w:t>
            </w:r>
            <w:r>
              <w:rPr>
                <w:rFonts w:hint="eastAsia"/>
                <w:highlight w:val="none"/>
              </w:rPr>
              <w:br w:type="textWrapping"/>
            </w:r>
            <w:r>
              <w:rPr>
                <w:rFonts w:hint="eastAsia"/>
                <w:highlight w:val="none"/>
              </w:rPr>
              <w:t>4.降级：调整所有充足供应源市场产品品类供应商分级结果为不合格</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2.禁止采购：取消禁限期内供应商所有有限供应源市场产品品类参与竞争性采购的资格</w:t>
            </w:r>
            <w:r>
              <w:rPr>
                <w:rFonts w:hint="eastAsia"/>
                <w:highlight w:val="none"/>
              </w:rPr>
              <w:br w:type="textWrapping"/>
            </w:r>
            <w:r>
              <w:rPr>
                <w:rFonts w:hint="eastAsia"/>
                <w:highlight w:val="none"/>
              </w:rPr>
              <w:t>3.取消份额：取消供应商所有有限供应源市场产品品类集中采购项目的未执行份额</w:t>
            </w:r>
            <w:r>
              <w:rPr>
                <w:rFonts w:hint="eastAsia"/>
                <w:highlight w:val="none"/>
              </w:rPr>
              <w:br w:type="textWrapping"/>
            </w:r>
            <w:r>
              <w:rPr>
                <w:rFonts w:hint="eastAsia"/>
                <w:highlight w:val="none"/>
              </w:rPr>
              <w:t>4.降级：调整所有有限供应源市场产品品类供应商分级结果为不合格</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2.禁止采购：取消禁限期内供应商所有充足供应源市场产品品类参与竞争性采购的资格</w:t>
            </w:r>
          </w:p>
          <w:p>
            <w:pPr>
              <w:widowControl/>
              <w:wordWrap w:val="0"/>
              <w:rPr>
                <w:highlight w:val="none"/>
              </w:rPr>
            </w:pPr>
            <w:r>
              <w:rPr>
                <w:rFonts w:hint="eastAsia"/>
                <w:highlight w:val="none"/>
              </w:rPr>
              <w:br w:type="page"/>
            </w:r>
            <w:r>
              <w:rPr>
                <w:rFonts w:hint="eastAsia"/>
                <w:highlight w:val="none"/>
              </w:rPr>
              <w:t>3.取消份额：取消供应商所有充足供应源市场产品品类集中采购项目的未执行份额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4.降级：调整所有充足供应源市场产品品类供应商分级结果为不合格</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2.禁止采购：取消禁限期内供应商所有有限供应源市场产品品类参与竞争性采购的资格</w:t>
            </w:r>
          </w:p>
          <w:p>
            <w:pPr>
              <w:widowControl/>
              <w:wordWrap w:val="0"/>
              <w:rPr>
                <w:highlight w:val="none"/>
              </w:rPr>
            </w:pPr>
            <w:r>
              <w:rPr>
                <w:rFonts w:hint="eastAsia"/>
                <w:highlight w:val="none"/>
              </w:rPr>
              <w:br w:type="page"/>
            </w:r>
            <w:r>
              <w:rPr>
                <w:rFonts w:hint="eastAsia"/>
                <w:highlight w:val="none"/>
              </w:rPr>
              <w:t>3.取消份额：取消供应商所有有限供应源市场产品品类集中采购项目的未执行份额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4.降级：调整所有有限供应源市场产品品类供应商分级结果为不合格</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25</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泄露中国电信商业秘密</w:t>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1.行为描述：供应商在涉及中国电信实施的采购项目及相关事项方面，违反合保密协议或合同保密条款的约定，或违反他依法或依照商业惯例负有的保密义务，对外泄露中国电信商业秘密</w:t>
            </w:r>
            <w:r>
              <w:rPr>
                <w:rFonts w:hint="eastAsia"/>
                <w:highlight w:val="none"/>
              </w:rPr>
              <w:br w:type="textWrapping"/>
            </w:r>
            <w:r>
              <w:rPr>
                <w:rFonts w:hint="eastAsia"/>
                <w:highlight w:val="none"/>
              </w:rPr>
              <w:t>2.认定标准：由中国电信涉密事项经办部门先行初步认定，再由公司保密管理部门组织最终认定。秘密事项涉及多个部门经办的，直接向供应商提供相关资料的部门牵头负责初步认定。中国电信按有关法律法规或合同协议约定、或者应供应商要求，向供应商提供的附带保密要求或标明密级的信息资料，视同供应商负有保密义务</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涉密事项经办部门（初步认定）、公司保密管理部门（最终认定和信息提报）</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涉及集团级采购</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3.降级：调整不良行为涉及充足供应源市场产品品类相关供应商分级结果至下一级</w:t>
            </w:r>
            <w:r>
              <w:rPr>
                <w:rFonts w:hint="eastAsia"/>
                <w:highlight w:val="none"/>
              </w:rPr>
              <w:br w:type="textWrapping"/>
            </w:r>
            <w:r>
              <w:rPr>
                <w:rFonts w:hint="eastAsia"/>
                <w:highlight w:val="none"/>
              </w:rPr>
              <w:t>4.约谈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2分；采用经评审的最低投标价法进行评审的，核增评审价格2%</w:t>
            </w:r>
            <w:r>
              <w:rPr>
                <w:rFonts w:hint="eastAsia"/>
                <w:highlight w:val="none"/>
              </w:rPr>
              <w:br w:type="textWrapping"/>
            </w:r>
            <w:r>
              <w:rPr>
                <w:rFonts w:hint="eastAsia"/>
                <w:highlight w:val="none"/>
              </w:rPr>
              <w:t>3.降级：调整不良行为涉及有限供应源市场产品品类相关供应商分级结果至下一级</w:t>
            </w:r>
            <w:r>
              <w:rPr>
                <w:rFonts w:hint="eastAsia"/>
                <w:highlight w:val="none"/>
              </w:rPr>
              <w:br w:type="textWrapping"/>
            </w:r>
            <w:r>
              <w:rPr>
                <w:rFonts w:hint="eastAsia"/>
                <w:highlight w:val="none"/>
              </w:rPr>
              <w:t>4.约谈</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不涉及集团级采购</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3.降级：调整不良行为涉及充足供应源市场产品品类相关供应商分级结果至下一级</w:t>
            </w:r>
            <w:r>
              <w:rPr>
                <w:rFonts w:hint="eastAsia"/>
                <w:highlight w:val="none"/>
              </w:rPr>
              <w:br w:type="textWrapping"/>
            </w:r>
            <w:r>
              <w:rPr>
                <w:rFonts w:hint="eastAsia"/>
                <w:highlight w:val="none"/>
              </w:rPr>
              <w:t>4.约谈</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2分；采用经评审的最低投标价法进行评审的，核增评审价格2%</w:t>
            </w:r>
            <w:r>
              <w:rPr>
                <w:rFonts w:hint="eastAsia"/>
                <w:highlight w:val="none"/>
              </w:rPr>
              <w:br w:type="textWrapping"/>
            </w:r>
            <w:r>
              <w:rPr>
                <w:rFonts w:hint="eastAsia"/>
                <w:highlight w:val="none"/>
              </w:rPr>
              <w:t>3.降级：调整不良行为涉及有限供应源市场产品品类相关供应商分级结果至下一级</w:t>
            </w:r>
            <w:r>
              <w:rPr>
                <w:rFonts w:hint="eastAsia"/>
                <w:highlight w:val="none"/>
              </w:rPr>
              <w:br w:type="textWrapping"/>
            </w:r>
            <w:r>
              <w:rPr>
                <w:rFonts w:hint="eastAsia"/>
                <w:highlight w:val="none"/>
              </w:rPr>
              <w:t>4.约谈</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26</w:t>
            </w:r>
          </w:p>
        </w:tc>
        <w:tc>
          <w:tcPr>
            <w:tcW w:w="258"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未提供符合国家规定的扣税凭证</w:t>
            </w:r>
          </w:p>
        </w:tc>
        <w:tc>
          <w:tcPr>
            <w:tcW w:w="947"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w:t>
            </w:r>
          </w:p>
          <w:p>
            <w:pPr>
              <w:widowControl/>
              <w:wordWrap w:val="0"/>
              <w:rPr>
                <w:highlight w:val="none"/>
              </w:rPr>
            </w:pPr>
            <w:r>
              <w:rPr>
                <w:rFonts w:hint="eastAsia"/>
                <w:highlight w:val="none"/>
              </w:rPr>
              <w:br w:type="page"/>
            </w:r>
            <w:r>
              <w:rPr>
                <w:rFonts w:hint="eastAsia"/>
                <w:highlight w:val="none"/>
              </w:rPr>
              <w:t>（1）在中国电信合同履行过程中提供虚开的发票，被税务机关或国家有关部门认定为虚开增值税专用发票</w:t>
            </w:r>
            <w:r>
              <w:rPr>
                <w:rFonts w:hint="eastAsia"/>
                <w:highlight w:val="none"/>
              </w:rPr>
              <w:br w:type="page"/>
            </w:r>
          </w:p>
          <w:p>
            <w:pPr>
              <w:widowControl/>
              <w:wordWrap w:val="0"/>
              <w:rPr>
                <w:highlight w:val="none"/>
              </w:rPr>
            </w:pPr>
            <w:r>
              <w:rPr>
                <w:rFonts w:hint="eastAsia"/>
                <w:highlight w:val="none"/>
              </w:rPr>
              <w:t>（2）在中国电信合同履行过程中发生与未提供符合国家规定的扣税凭证相关的其他不合规行为，并且拒绝更换合规凭证或赔偿相应损失。其他不合规行为包括但不限于：提供增值税发票后，供应商走逃失联的；提供虚假的发票，收据的；提供不符合国家规定的扣税凭证，造成中国电信损失的</w:t>
            </w:r>
            <w:r>
              <w:rPr>
                <w:rFonts w:hint="eastAsia"/>
                <w:highlight w:val="none"/>
              </w:rPr>
              <w:br w:type="page"/>
            </w:r>
          </w:p>
          <w:p>
            <w:pPr>
              <w:widowControl/>
              <w:wordWrap w:val="0"/>
              <w:rPr>
                <w:highlight w:val="none"/>
              </w:rPr>
            </w:pPr>
            <w:r>
              <w:rPr>
                <w:rFonts w:hint="eastAsia"/>
                <w:highlight w:val="none"/>
              </w:rPr>
              <w:t>2.认定标准：中国电信相关管理部门组织认定。其中行为描述（1）需要有税务机关或国家有关部门的认定结论</w:t>
            </w:r>
          </w:p>
        </w:tc>
        <w:tc>
          <w:tcPr>
            <w:tcW w:w="286" w:type="pct"/>
            <w:vMerge w:val="restar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公司相关管理部门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page"/>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虚开增值税专用发票-为集团级采购业务开票</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2.禁止采购：取消禁限期内供应商不良行为涉及充足供应源市场产品品类参与竞争性采购的资格</w:t>
            </w:r>
            <w:r>
              <w:rPr>
                <w:rFonts w:hint="eastAsia"/>
                <w:highlight w:val="none"/>
              </w:rPr>
              <w:br w:type="page"/>
            </w:r>
          </w:p>
          <w:p>
            <w:pPr>
              <w:widowControl/>
              <w:wordWrap w:val="0"/>
              <w:rPr>
                <w:highlight w:val="none"/>
              </w:rPr>
            </w:pPr>
            <w:r>
              <w:rPr>
                <w:rFonts w:hint="eastAsia"/>
                <w:highlight w:val="none"/>
              </w:rPr>
              <w:t>3.取消份额：取消当期供应商不良行为涉及充足供应源市场产品品类集中采购项目的未执行份额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限制采购：禁限期内供应商不良行为涉及有限供应源市场产品品类参与竞争性采购时，针对每例行为：采用综合评估法进行评审的，扣减综合得分（总分）2分；采用经评审的最低投标价法进行评审的，核增评审价格2%</w:t>
            </w:r>
          </w:p>
          <w:p>
            <w:pPr>
              <w:widowControl/>
              <w:wordWrap w:val="0"/>
              <w:rPr>
                <w:highlight w:val="none"/>
              </w:rPr>
            </w:pPr>
            <w:r>
              <w:rPr>
                <w:rFonts w:hint="eastAsia"/>
                <w:highlight w:val="none"/>
              </w:rPr>
              <w:br w:type="page"/>
            </w:r>
            <w:r>
              <w:rPr>
                <w:rFonts w:hint="eastAsia"/>
                <w:highlight w:val="none"/>
              </w:rPr>
              <w:t>3.调减份额：调减当期供应商不良行为涉及有限供应源市场产品品类集中采购项目的未执行份额，针对每例行为，调减额为初始分配份额的20%</w:t>
            </w:r>
            <w:r>
              <w:rPr>
                <w:rFonts w:hint="eastAsia"/>
                <w:highlight w:val="none"/>
              </w:rPr>
              <w:br w:type="page"/>
            </w:r>
          </w:p>
          <w:p>
            <w:pPr>
              <w:widowControl/>
              <w:wordWrap w:val="0"/>
              <w:rPr>
                <w:highlight w:val="none"/>
              </w:rPr>
            </w:pP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虚开增值税专用发票-为非集团级采购业务开票</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3.取消份额：取消当期供应商不良行为涉及充足供应源市场产品品类集中采购项目的未执行份额</w:t>
            </w:r>
            <w:r>
              <w:rPr>
                <w:rFonts w:hint="eastAsia"/>
                <w:highlight w:val="none"/>
              </w:rPr>
              <w:br w:type="textWrapping"/>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2分；采用经评审的最低投标价法进行评审的，核增评审价格2%</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3.调减份额：调减当期供应商不良行为涉及有限供应源市场产品品类集中采购项目的未执行份额，针对每例行为，调减额为初始分配份额的20%</w:t>
            </w:r>
            <w:r>
              <w:rPr>
                <w:rFonts w:hint="eastAsia"/>
                <w:highlight w:val="none"/>
              </w:rPr>
              <w:br w:type="textWrapping"/>
            </w: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其他不合规且拒绝更换合规凭证或赔偿相应损失-涉及集团级采购业务</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充足供应源市场产品品类参与竞争性采购时，针对每例行为：采用综合评估法进行评审的，扣减综合得分（总分）2分；采用经评审的最低投标价法进行评审的，核增评审价格2%</w:t>
            </w:r>
            <w:r>
              <w:rPr>
                <w:rFonts w:hint="eastAsia"/>
                <w:highlight w:val="none"/>
              </w:rPr>
              <w:br w:type="textWrapping"/>
            </w:r>
            <w:r>
              <w:rPr>
                <w:rFonts w:hint="eastAsia"/>
                <w:highlight w:val="none"/>
              </w:rPr>
              <w:t>3.调减份额：调减当期供应商不良行为涉及充足供应源市场产品品类集中采购项目的未执行份额，针对每例行为，调减额为初始分配份额的20%</w:t>
            </w:r>
            <w:r>
              <w:rPr>
                <w:rFonts w:hint="eastAsia"/>
                <w:highlight w:val="none"/>
              </w:rPr>
              <w:br w:type="textWrapping"/>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1分；采用经评审的最低投标价法进行评审的，核增评审价格1%</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3.调减份额：调减当期供应商不良行为涉及有限供应源市场产品品类集中采购项目的未执行份额，针对每例行为，调减额为初始分配份额的10%</w:t>
            </w:r>
            <w:r>
              <w:rPr>
                <w:rFonts w:hint="eastAsia"/>
                <w:highlight w:val="none"/>
              </w:rPr>
              <w:br w:type="textWrapping"/>
            </w: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86" w:type="pct"/>
            <w:vMerge w:val="continue"/>
            <w:tcBorders>
              <w:top w:val="nil"/>
              <w:left w:val="single" w:color="auto" w:sz="4" w:space="0"/>
              <w:bottom w:val="single" w:color="auto" w:sz="4" w:space="0"/>
              <w:right w:val="single" w:color="auto" w:sz="4" w:space="0"/>
            </w:tcBorders>
            <w:vAlign w:val="center"/>
          </w:tcPr>
          <w:p>
            <w:pPr>
              <w:widowControl/>
              <w:wordWrap w:val="0"/>
              <w:rPr>
                <w:highlight w:val="none"/>
              </w:rPr>
            </w:pP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其他不合规且拒绝更换合规凭证或赔偿相应损失-不涉及集团级采购业务</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p>
          <w:p>
            <w:pPr>
              <w:widowControl/>
              <w:wordWrap w:val="0"/>
              <w:rPr>
                <w:highlight w:val="none"/>
              </w:rPr>
            </w:pPr>
            <w:r>
              <w:rPr>
                <w:rFonts w:hint="eastAsia"/>
                <w:highlight w:val="none"/>
              </w:rPr>
              <w:br w:type="page"/>
            </w:r>
            <w:r>
              <w:rPr>
                <w:rFonts w:hint="eastAsia"/>
                <w:highlight w:val="none"/>
              </w:rPr>
              <w:t>2.禁止采购：取消禁限期内供应商不良行为涉及充足供应源市场产品品类参与竞争性采购的资格</w:t>
            </w:r>
          </w:p>
          <w:p>
            <w:pPr>
              <w:widowControl/>
              <w:wordWrap w:val="0"/>
              <w:rPr>
                <w:highlight w:val="none"/>
              </w:rPr>
            </w:pPr>
            <w:r>
              <w:rPr>
                <w:rFonts w:hint="eastAsia"/>
                <w:highlight w:val="none"/>
              </w:rPr>
              <w:br w:type="page"/>
            </w:r>
            <w:r>
              <w:rPr>
                <w:rFonts w:hint="eastAsia"/>
                <w:highlight w:val="none"/>
              </w:rPr>
              <w:t>3.取消份额：取消当期供应商不良行为涉及充足供应源市场产品品类集中采购项目的未执行份额</w:t>
            </w:r>
          </w:p>
          <w:p>
            <w:pPr>
              <w:widowControl/>
              <w:wordWrap w:val="0"/>
              <w:rPr>
                <w:highlight w:val="none"/>
              </w:rPr>
            </w:pPr>
            <w:r>
              <w:rPr>
                <w:rFonts w:hint="eastAsia"/>
                <w:highlight w:val="none"/>
              </w:rPr>
              <w:br w:type="page"/>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page"/>
            </w:r>
          </w:p>
          <w:p>
            <w:pPr>
              <w:widowControl/>
              <w:wordWrap w:val="0"/>
              <w:rPr>
                <w:highlight w:val="none"/>
              </w:rPr>
            </w:pPr>
            <w:r>
              <w:rPr>
                <w:rFonts w:hint="eastAsia"/>
                <w:highlight w:val="none"/>
              </w:rPr>
              <w:t>2.限制采购：禁限期内供应商不良行为涉及有限供应源市场产品品类参与竞争性采购时，针对每例行为：采用综合评估法进行评审的，扣减综合得分（总分）2分；采用经评审的最低投标价法进行评审的，核增评审价格2%</w:t>
            </w:r>
            <w:r>
              <w:rPr>
                <w:rFonts w:hint="eastAsia"/>
                <w:highlight w:val="none"/>
              </w:rPr>
              <w:br w:type="page"/>
            </w:r>
          </w:p>
          <w:p>
            <w:pPr>
              <w:widowControl/>
              <w:wordWrap w:val="0"/>
              <w:rPr>
                <w:highlight w:val="none"/>
              </w:rPr>
            </w:pPr>
            <w:r>
              <w:rPr>
                <w:rFonts w:hint="eastAsia"/>
                <w:highlight w:val="none"/>
              </w:rPr>
              <w:t>3.调减份额：调减当期供应商不良行为涉及有限供应源市场产品品类集中采购项目的未执行份额，针对每例行为，调减额为初始分配份额的20%</w:t>
            </w:r>
            <w:r>
              <w:rPr>
                <w:rFonts w:hint="eastAsia"/>
                <w:highlight w:val="none"/>
              </w:rPr>
              <w:br w:type="page"/>
            </w:r>
          </w:p>
          <w:p>
            <w:pPr>
              <w:widowControl/>
              <w:wordWrap w:val="0"/>
              <w:rPr>
                <w:highlight w:val="none"/>
              </w:rPr>
            </w:pPr>
            <w:r>
              <w:rPr>
                <w:rFonts w:hint="eastAsia"/>
                <w:highlight w:val="none"/>
              </w:rPr>
              <w:t>4.降级：调整不良行为涉及有限供应源市场产品品类相关供应商分级结果至下一级</w:t>
            </w:r>
          </w:p>
        </w:tc>
      </w:tr>
      <w:tr>
        <w:tblPrEx>
          <w:tblCellMar>
            <w:top w:w="0" w:type="dxa"/>
            <w:left w:w="108" w:type="dxa"/>
            <w:bottom w:w="0" w:type="dxa"/>
            <w:right w:w="108" w:type="dxa"/>
          </w:tblCellMar>
        </w:tblPrEx>
        <w:trPr>
          <w:trHeight w:val="20" w:hRule="atLeast"/>
          <w:jc w:val="center"/>
        </w:trPr>
        <w:tc>
          <w:tcPr>
            <w:tcW w:w="160" w:type="pc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27</w:t>
            </w:r>
          </w:p>
        </w:tc>
        <w:tc>
          <w:tcPr>
            <w:tcW w:w="2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在第三方发生不良行为</w:t>
            </w:r>
          </w:p>
        </w:tc>
        <w:tc>
          <w:tcPr>
            <w:tcW w:w="947"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第三方按照有关法律法规或管理监督机构要求或按照与中国电信合同/协议或相互间一致意见，或应中国电信集团有限公司要求，向中国电信集团有限公司采购归口管理部门共享输出供应商不良行为信息或类似行为信息，该信息反映供应商在该第三方发生或被认定有供应商不良行为或类似行为</w:t>
            </w:r>
            <w:r>
              <w:rPr>
                <w:rFonts w:hint="eastAsia"/>
                <w:highlight w:val="none"/>
              </w:rPr>
              <w:br w:type="textWrapping"/>
            </w:r>
            <w:r>
              <w:rPr>
                <w:rFonts w:hint="eastAsia"/>
                <w:highlight w:val="none"/>
              </w:rPr>
              <w:t>2.认定标准：由中国电信集团有限公司采购归口管理部门组织认定。第三方应该是中国电信集团有限公司认为其供应商管理信息总体上可信或应该接受的；第三方信息反映的不良行为或类似行为不需要严格符合中国电信的供应商不良行为定义，只需要行为名称或描述体现与不良相同或相近的意思</w:t>
            </w:r>
          </w:p>
        </w:tc>
        <w:tc>
          <w:tcPr>
            <w:tcW w:w="286"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集团公司采购归口管理部门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一般不良行为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处理措施：参考性应用（采购实施部门或合同执行部门可结合具体情况评估风险，在合法合规的前提下，依据采购文件规定、合同约定或商业惯例或其他合理依据，组织确定是否对本单位与相关供应商的采购交易和/或合同履行采取规风险规避、风险减轻等应对措施）。如果供应商“在第三方发生不良行为”且处于被该第三方禁止采购/限制采购（或纳入黑名单等任何相当于禁止采购/限制采购的处理）的状态，则在中国电信与该第三方联合建设项目的范围内，中国电信有权在其认为可行的条件下，响应该第三方要求减少或避免采购、应用该供应商的产品，且不因此承担任何违约责任。</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1.禁限期：自不良行为处理结果发布次日开始，终止于开始日起算满2年之日</w:t>
            </w:r>
            <w:r>
              <w:rPr>
                <w:rFonts w:hint="eastAsia"/>
                <w:highlight w:val="none"/>
              </w:rPr>
              <w:br w:type="textWrapping"/>
            </w:r>
            <w:r>
              <w:rPr>
                <w:rFonts w:hint="eastAsia"/>
                <w:highlight w:val="none"/>
              </w:rPr>
              <w:t>2.处理措施：参考性应用（采购实施部门或合同执行部门可结合具体情况评估风险，在合法合规的前提下，依据采购文件规定、合同约定或商业惯例或其他合理依据，组织确定是否对本单位与相关供应商的采购交易和/或合同履行采取规风险规避、风险减轻等应对措施）。如果供应商“在第三方发生不良行为”且处于被该第三方禁止采购/限制采购（或纳入黑名单等任何相当于禁止采购/限制采购的处理）的状态，则在中国电信与该第三方联合建设项目的范围内，中国电信有权在其认为可行的条件下，响应该第三方要求减少或避免采购、应用该供应商的产品，且不因此承担任何违约责任。</w:t>
            </w:r>
          </w:p>
        </w:tc>
      </w:tr>
      <w:tr>
        <w:tblPrEx>
          <w:tblCellMar>
            <w:top w:w="0" w:type="dxa"/>
            <w:left w:w="108" w:type="dxa"/>
            <w:bottom w:w="0" w:type="dxa"/>
            <w:right w:w="108" w:type="dxa"/>
          </w:tblCellMar>
        </w:tblPrEx>
        <w:trPr>
          <w:trHeight w:val="20" w:hRule="atLeast"/>
          <w:jc w:val="center"/>
        </w:trPr>
        <w:tc>
          <w:tcPr>
            <w:tcW w:w="160" w:type="pct"/>
            <w:vMerge w:val="restart"/>
            <w:tcBorders>
              <w:top w:val="nil"/>
              <w:left w:val="single" w:color="auto" w:sz="4" w:space="0"/>
              <w:bottom w:val="single" w:color="000000" w:sz="4" w:space="0"/>
              <w:right w:val="single" w:color="auto" w:sz="4" w:space="0"/>
            </w:tcBorders>
            <w:shd w:val="clear" w:color="auto" w:fill="auto"/>
            <w:vAlign w:val="center"/>
          </w:tcPr>
          <w:p>
            <w:pPr>
              <w:widowControl/>
              <w:wordWrap w:val="0"/>
              <w:jc w:val="center"/>
              <w:rPr>
                <w:highlight w:val="none"/>
              </w:rPr>
            </w:pPr>
            <w:r>
              <w:rPr>
                <w:rFonts w:hint="eastAsia"/>
                <w:highlight w:val="none"/>
              </w:rPr>
              <w:t>28</w:t>
            </w:r>
          </w:p>
        </w:tc>
        <w:tc>
          <w:tcPr>
            <w:tcW w:w="258" w:type="pct"/>
            <w:vMerge w:val="restart"/>
            <w:tcBorders>
              <w:top w:val="nil"/>
              <w:left w:val="single" w:color="auto" w:sz="4" w:space="0"/>
              <w:bottom w:val="single" w:color="000000" w:sz="4" w:space="0"/>
              <w:right w:val="single" w:color="auto" w:sz="4" w:space="0"/>
            </w:tcBorders>
            <w:shd w:val="clear" w:color="auto" w:fill="auto"/>
            <w:vAlign w:val="center"/>
          </w:tcPr>
          <w:p>
            <w:pPr>
              <w:widowControl/>
              <w:wordWrap w:val="0"/>
              <w:jc w:val="center"/>
              <w:rPr>
                <w:highlight w:val="none"/>
              </w:rPr>
            </w:pPr>
            <w:r>
              <w:rPr>
                <w:rFonts w:hint="eastAsia"/>
                <w:highlight w:val="none"/>
              </w:rPr>
              <w:t>按招投标行政监督部门要求处理的不良行为</w:t>
            </w:r>
          </w:p>
        </w:tc>
        <w:tc>
          <w:tcPr>
            <w:tcW w:w="947" w:type="pct"/>
            <w:vMerge w:val="restart"/>
            <w:tcBorders>
              <w:top w:val="nil"/>
              <w:left w:val="single" w:color="auto" w:sz="4" w:space="0"/>
              <w:bottom w:val="single" w:color="000000" w:sz="4" w:space="0"/>
              <w:right w:val="single" w:color="auto" w:sz="4" w:space="0"/>
            </w:tcBorders>
            <w:shd w:val="clear" w:color="auto" w:fill="auto"/>
            <w:vAlign w:val="center"/>
          </w:tcPr>
          <w:p>
            <w:pPr>
              <w:widowControl/>
              <w:wordWrap w:val="0"/>
              <w:rPr>
                <w:highlight w:val="none"/>
              </w:rPr>
            </w:pPr>
            <w:r>
              <w:rPr>
                <w:rFonts w:hint="eastAsia"/>
                <w:highlight w:val="none"/>
              </w:rPr>
              <w:t>1.行为描述：供应商被招投标行政监督部门处罚，中国电信需要按要求落实处罚决定结果或者应用处罚决定中的相关信息</w:t>
            </w:r>
            <w:r>
              <w:rPr>
                <w:rFonts w:hint="eastAsia"/>
                <w:highlight w:val="none"/>
              </w:rPr>
              <w:br w:type="textWrapping"/>
            </w:r>
            <w:r>
              <w:rPr>
                <w:rFonts w:hint="eastAsia"/>
                <w:highlight w:val="none"/>
              </w:rPr>
              <w:t>2.认定标准：有关部门招投标行政处罚结果</w:t>
            </w:r>
          </w:p>
        </w:tc>
        <w:tc>
          <w:tcPr>
            <w:tcW w:w="286"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采购归口管理部门或采购实施部门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根据处罚决定或研究结果处罚范围应当涉及中国境内全地域的</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禁限期、处理措施原则上以行政监督部门处理决定或要求为准（必要时由中国电信集团有限公司采购归口管理部门研究确定）。</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禁限期、处理措施原则上以行政监督部门处理决定或要求为准（必要时由中国电信集团有限公司采购归口管理部门研究确定）。</w:t>
            </w:r>
          </w:p>
        </w:tc>
      </w:tr>
      <w:tr>
        <w:tblPrEx>
          <w:tblCellMar>
            <w:top w:w="0" w:type="dxa"/>
            <w:left w:w="108" w:type="dxa"/>
            <w:bottom w:w="0" w:type="dxa"/>
            <w:right w:w="108" w:type="dxa"/>
          </w:tblCellMar>
        </w:tblPrEx>
        <w:trPr>
          <w:trHeight w:val="20" w:hRule="atLeast"/>
          <w:jc w:val="center"/>
        </w:trPr>
        <w:tc>
          <w:tcPr>
            <w:tcW w:w="160" w:type="pct"/>
            <w:vMerge w:val="continue"/>
            <w:tcBorders>
              <w:top w:val="nil"/>
              <w:left w:val="single" w:color="auto" w:sz="4" w:space="0"/>
              <w:bottom w:val="single" w:color="000000" w:sz="4" w:space="0"/>
              <w:right w:val="single" w:color="auto" w:sz="4" w:space="0"/>
            </w:tcBorders>
            <w:vAlign w:val="center"/>
          </w:tcPr>
          <w:p>
            <w:pPr>
              <w:widowControl/>
              <w:wordWrap w:val="0"/>
              <w:rPr>
                <w:highlight w:val="none"/>
              </w:rPr>
            </w:pPr>
          </w:p>
        </w:tc>
        <w:tc>
          <w:tcPr>
            <w:tcW w:w="258" w:type="pct"/>
            <w:vMerge w:val="continue"/>
            <w:tcBorders>
              <w:top w:val="nil"/>
              <w:left w:val="single" w:color="auto" w:sz="4" w:space="0"/>
              <w:bottom w:val="single" w:color="000000" w:sz="4" w:space="0"/>
              <w:right w:val="single" w:color="auto" w:sz="4" w:space="0"/>
            </w:tcBorders>
            <w:vAlign w:val="center"/>
          </w:tcPr>
          <w:p>
            <w:pPr>
              <w:widowControl/>
              <w:wordWrap w:val="0"/>
              <w:rPr>
                <w:highlight w:val="none"/>
              </w:rPr>
            </w:pPr>
          </w:p>
        </w:tc>
        <w:tc>
          <w:tcPr>
            <w:tcW w:w="947" w:type="pct"/>
            <w:vMerge w:val="continue"/>
            <w:tcBorders>
              <w:top w:val="nil"/>
              <w:left w:val="single" w:color="auto" w:sz="4" w:space="0"/>
              <w:bottom w:val="single" w:color="000000" w:sz="4" w:space="0"/>
              <w:right w:val="single" w:color="auto" w:sz="4" w:space="0"/>
            </w:tcBorders>
            <w:vAlign w:val="center"/>
          </w:tcPr>
          <w:p>
            <w:pPr>
              <w:widowControl/>
              <w:wordWrap w:val="0"/>
              <w:rPr>
                <w:highlight w:val="none"/>
              </w:rPr>
            </w:pPr>
          </w:p>
        </w:tc>
        <w:tc>
          <w:tcPr>
            <w:tcW w:w="286"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采购归口管理部门或采购实施部门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page"/>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根据处罚决定或研究结果处罚范围仅涉及指定省地域的</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禁限期、处理措施原则上以行政监督部门处理决定或要求为准（必要时由中国电信集团有限公司采购归口管理部门研究确定）。</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禁限期、处理措施原则上以行政监督部门处理决定或要求为准（必要时由中国电信集团有限公司采购归口管理部门研究确定）。</w:t>
            </w:r>
          </w:p>
        </w:tc>
      </w:tr>
      <w:tr>
        <w:tblPrEx>
          <w:tblCellMar>
            <w:top w:w="0" w:type="dxa"/>
            <w:left w:w="108" w:type="dxa"/>
            <w:bottom w:w="0" w:type="dxa"/>
            <w:right w:w="108" w:type="dxa"/>
          </w:tblCellMar>
        </w:tblPrEx>
        <w:trPr>
          <w:trHeight w:val="20" w:hRule="atLeast"/>
          <w:jc w:val="center"/>
        </w:trPr>
        <w:tc>
          <w:tcPr>
            <w:tcW w:w="160" w:type="pct"/>
            <w:tcBorders>
              <w:top w:val="nil"/>
              <w:left w:val="single" w:color="auto" w:sz="4" w:space="0"/>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29</w:t>
            </w:r>
          </w:p>
        </w:tc>
        <w:tc>
          <w:tcPr>
            <w:tcW w:w="2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涉及中国电信的供应商其他违法犯罪</w:t>
            </w:r>
          </w:p>
        </w:tc>
        <w:tc>
          <w:tcPr>
            <w:tcW w:w="947"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行为描述：供应商涉因涉及中国电信的行为被有关行政机关认定为违法并处以行政处罚，或被人民法院判决为刑事犯罪；相关行为直接或间接侵害中国电信权益或给中国电信造成风险，或虽然未侵犯中国电信权益、未给中国电信造成风险但违法犯罪行为利用（含冒用、盗用）了中国电信名义或与中国电信的合作关系（含捏造、伪造的关系）</w:t>
            </w:r>
            <w:r>
              <w:rPr>
                <w:rFonts w:hint="eastAsia"/>
                <w:highlight w:val="none"/>
              </w:rPr>
              <w:br w:type="textWrapping"/>
            </w:r>
            <w:r>
              <w:rPr>
                <w:rFonts w:hint="eastAsia"/>
                <w:highlight w:val="none"/>
              </w:rPr>
              <w:t>2.认定标准：生效的行政处罚决定，或人民法院生效判决，或仲裁机构生效仲裁结果。符合其他不良行为类目的行为不认定为本类目</w:t>
            </w:r>
          </w:p>
        </w:tc>
        <w:tc>
          <w:tcPr>
            <w:tcW w:w="286"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采购归口管理部门或采购实施部门</w:t>
            </w:r>
          </w:p>
        </w:tc>
        <w:tc>
          <w:tcPr>
            <w:tcW w:w="249"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集团公司</w:t>
            </w:r>
            <w:r>
              <w:rPr>
                <w:rFonts w:hint="eastAsia"/>
                <w:highlight w:val="none"/>
              </w:rPr>
              <w:br w:type="textWrapping"/>
            </w:r>
            <w:r>
              <w:rPr>
                <w:rFonts w:hint="eastAsia"/>
                <w:highlight w:val="none"/>
              </w:rPr>
              <w:t>省公司</w:t>
            </w:r>
          </w:p>
        </w:tc>
        <w:tc>
          <w:tcPr>
            <w:tcW w:w="15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257"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严重不良行为</w:t>
            </w:r>
          </w:p>
        </w:tc>
        <w:tc>
          <w:tcPr>
            <w:tcW w:w="188"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w:t>
            </w:r>
          </w:p>
        </w:tc>
        <w:tc>
          <w:tcPr>
            <w:tcW w:w="191" w:type="pct"/>
            <w:tcBorders>
              <w:top w:val="nil"/>
              <w:left w:val="nil"/>
              <w:bottom w:val="single" w:color="auto" w:sz="4" w:space="0"/>
              <w:right w:val="single" w:color="auto" w:sz="4" w:space="0"/>
            </w:tcBorders>
            <w:shd w:val="clear" w:color="auto" w:fill="auto"/>
            <w:vAlign w:val="center"/>
          </w:tcPr>
          <w:p>
            <w:pPr>
              <w:widowControl/>
              <w:wordWrap w:val="0"/>
              <w:jc w:val="center"/>
              <w:rPr>
                <w:highlight w:val="none"/>
              </w:rPr>
            </w:pPr>
            <w:r>
              <w:rPr>
                <w:rFonts w:hint="eastAsia"/>
                <w:highlight w:val="none"/>
              </w:rPr>
              <w:t>　</w:t>
            </w:r>
          </w:p>
        </w:tc>
        <w:tc>
          <w:tcPr>
            <w:tcW w:w="1205"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2.禁止采购：取消禁限期内供应商不良行为涉及充足供应源市场产品品类参与竞争性采购的资格</w:t>
            </w:r>
            <w:r>
              <w:rPr>
                <w:rFonts w:hint="eastAsia"/>
                <w:highlight w:val="none"/>
              </w:rPr>
              <w:br w:type="textWrapping"/>
            </w:r>
            <w:r>
              <w:rPr>
                <w:rFonts w:hint="eastAsia"/>
                <w:highlight w:val="none"/>
              </w:rPr>
              <w:t>3.取消份额：取消当期供应商不良行为涉及充足供应源市场产品品类集中采购项目的未执行份额</w:t>
            </w:r>
            <w:r>
              <w:rPr>
                <w:rFonts w:hint="eastAsia"/>
                <w:highlight w:val="none"/>
              </w:rPr>
              <w:br w:type="textWrapping"/>
            </w:r>
            <w:r>
              <w:rPr>
                <w:rFonts w:hint="eastAsia"/>
                <w:highlight w:val="none"/>
              </w:rPr>
              <w:t>4.降级：调整不良行为涉及充足供应源市场产品品类相关供应商分级结果至下一级</w:t>
            </w:r>
          </w:p>
        </w:tc>
        <w:tc>
          <w:tcPr>
            <w:tcW w:w="1100" w:type="pct"/>
            <w:tcBorders>
              <w:top w:val="nil"/>
              <w:left w:val="nil"/>
              <w:bottom w:val="single" w:color="auto" w:sz="4" w:space="0"/>
              <w:right w:val="single" w:color="auto" w:sz="4" w:space="0"/>
            </w:tcBorders>
            <w:shd w:val="clear" w:color="auto" w:fill="auto"/>
            <w:vAlign w:val="center"/>
          </w:tcPr>
          <w:p>
            <w:pPr>
              <w:widowControl/>
              <w:wordWrap w:val="0"/>
              <w:rPr>
                <w:highlight w:val="none"/>
              </w:rPr>
            </w:pPr>
            <w:r>
              <w:rPr>
                <w:rFonts w:hint="eastAsia"/>
                <w:highlight w:val="none"/>
              </w:rPr>
              <w:t>1.禁限期：自不良行为处理结果发布次日开始，终止于开始日起算满3年之日</w:t>
            </w:r>
            <w:r>
              <w:rPr>
                <w:rFonts w:hint="eastAsia"/>
                <w:highlight w:val="none"/>
              </w:rPr>
              <w:br w:type="textWrapping"/>
            </w:r>
            <w:r>
              <w:rPr>
                <w:rFonts w:hint="eastAsia"/>
                <w:highlight w:val="none"/>
              </w:rPr>
              <w:t>2.限制采购：禁限期内供应商不良行为涉及有限供应源市场产品品类参与竞争性采购时，针对每例行为：采用综合评估法进行评审的，扣减综合得分（总分）3分；采用经评审的最低投标价法进行评审的，核增评审价格3%</w:t>
            </w:r>
            <w:r>
              <w:rPr>
                <w:rFonts w:hint="eastAsia"/>
                <w:highlight w:val="none"/>
              </w:rPr>
              <w:br w:type="textWrapping"/>
            </w:r>
            <w:r>
              <w:rPr>
                <w:rFonts w:hint="eastAsia"/>
                <w:highlight w:val="none"/>
              </w:rPr>
              <w:t>3.调减份额：调减当期供应商不良行为涉及有限供应源市场产品品类集中采购项目的未执行份额，针对每例行为，调减额为初始分配份额的20%</w:t>
            </w:r>
            <w:r>
              <w:rPr>
                <w:rFonts w:hint="eastAsia"/>
                <w:highlight w:val="none"/>
              </w:rPr>
              <w:br w:type="textWrapping"/>
            </w:r>
            <w:r>
              <w:rPr>
                <w:rFonts w:hint="eastAsia"/>
                <w:highlight w:val="none"/>
              </w:rPr>
              <w:t>4.降级：调整不良行为涉及有限供应源市场产品品类相关供应商分级结果至下一级</w:t>
            </w:r>
          </w:p>
        </w:tc>
      </w:tr>
    </w:tbl>
    <w:p>
      <w:pPr>
        <w:spacing w:line="360" w:lineRule="auto"/>
        <w:rPr>
          <w:szCs w:val="21"/>
          <w:highlight w:val="none"/>
        </w:rPr>
      </w:pPr>
    </w:p>
    <w:tbl>
      <w:tblPr>
        <w:tblStyle w:val="37"/>
        <w:tblW w:w="5000" w:type="pct"/>
        <w:tblInd w:w="0" w:type="dxa"/>
        <w:tblLayout w:type="autofit"/>
        <w:tblCellMar>
          <w:top w:w="0" w:type="dxa"/>
          <w:left w:w="108" w:type="dxa"/>
          <w:bottom w:w="0" w:type="dxa"/>
          <w:right w:w="108" w:type="dxa"/>
        </w:tblCellMar>
      </w:tblPr>
      <w:tblGrid>
        <w:gridCol w:w="14196"/>
      </w:tblGrid>
      <w:tr>
        <w:tblPrEx>
          <w:tblCellMar>
            <w:top w:w="0" w:type="dxa"/>
            <w:left w:w="108" w:type="dxa"/>
            <w:bottom w:w="0" w:type="dxa"/>
            <w:right w:w="108" w:type="dxa"/>
          </w:tblCellMar>
        </w:tblPrEx>
        <w:trPr>
          <w:cantSplit/>
          <w:trHeight w:val="280" w:hRule="atLeast"/>
        </w:trPr>
        <w:tc>
          <w:tcPr>
            <w:tcW w:w="5000" w:type="pct"/>
            <w:shd w:val="clear" w:color="auto" w:fill="auto"/>
            <w:noWrap/>
            <w:vAlign w:val="center"/>
          </w:tcPr>
          <w:p>
            <w:pPr>
              <w:widowControl/>
              <w:rPr>
                <w:b/>
                <w:bCs/>
                <w:highlight w:val="none"/>
              </w:rPr>
            </w:pPr>
            <w:r>
              <w:rPr>
                <w:rFonts w:hint="eastAsia"/>
                <w:b/>
                <w:bCs/>
                <w:highlight w:val="none"/>
              </w:rPr>
              <w:t>1.处理规则说明：</w:t>
            </w:r>
          </w:p>
        </w:tc>
      </w:tr>
      <w:tr>
        <w:tblPrEx>
          <w:tblCellMar>
            <w:top w:w="0" w:type="dxa"/>
            <w:left w:w="108" w:type="dxa"/>
            <w:bottom w:w="0" w:type="dxa"/>
            <w:right w:w="108" w:type="dxa"/>
          </w:tblCellMar>
        </w:tblPrEx>
        <w:trPr>
          <w:cantSplit/>
          <w:trHeight w:val="615" w:hRule="atLeast"/>
        </w:trPr>
        <w:tc>
          <w:tcPr>
            <w:tcW w:w="5000" w:type="pct"/>
            <w:shd w:val="clear" w:color="auto" w:fill="auto"/>
            <w:vAlign w:val="center"/>
          </w:tcPr>
          <w:p>
            <w:pPr>
              <w:widowControl/>
              <w:rPr>
                <w:highlight w:val="none"/>
              </w:rPr>
            </w:pPr>
            <w:r>
              <w:rPr>
                <w:rFonts w:hint="eastAsia"/>
                <w:highlight w:val="none"/>
              </w:rPr>
              <w:t>①按本规则作出的处理结果，原则上需要严格执行其各项处理措施（另有说明的除外）。如遇特殊情形，中国电信经分析研究、决策审批后，可对实际执行的处理措施做出相应调整。如发生与法律法规或相关行政、司法、纪检监察等管理监督机构的相关规定或要求不一致的情况，以法律法规及相关管理监督机构的规定、要求为准。更为全面和详细的内容见不良行为管理规则文本的相关部分。</w:t>
            </w:r>
          </w:p>
        </w:tc>
      </w:tr>
      <w:tr>
        <w:tblPrEx>
          <w:tblCellMar>
            <w:top w:w="0" w:type="dxa"/>
            <w:left w:w="108" w:type="dxa"/>
            <w:bottom w:w="0" w:type="dxa"/>
            <w:right w:w="108" w:type="dxa"/>
          </w:tblCellMar>
        </w:tblPrEx>
        <w:trPr>
          <w:cantSplit/>
          <w:trHeight w:val="512" w:hRule="atLeast"/>
        </w:trPr>
        <w:tc>
          <w:tcPr>
            <w:tcW w:w="5000" w:type="pct"/>
            <w:shd w:val="clear" w:color="auto" w:fill="auto"/>
            <w:vAlign w:val="center"/>
          </w:tcPr>
          <w:p>
            <w:pPr>
              <w:widowControl/>
              <w:rPr>
                <w:highlight w:val="none"/>
              </w:rPr>
            </w:pPr>
            <w:r>
              <w:rPr>
                <w:rFonts w:hint="eastAsia"/>
                <w:highlight w:val="none"/>
              </w:rPr>
              <w:t>②关于处理规则中的处理措施，对应充足供应源市场和有限供应源市场的全部各项处理措施共同构成一整套措施，除非另有说明，均需要整套执行。充足供应源市场和有限供应源市场是根据处理对象的产品品类在执行处理结果时属于哪个领域来确定（另有说明的除外）。</w:t>
            </w:r>
          </w:p>
        </w:tc>
      </w:tr>
      <w:tr>
        <w:tblPrEx>
          <w:tblCellMar>
            <w:top w:w="0" w:type="dxa"/>
            <w:left w:w="108" w:type="dxa"/>
            <w:bottom w:w="0" w:type="dxa"/>
            <w:right w:w="108" w:type="dxa"/>
          </w:tblCellMar>
        </w:tblPrEx>
        <w:trPr>
          <w:cantSplit/>
          <w:trHeight w:val="734" w:hRule="atLeast"/>
        </w:trPr>
        <w:tc>
          <w:tcPr>
            <w:tcW w:w="5000" w:type="pct"/>
            <w:shd w:val="clear" w:color="auto" w:fill="auto"/>
            <w:vAlign w:val="center"/>
          </w:tcPr>
          <w:p>
            <w:pPr>
              <w:widowControl/>
              <w:rPr>
                <w:highlight w:val="none"/>
              </w:rPr>
            </w:pPr>
            <w:r>
              <w:rPr>
                <w:rFonts w:hint="eastAsia"/>
                <w:highlight w:val="none"/>
              </w:rPr>
              <w:t>③关于“禁限期内”和处理结果发布：处理结果发布日期以对中国电信内部发布的日期为准；不良行为信息涉国家秘密的，禁限期自处理结果审批完成次日起算，处理结果不对中国电信外部公告发布，以利于保密的方式和范围提供特定采购实施单位应用；如有中国电信认为不宜直接对中国电信外部公开相关信息等特殊情况的，中国电信有权视具体情况确定对外公告事宜，包括但不限于认定及处理结果不对中国电信外部公告或者遮盖供应商名称信息后公告。</w:t>
            </w:r>
          </w:p>
        </w:tc>
      </w:tr>
      <w:tr>
        <w:tblPrEx>
          <w:tblCellMar>
            <w:top w:w="0" w:type="dxa"/>
            <w:left w:w="108" w:type="dxa"/>
            <w:bottom w:w="0" w:type="dxa"/>
            <w:right w:w="108" w:type="dxa"/>
          </w:tblCellMar>
        </w:tblPrEx>
        <w:trPr>
          <w:cantSplit/>
          <w:trHeight w:val="280" w:hRule="atLeast"/>
        </w:trPr>
        <w:tc>
          <w:tcPr>
            <w:tcW w:w="5000" w:type="pct"/>
            <w:shd w:val="clear" w:color="auto" w:fill="auto"/>
            <w:noWrap/>
            <w:vAlign w:val="center"/>
          </w:tcPr>
          <w:p>
            <w:pPr>
              <w:widowControl/>
              <w:rPr>
                <w:highlight w:val="none"/>
              </w:rPr>
            </w:pPr>
            <w:r>
              <w:rPr>
                <w:rFonts w:hint="eastAsia"/>
                <w:highlight w:val="none"/>
              </w:rPr>
              <w:t>④处理规则中的“当期”，指以禁限期开始之日为基准日期（当基准日期早于处理结果发布次日时，以发布处理结果次日作为实际基准）。</w:t>
            </w:r>
          </w:p>
        </w:tc>
      </w:tr>
      <w:tr>
        <w:tblPrEx>
          <w:tblCellMar>
            <w:top w:w="0" w:type="dxa"/>
            <w:left w:w="108" w:type="dxa"/>
            <w:bottom w:w="0" w:type="dxa"/>
            <w:right w:w="108" w:type="dxa"/>
          </w:tblCellMar>
        </w:tblPrEx>
        <w:trPr>
          <w:cantSplit/>
          <w:trHeight w:val="280" w:hRule="atLeast"/>
        </w:trPr>
        <w:tc>
          <w:tcPr>
            <w:tcW w:w="5000" w:type="pct"/>
            <w:shd w:val="clear" w:color="auto" w:fill="auto"/>
            <w:noWrap/>
            <w:vAlign w:val="center"/>
          </w:tcPr>
          <w:p>
            <w:pPr>
              <w:widowControl/>
              <w:rPr>
                <w:highlight w:val="none"/>
              </w:rPr>
            </w:pPr>
            <w:r>
              <w:rPr>
                <w:rFonts w:hint="eastAsia"/>
                <w:highlight w:val="none"/>
              </w:rPr>
              <w:t>⑤处理规则中扣减综合得分的分数，是指百分制的分数；采购评审满分不是百分制的应进行换算。</w:t>
            </w:r>
          </w:p>
        </w:tc>
      </w:tr>
      <w:tr>
        <w:tblPrEx>
          <w:tblCellMar>
            <w:top w:w="0" w:type="dxa"/>
            <w:left w:w="108" w:type="dxa"/>
            <w:bottom w:w="0" w:type="dxa"/>
            <w:right w:w="108" w:type="dxa"/>
          </w:tblCellMar>
        </w:tblPrEx>
        <w:trPr>
          <w:cantSplit/>
          <w:trHeight w:val="70" w:hRule="atLeast"/>
        </w:trPr>
        <w:tc>
          <w:tcPr>
            <w:tcW w:w="5000" w:type="pct"/>
            <w:shd w:val="clear" w:color="auto" w:fill="auto"/>
            <w:noWrap/>
            <w:vAlign w:val="center"/>
          </w:tcPr>
          <w:p>
            <w:pPr>
              <w:widowControl/>
              <w:rPr>
                <w:highlight w:val="none"/>
              </w:rPr>
            </w:pPr>
            <w:r>
              <w:rPr>
                <w:rFonts w:hint="eastAsia"/>
                <w:highlight w:val="none"/>
              </w:rPr>
              <w:t>⑥不良行为处理结果中涉及的取消、调减、暂停执行份额等措施，执行范围只针对供应商在已经承诺接受管理规则的情况下签订的合同、协议。</w:t>
            </w:r>
          </w:p>
        </w:tc>
      </w:tr>
      <w:tr>
        <w:tblPrEx>
          <w:tblCellMar>
            <w:top w:w="0" w:type="dxa"/>
            <w:left w:w="108" w:type="dxa"/>
            <w:bottom w:w="0" w:type="dxa"/>
            <w:right w:w="108" w:type="dxa"/>
          </w:tblCellMar>
        </w:tblPrEx>
        <w:trPr>
          <w:cantSplit/>
          <w:trHeight w:val="1270" w:hRule="atLeast"/>
        </w:trPr>
        <w:tc>
          <w:tcPr>
            <w:tcW w:w="5000" w:type="pct"/>
            <w:shd w:val="clear" w:color="auto" w:fill="auto"/>
            <w:vAlign w:val="center"/>
          </w:tcPr>
          <w:p>
            <w:pPr>
              <w:widowControl/>
              <w:rPr>
                <w:highlight w:val="none"/>
              </w:rPr>
            </w:pPr>
            <w:r>
              <w:rPr>
                <w:rFonts w:hint="eastAsia"/>
                <w:highlight w:val="none"/>
              </w:rPr>
              <w:t>⑦禁止采购、限制采购、取消/调减/暂停执行份额措施不适用于单一来源采购，限制类采购措施不在采购的资格审查环节应用。取消/调减/暂停执行份额类措施在处理结果确定后合理时间内完成一次执行，只针对不良行为管理规则发布施行后相关供应商新签订的合同、协议。降级措施为处理结果确定后合理时间内对当前分级结果完成一次调整，并可作为后续重新分级的依据；在有限供应源市场的产品品类因“有行贿或提供不正当利益行为”降到不合格级的，须提请决策审批，通过方可落实。在废旧闲置物资处置项目中应用不良行为处理结果时，禁止采购的处理措施理解为取消相关供应商参与竞争的资格；限制采购的处理措施在以评分方法择优时理解为相应扣减评分，在以价格为标准择优时理解为相应核减价格（拍卖方式下不适用限制采购的处理措施）。</w:t>
            </w:r>
          </w:p>
        </w:tc>
      </w:tr>
      <w:tr>
        <w:tblPrEx>
          <w:tblCellMar>
            <w:top w:w="0" w:type="dxa"/>
            <w:left w:w="108" w:type="dxa"/>
            <w:bottom w:w="0" w:type="dxa"/>
            <w:right w:w="108" w:type="dxa"/>
          </w:tblCellMar>
        </w:tblPrEx>
        <w:trPr>
          <w:cantSplit/>
          <w:trHeight w:val="280" w:hRule="atLeast"/>
        </w:trPr>
        <w:tc>
          <w:tcPr>
            <w:tcW w:w="5000" w:type="pct"/>
            <w:shd w:val="clear" w:color="auto" w:fill="auto"/>
            <w:vAlign w:val="center"/>
          </w:tcPr>
          <w:p>
            <w:pPr>
              <w:widowControl/>
              <w:rPr>
                <w:highlight w:val="none"/>
              </w:rPr>
            </w:pPr>
            <w:r>
              <w:rPr>
                <w:rFonts w:hint="eastAsia"/>
                <w:highlight w:val="none"/>
              </w:rPr>
              <w:t>⑧法人单位发生不良行为的，处理结果对供应商下属的分公司等非独立法人分支机构有效（发生不良行为的供应商为分公司等非法人分支机构的，不上溯认定其法人单位发生不良行为）。</w:t>
            </w:r>
          </w:p>
        </w:tc>
      </w:tr>
      <w:tr>
        <w:tblPrEx>
          <w:tblCellMar>
            <w:top w:w="0" w:type="dxa"/>
            <w:left w:w="108" w:type="dxa"/>
            <w:bottom w:w="0" w:type="dxa"/>
            <w:right w:w="108" w:type="dxa"/>
          </w:tblCellMar>
        </w:tblPrEx>
        <w:trPr>
          <w:cantSplit/>
          <w:trHeight w:val="280" w:hRule="atLeast"/>
        </w:trPr>
        <w:tc>
          <w:tcPr>
            <w:tcW w:w="5000" w:type="pct"/>
            <w:shd w:val="clear" w:color="auto" w:fill="auto"/>
            <w:noWrap/>
            <w:vAlign w:val="center"/>
          </w:tcPr>
          <w:p>
            <w:pPr>
              <w:widowControl/>
              <w:rPr>
                <w:highlight w:val="none"/>
              </w:rPr>
            </w:pPr>
            <w:r>
              <w:rPr>
                <w:rFonts w:hint="eastAsia"/>
                <w:b/>
                <w:bCs/>
                <w:highlight w:val="none"/>
              </w:rPr>
              <w:t>2.处理范围说明：</w:t>
            </w:r>
          </w:p>
        </w:tc>
      </w:tr>
      <w:tr>
        <w:tblPrEx>
          <w:tblCellMar>
            <w:top w:w="0" w:type="dxa"/>
            <w:left w:w="108" w:type="dxa"/>
            <w:bottom w:w="0" w:type="dxa"/>
            <w:right w:w="108" w:type="dxa"/>
          </w:tblCellMar>
        </w:tblPrEx>
        <w:trPr>
          <w:cantSplit/>
          <w:trHeight w:val="280" w:hRule="atLeast"/>
        </w:trPr>
        <w:tc>
          <w:tcPr>
            <w:tcW w:w="5000" w:type="pct"/>
            <w:shd w:val="clear" w:color="auto" w:fill="auto"/>
            <w:noWrap/>
            <w:vAlign w:val="center"/>
          </w:tcPr>
          <w:p>
            <w:pPr>
              <w:widowControl/>
              <w:rPr>
                <w:highlight w:val="none"/>
              </w:rPr>
            </w:pPr>
            <w:r>
              <w:rPr>
                <w:rFonts w:hint="eastAsia"/>
                <w:highlight w:val="none"/>
              </w:rPr>
              <w:t>①“全集团”是指在中国电信全集团范围内处理供应商。</w:t>
            </w:r>
          </w:p>
        </w:tc>
      </w:tr>
      <w:tr>
        <w:tblPrEx>
          <w:tblCellMar>
            <w:top w:w="0" w:type="dxa"/>
            <w:left w:w="108" w:type="dxa"/>
            <w:bottom w:w="0" w:type="dxa"/>
            <w:right w:w="108" w:type="dxa"/>
          </w:tblCellMar>
        </w:tblPrEx>
        <w:trPr>
          <w:cantSplit/>
          <w:trHeight w:val="280" w:hRule="atLeast"/>
        </w:trPr>
        <w:tc>
          <w:tcPr>
            <w:tcW w:w="5000" w:type="pct"/>
            <w:shd w:val="clear" w:color="auto" w:fill="auto"/>
            <w:noWrap/>
            <w:vAlign w:val="center"/>
          </w:tcPr>
          <w:p>
            <w:pPr>
              <w:widowControl/>
              <w:rPr>
                <w:highlight w:val="none"/>
              </w:rPr>
            </w:pPr>
            <w:r>
              <w:rPr>
                <w:rFonts w:hint="eastAsia"/>
                <w:highlight w:val="none"/>
              </w:rPr>
              <w:t>②“本省公司”是指在中国电信相关省公司范围处理供应商。中国电信集团有限公司/中国电信股份有限公司直接管理的专业公司和总部直属单位，比照省公司开展供应商不良行为管理工作，具体以中国电信集团有限公司采购归口管理部门解释为准。</w:t>
            </w:r>
          </w:p>
        </w:tc>
      </w:tr>
      <w:tr>
        <w:tblPrEx>
          <w:tblCellMar>
            <w:top w:w="0" w:type="dxa"/>
            <w:left w:w="108" w:type="dxa"/>
            <w:bottom w:w="0" w:type="dxa"/>
            <w:right w:w="108" w:type="dxa"/>
          </w:tblCellMar>
        </w:tblPrEx>
        <w:trPr>
          <w:cantSplit/>
          <w:trHeight w:val="280" w:hRule="atLeast"/>
        </w:trPr>
        <w:tc>
          <w:tcPr>
            <w:tcW w:w="5000" w:type="pct"/>
            <w:shd w:val="clear" w:color="auto" w:fill="auto"/>
            <w:noWrap/>
            <w:vAlign w:val="center"/>
          </w:tcPr>
          <w:p>
            <w:pPr>
              <w:widowControl/>
              <w:rPr>
                <w:b/>
                <w:bCs/>
                <w:highlight w:val="none"/>
              </w:rPr>
            </w:pPr>
            <w:r>
              <w:rPr>
                <w:rFonts w:hint="eastAsia"/>
                <w:b/>
                <w:bCs/>
                <w:highlight w:val="none"/>
              </w:rPr>
              <w:t>3.其他说明：</w:t>
            </w:r>
          </w:p>
        </w:tc>
      </w:tr>
      <w:tr>
        <w:tblPrEx>
          <w:tblCellMar>
            <w:top w:w="0" w:type="dxa"/>
            <w:left w:w="108" w:type="dxa"/>
            <w:bottom w:w="0" w:type="dxa"/>
            <w:right w:w="108" w:type="dxa"/>
          </w:tblCellMar>
        </w:tblPrEx>
        <w:trPr>
          <w:cantSplit/>
          <w:trHeight w:val="280" w:hRule="atLeast"/>
        </w:trPr>
        <w:tc>
          <w:tcPr>
            <w:tcW w:w="5000" w:type="pct"/>
            <w:shd w:val="clear" w:color="auto" w:fill="auto"/>
            <w:vAlign w:val="center"/>
          </w:tcPr>
          <w:p>
            <w:pPr>
              <w:widowControl/>
              <w:rPr>
                <w:highlight w:val="none"/>
              </w:rPr>
            </w:pPr>
            <w:r>
              <w:rPr>
                <w:rFonts w:hint="eastAsia"/>
                <w:highlight w:val="none"/>
              </w:rPr>
              <w:t>①当认定部门/信息提报部门是中国电信纪检监察机构部门时，可以按纪检监察机构要求由采购归口管理部门凭其提供的正式材料代为提报信息；如果涉及对是否涉及中国电信集团级采购业务进行认定，可由中国电信采购部门协助完成。</w:t>
            </w:r>
          </w:p>
        </w:tc>
      </w:tr>
      <w:tr>
        <w:tblPrEx>
          <w:tblCellMar>
            <w:top w:w="0" w:type="dxa"/>
            <w:left w:w="108" w:type="dxa"/>
            <w:bottom w:w="0" w:type="dxa"/>
            <w:right w:w="108" w:type="dxa"/>
          </w:tblCellMar>
        </w:tblPrEx>
        <w:trPr>
          <w:cantSplit/>
          <w:trHeight w:val="280" w:hRule="atLeast"/>
        </w:trPr>
        <w:tc>
          <w:tcPr>
            <w:tcW w:w="5000" w:type="pct"/>
            <w:shd w:val="clear" w:color="auto" w:fill="auto"/>
            <w:vAlign w:val="center"/>
          </w:tcPr>
          <w:p>
            <w:pPr>
              <w:widowControl/>
              <w:rPr>
                <w:highlight w:val="none"/>
              </w:rPr>
            </w:pPr>
            <w:r>
              <w:rPr>
                <w:rFonts w:hint="eastAsia"/>
                <w:highlight w:val="none"/>
              </w:rPr>
              <w:t>②行为描述及认定标准中引用的国家、政府部门及其他管理监督机构的相关文件、制度，如发生更新变化，以更新后的为准。</w:t>
            </w:r>
          </w:p>
        </w:tc>
      </w:tr>
      <w:tr>
        <w:tblPrEx>
          <w:tblCellMar>
            <w:top w:w="0" w:type="dxa"/>
            <w:left w:w="108" w:type="dxa"/>
            <w:bottom w:w="0" w:type="dxa"/>
            <w:right w:w="108" w:type="dxa"/>
          </w:tblCellMar>
        </w:tblPrEx>
        <w:trPr>
          <w:cantSplit/>
          <w:trHeight w:val="280" w:hRule="atLeast"/>
        </w:trPr>
        <w:tc>
          <w:tcPr>
            <w:tcW w:w="5000" w:type="pct"/>
            <w:shd w:val="clear" w:color="auto" w:fill="auto"/>
            <w:vAlign w:val="center"/>
          </w:tcPr>
          <w:p>
            <w:pPr>
              <w:widowControl/>
              <w:rPr>
                <w:highlight w:val="none"/>
              </w:rPr>
            </w:pPr>
            <w:r>
              <w:rPr>
                <w:rFonts w:hint="eastAsia"/>
                <w:highlight w:val="none"/>
              </w:rPr>
              <w:t>③当中国电信发生内部机构职责调整、导致不良行为认定部门/信息提报部门需要调整变化时，以调整后的为准。</w:t>
            </w:r>
          </w:p>
        </w:tc>
      </w:tr>
      <w:tr>
        <w:tblPrEx>
          <w:tblCellMar>
            <w:top w:w="0" w:type="dxa"/>
            <w:left w:w="108" w:type="dxa"/>
            <w:bottom w:w="0" w:type="dxa"/>
            <w:right w:w="108" w:type="dxa"/>
          </w:tblCellMar>
        </w:tblPrEx>
        <w:trPr>
          <w:cantSplit/>
          <w:trHeight w:val="280" w:hRule="atLeast"/>
        </w:trPr>
        <w:tc>
          <w:tcPr>
            <w:tcW w:w="5000" w:type="pct"/>
            <w:shd w:val="clear" w:color="auto" w:fill="auto"/>
            <w:vAlign w:val="center"/>
          </w:tcPr>
          <w:p>
            <w:pPr>
              <w:widowControl/>
              <w:rPr>
                <w:highlight w:val="none"/>
              </w:rPr>
            </w:pPr>
            <w:r>
              <w:rPr>
                <w:rFonts w:hint="eastAsia"/>
                <w:highlight w:val="none"/>
              </w:rPr>
              <w:t>④不良行为处理结果在采购实施中应用的基准日期为采购应答截止日期。中国电信采购实施部门提取该基准日期的相关处理结果并在采购评审中应用。采购项目对该项基准日期有特殊要求的，在采购文件中事先明确。</w:t>
            </w:r>
          </w:p>
        </w:tc>
      </w:tr>
      <w:tr>
        <w:tblPrEx>
          <w:tblCellMar>
            <w:top w:w="0" w:type="dxa"/>
            <w:left w:w="108" w:type="dxa"/>
            <w:bottom w:w="0" w:type="dxa"/>
            <w:right w:w="108" w:type="dxa"/>
          </w:tblCellMar>
        </w:tblPrEx>
        <w:trPr>
          <w:cantSplit/>
          <w:trHeight w:val="270" w:hRule="atLeast"/>
        </w:trPr>
        <w:tc>
          <w:tcPr>
            <w:tcW w:w="5000" w:type="pct"/>
            <w:shd w:val="clear" w:color="auto" w:fill="auto"/>
            <w:vAlign w:val="center"/>
          </w:tcPr>
          <w:p>
            <w:pPr>
              <w:widowControl/>
              <w:rPr>
                <w:highlight w:val="none"/>
              </w:rPr>
            </w:pPr>
            <w:r>
              <w:rPr>
                <w:rFonts w:hint="eastAsia"/>
                <w:highlight w:val="none"/>
              </w:rPr>
              <w:t>⑤在采购合同签订前，中国电信采购实施部门应针对候选或拟签约供应商的不良行为管理结果变化情况进行确认，如果有新增的相关禁止采购类管理结果，在不违反相关法律法规规定的前提下，取消与相关供应商的合同签订。</w:t>
            </w:r>
          </w:p>
        </w:tc>
      </w:tr>
      <w:tr>
        <w:tblPrEx>
          <w:tblCellMar>
            <w:top w:w="0" w:type="dxa"/>
            <w:left w:w="108" w:type="dxa"/>
            <w:bottom w:w="0" w:type="dxa"/>
            <w:right w:w="108" w:type="dxa"/>
          </w:tblCellMar>
        </w:tblPrEx>
        <w:trPr>
          <w:cantSplit/>
          <w:trHeight w:val="270" w:hRule="atLeast"/>
        </w:trPr>
        <w:tc>
          <w:tcPr>
            <w:tcW w:w="5000" w:type="pct"/>
            <w:shd w:val="clear" w:color="auto" w:fill="auto"/>
            <w:vAlign w:val="center"/>
          </w:tcPr>
          <w:p>
            <w:pPr>
              <w:widowControl/>
              <w:rPr>
                <w:highlight w:val="none"/>
              </w:rPr>
            </w:pPr>
            <w:r>
              <w:rPr>
                <w:rFonts w:hint="eastAsia"/>
                <w:highlight w:val="none"/>
              </w:rPr>
              <w:t>⑥中国电信采购实施部门应在采购文件中事先明确采购标的涉及的主要评估产品品类，并按照明确的品类范围应用供应商不良行为处理结果。</w:t>
            </w:r>
          </w:p>
        </w:tc>
      </w:tr>
      <w:tr>
        <w:tblPrEx>
          <w:tblCellMar>
            <w:top w:w="0" w:type="dxa"/>
            <w:left w:w="108" w:type="dxa"/>
            <w:bottom w:w="0" w:type="dxa"/>
            <w:right w:w="108" w:type="dxa"/>
          </w:tblCellMar>
        </w:tblPrEx>
        <w:trPr>
          <w:cantSplit/>
          <w:trHeight w:val="973" w:hRule="atLeast"/>
        </w:trPr>
        <w:tc>
          <w:tcPr>
            <w:tcW w:w="5000" w:type="pct"/>
            <w:shd w:val="clear" w:color="auto" w:fill="auto"/>
            <w:vAlign w:val="center"/>
          </w:tcPr>
          <w:p>
            <w:pPr>
              <w:widowControl/>
              <w:rPr>
                <w:highlight w:val="none"/>
              </w:rPr>
            </w:pPr>
            <w:r>
              <w:rPr>
                <w:rFonts w:hint="eastAsia"/>
                <w:highlight w:val="none"/>
              </w:rPr>
              <w:t>⑦同一采购标包/标段下涉及多个评估产品品类的，如果供应商及其参与采购的部分或全部产品品类涉及相关禁止采购类的不良行为处理结果，按照该供应商不符合参与此标包/标段采购的资格条件处理；如果供应商及其参与采购的部分或全部产品品类涉及相关限制采购类的处理结果，采用综合评估法进行评审的，相关处理措施中的扣分以供应商在标包/标段的总得分为基础，采用经评审的最低投标价法进行评审的，调增评审价格以供应商在标包/标段的总评审价格为基础。</w:t>
            </w:r>
          </w:p>
        </w:tc>
      </w:tr>
      <w:tr>
        <w:tblPrEx>
          <w:tblCellMar>
            <w:top w:w="0" w:type="dxa"/>
            <w:left w:w="108" w:type="dxa"/>
            <w:bottom w:w="0" w:type="dxa"/>
            <w:right w:w="108" w:type="dxa"/>
          </w:tblCellMar>
        </w:tblPrEx>
        <w:trPr>
          <w:cantSplit/>
          <w:trHeight w:val="280" w:hRule="atLeast"/>
        </w:trPr>
        <w:tc>
          <w:tcPr>
            <w:tcW w:w="5000" w:type="pct"/>
            <w:shd w:val="clear" w:color="auto" w:fill="auto"/>
            <w:vAlign w:val="center"/>
          </w:tcPr>
          <w:p>
            <w:pPr>
              <w:widowControl/>
              <w:rPr>
                <w:highlight w:val="none"/>
              </w:rPr>
            </w:pPr>
            <w:r>
              <w:rPr>
                <w:rFonts w:hint="eastAsia"/>
                <w:highlight w:val="none"/>
              </w:rPr>
              <w:t>⑧采购项目未划分标包/标段的整个项目视同一个标包/标段。参加采购的供应商为联合体的，按照供应商及其分工涉及的产品品类进行不良行为处理结果应用。</w:t>
            </w:r>
          </w:p>
        </w:tc>
      </w:tr>
      <w:tr>
        <w:tblPrEx>
          <w:tblCellMar>
            <w:top w:w="0" w:type="dxa"/>
            <w:left w:w="108" w:type="dxa"/>
            <w:bottom w:w="0" w:type="dxa"/>
            <w:right w:w="108" w:type="dxa"/>
          </w:tblCellMar>
        </w:tblPrEx>
        <w:trPr>
          <w:cantSplit/>
          <w:trHeight w:val="280" w:hRule="atLeast"/>
        </w:trPr>
        <w:tc>
          <w:tcPr>
            <w:tcW w:w="5000" w:type="pct"/>
            <w:shd w:val="clear" w:color="auto" w:fill="auto"/>
            <w:vAlign w:val="center"/>
          </w:tcPr>
          <w:p>
            <w:pPr>
              <w:widowControl/>
              <w:rPr>
                <w:highlight w:val="none"/>
              </w:rPr>
            </w:pPr>
            <w:r>
              <w:rPr>
                <w:rFonts w:hint="eastAsia"/>
                <w:highlight w:val="none"/>
              </w:rPr>
              <w:t>⑨本表及备注中所涉及的“集团公司”是指中国电信集团有限公司，“省公司”是指中国电信相关省级公司。</w:t>
            </w:r>
          </w:p>
        </w:tc>
      </w:tr>
    </w:tbl>
    <w:p>
      <w:pPr>
        <w:spacing w:line="360" w:lineRule="auto"/>
        <w:rPr>
          <w:rFonts w:ascii="宋体" w:hAnsi="宋体"/>
          <w:color w:val="auto"/>
          <w:szCs w:val="21"/>
          <w:highlight w:val="none"/>
        </w:rPr>
      </w:pPr>
    </w:p>
    <w:sectPr>
      <w:pgSz w:w="16838" w:h="11906" w:orient="landscape"/>
      <w:pgMar w:top="1800" w:right="1418" w:bottom="1800" w:left="144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decorative"/>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0000000000000000000"/>
    <w:charset w:val="86"/>
    <w:family w:val="decorative"/>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_GB2312">
    <w:altName w:val="仿宋"/>
    <w:panose1 w:val="00000000000000000000"/>
    <w:charset w:val="86"/>
    <w:family w:val="decorative"/>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modern"/>
    <w:pitch w:val="default"/>
    <w:sig w:usb0="E00006FF" w:usb1="420024FF" w:usb2="02000000" w:usb3="00000000" w:csb0="2000019F" w:csb1="00000000"/>
  </w:font>
  <w:font w:name="Tahoma">
    <w:panose1 w:val="020B0604030504040204"/>
    <w:charset w:val="00"/>
    <w:family w:val="roman"/>
    <w:pitch w:val="default"/>
    <w:sig w:usb0="E1002EFF" w:usb1="C000605B" w:usb2="00000029" w:usb3="00000000" w:csb0="200101FF" w:csb1="20280000"/>
  </w:font>
  <w:font w:name="华文隶书">
    <w:panose1 w:val="02010800040101010101"/>
    <w:charset w:val="86"/>
    <w:family w:val="auto"/>
    <w:pitch w:val="default"/>
    <w:sig w:usb0="00000001" w:usb1="080F0000" w:usb2="00000000" w:usb3="00000000" w:csb0="00040000" w:csb1="00000000"/>
  </w:font>
  <w:font w:name="Helvetica">
    <w:altName w:val="Arial"/>
    <w:panose1 w:val="020B0604020202020204"/>
    <w:charset w:val="00"/>
    <w:family w:val="roman"/>
    <w:pitch w:val="default"/>
    <w:sig w:usb0="00000000" w:usb1="00000000" w:usb2="00000000" w:usb3="00000000" w:csb0="00000000" w:csb1="00000000"/>
  </w:font>
  <w:font w:name="MS Mincho">
    <w:altName w:val="Yu Gothic UI"/>
    <w:panose1 w:val="02020609040205080304"/>
    <w:charset w:val="80"/>
    <w:family w:val="decorative"/>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6604677"/>
    </w:sdtPr>
    <w:sdtContent>
      <w:p>
        <w:pPr>
          <w:pStyle w:val="26"/>
          <w:jc w:val="center"/>
        </w:pPr>
        <w:r>
          <w:rPr>
            <w:rFonts w:ascii="宋体" w:hAnsi="宋体"/>
          </w:rPr>
          <w:fldChar w:fldCharType="begin"/>
        </w:r>
        <w:r>
          <w:rPr>
            <w:rFonts w:ascii="宋体" w:hAnsi="宋体"/>
          </w:rPr>
          <w:instrText xml:space="preserve">PAGE   \* MERGEFORMAT</w:instrText>
        </w:r>
        <w:r>
          <w:rPr>
            <w:rFonts w:ascii="宋体" w:hAnsi="宋体"/>
          </w:rPr>
          <w:fldChar w:fldCharType="separate"/>
        </w:r>
        <w:r>
          <w:rPr>
            <w:rFonts w:ascii="宋体" w:hAnsi="宋体"/>
            <w:lang w:val="zh-CN"/>
          </w:rPr>
          <w:t>2</w:t>
        </w:r>
        <w:r>
          <w:rPr>
            <w:rFonts w:ascii="宋体" w:hAnsi="宋体"/>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9839769"/>
    </w:sdtPr>
    <w:sdtContent>
      <w:p>
        <w:pPr>
          <w:pStyle w:val="26"/>
          <w:jc w:val="center"/>
        </w:pPr>
        <w:r>
          <w:rPr>
            <w:rFonts w:ascii="宋体" w:hAnsi="宋体"/>
          </w:rPr>
          <w:fldChar w:fldCharType="begin"/>
        </w:r>
        <w:r>
          <w:rPr>
            <w:rFonts w:ascii="宋体" w:hAnsi="宋体"/>
          </w:rPr>
          <w:instrText xml:space="preserve">PAGE   \* MERGEFORMAT</w:instrText>
        </w:r>
        <w:r>
          <w:rPr>
            <w:rFonts w:ascii="宋体" w:hAnsi="宋体"/>
          </w:rPr>
          <w:fldChar w:fldCharType="separate"/>
        </w:r>
        <w:r>
          <w:rPr>
            <w:rFonts w:ascii="宋体" w:hAnsi="宋体"/>
            <w:lang w:val="zh-CN"/>
          </w:rPr>
          <w:t>7</w:t>
        </w:r>
        <w:r>
          <w:rPr>
            <w:rFonts w:ascii="宋体" w:hAnsi="宋体"/>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86187117"/>
    </w:sdtPr>
    <w:sdtContent>
      <w:p>
        <w:pPr>
          <w:pStyle w:val="26"/>
          <w:jc w:val="center"/>
        </w:pPr>
        <w:r>
          <w:rPr>
            <w:rFonts w:ascii="宋体" w:hAnsi="宋体"/>
          </w:rPr>
          <w:fldChar w:fldCharType="begin"/>
        </w:r>
        <w:r>
          <w:rPr>
            <w:rFonts w:ascii="宋体" w:hAnsi="宋体"/>
          </w:rPr>
          <w:instrText xml:space="preserve">PAGE   \* MERGEFORMAT</w:instrText>
        </w:r>
        <w:r>
          <w:rPr>
            <w:rFonts w:ascii="宋体" w:hAnsi="宋体"/>
          </w:rPr>
          <w:fldChar w:fldCharType="separate"/>
        </w:r>
        <w:r>
          <w:rPr>
            <w:rFonts w:ascii="宋体" w:hAnsi="宋体"/>
            <w:lang w:val="zh-CN"/>
          </w:rPr>
          <w:t>12</w:t>
        </w:r>
        <w:r>
          <w:rPr>
            <w:rFonts w:ascii="宋体" w:hAnsi="宋体"/>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8417485"/>
    </w:sdtPr>
    <w:sdtContent>
      <w:p>
        <w:pPr>
          <w:pStyle w:val="26"/>
          <w:jc w:val="center"/>
        </w:pPr>
        <w:r>
          <w:fldChar w:fldCharType="begin"/>
        </w:r>
        <w:r>
          <w:instrText xml:space="preserve">PAGE   \* MERGEFORMAT</w:instrText>
        </w:r>
        <w:r>
          <w:fldChar w:fldCharType="separate"/>
        </w:r>
        <w:r>
          <w:rPr>
            <w:lang w:val="zh-CN"/>
          </w:rPr>
          <w:t>8</w:t>
        </w:r>
        <w:r>
          <w:rPr>
            <w:lang w:val="zh-CN"/>
          </w:rP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7"/>
      <w:jc w:val="right"/>
      <w:rPr>
        <w:rFonts w:ascii="宋体" w:hAnsi="宋体"/>
      </w:rPr>
    </w:pPr>
    <w:r>
      <w:rPr>
        <w:rFonts w:hint="eastAsia" w:ascii="宋体" w:hAnsi="宋体"/>
      </w:rPr>
      <w:t>广东V</w:t>
    </w:r>
    <w:r>
      <w:rPr>
        <w:rFonts w:ascii="宋体" w:hAnsi="宋体"/>
      </w:rPr>
      <w:t>4</w:t>
    </w:r>
    <w:r>
      <w:rPr>
        <w:rFonts w:hint="eastAsia" w:ascii="宋体" w:hAnsi="宋体"/>
      </w:rPr>
      <w:t>.0</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7"/>
      <w:jc w:val="right"/>
      <w:rPr>
        <w:rFonts w:ascii="宋体" w:hAnsi="宋体"/>
      </w:rPr>
    </w:pPr>
    <w:r>
      <w:rPr>
        <w:rFonts w:hint="eastAsia" w:ascii="宋体" w:hAnsi="宋体"/>
      </w:rPr>
      <w:t>V1.0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63AF0C5"/>
    <w:multiLevelType w:val="multilevel"/>
    <w:tmpl w:val="963AF0C5"/>
    <w:lvl w:ilvl="0" w:tentative="0">
      <w:start w:val="1"/>
      <w:numFmt w:val="chineseCountingThousand"/>
      <w:lvlText w:val="第%1条"/>
      <w:lvlJc w:val="left"/>
      <w:pPr>
        <w:ind w:left="846" w:hanging="420"/>
      </w:pPr>
      <w:rPr>
        <w:rFonts w:hint="eastAsia" w:asciiTheme="minorEastAsia" w:hAnsiTheme="minorEastAsia" w:eastAsiaTheme="minorEastAsia"/>
        <w:b/>
        <w:i w:val="0"/>
        <w:sz w:val="21"/>
        <w:szCs w:val="21"/>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C9FA0389"/>
    <w:multiLevelType w:val="multilevel"/>
    <w:tmpl w:val="C9FA0389"/>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42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00BB26AD"/>
    <w:multiLevelType w:val="multilevel"/>
    <w:tmpl w:val="00BB26A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115B7682"/>
    <w:multiLevelType w:val="multilevel"/>
    <w:tmpl w:val="115B7682"/>
    <w:lvl w:ilvl="0" w:tentative="0">
      <w:start w:val="1"/>
      <w:numFmt w:val="decimal"/>
      <w:lvlText w:val="（%1）"/>
      <w:lvlJc w:val="left"/>
      <w:pPr>
        <w:ind w:left="84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154A6C66"/>
    <w:multiLevelType w:val="multilevel"/>
    <w:tmpl w:val="154A6C66"/>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1DB15650"/>
    <w:multiLevelType w:val="multilevel"/>
    <w:tmpl w:val="1DB15650"/>
    <w:lvl w:ilvl="0" w:tentative="0">
      <w:start w:val="1"/>
      <w:numFmt w:val="decimal"/>
      <w:lvlText w:val="%1."/>
      <w:lvlJc w:val="left"/>
      <w:pPr>
        <w:ind w:left="425" w:hanging="425"/>
      </w:pPr>
      <w:rPr>
        <w:rFonts w:hint="eastAsia"/>
        <w:b/>
      </w:rPr>
    </w:lvl>
    <w:lvl w:ilvl="1" w:tentative="0">
      <w:start w:val="1"/>
      <w:numFmt w:val="decimal"/>
      <w:lvlText w:val="%1.%2"/>
      <w:lvlJc w:val="left"/>
      <w:pPr>
        <w:ind w:left="992" w:hanging="567"/>
      </w:pPr>
      <w:rPr>
        <w:rFonts w:hint="eastAsia"/>
      </w:rPr>
    </w:lvl>
    <w:lvl w:ilvl="2" w:tentative="0">
      <w:start w:val="1"/>
      <w:numFmt w:val="decimal"/>
      <w:lvlText w:val="%1.%2.%3"/>
      <w:lvlJc w:val="left"/>
      <w:pPr>
        <w:ind w:left="567"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6">
    <w:nsid w:val="20627992"/>
    <w:multiLevelType w:val="multilevel"/>
    <w:tmpl w:val="20627992"/>
    <w:lvl w:ilvl="0" w:tentative="0">
      <w:start w:val="1"/>
      <w:numFmt w:val="chineseCountingThousand"/>
      <w:lvlText w:val="第%1条"/>
      <w:lvlJc w:val="left"/>
      <w:pPr>
        <w:ind w:left="846" w:hanging="420"/>
      </w:pPr>
      <w:rPr>
        <w:rFonts w:hint="eastAsia" w:asciiTheme="minorEastAsia" w:hAnsiTheme="minorEastAsia" w:eastAsiaTheme="minorEastAsia"/>
        <w:b/>
        <w:i w:val="0"/>
        <w:sz w:val="21"/>
        <w:szCs w:val="21"/>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267D30CE"/>
    <w:multiLevelType w:val="multilevel"/>
    <w:tmpl w:val="267D30CE"/>
    <w:lvl w:ilvl="0" w:tentative="0">
      <w:start w:val="1"/>
      <w:numFmt w:val="decimal"/>
      <w:lvlText w:val="%1."/>
      <w:lvlJc w:val="left"/>
      <w:pPr>
        <w:ind w:left="360" w:hanging="360"/>
      </w:pPr>
      <w:rPr>
        <w:rFonts w:hint="default" w:ascii="宋体" w:hAnsi="宋体" w:eastAsia="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2BE36FD6"/>
    <w:multiLevelType w:val="multilevel"/>
    <w:tmpl w:val="2BE36FD6"/>
    <w:lvl w:ilvl="0" w:tentative="0">
      <w:start w:val="1"/>
      <w:numFmt w:val="decimal"/>
      <w:lvlText w:val="%1."/>
      <w:lvlJc w:val="left"/>
      <w:pPr>
        <w:ind w:left="425" w:hanging="425"/>
      </w:pPr>
      <w:rPr>
        <w:rFonts w:hint="eastAsia"/>
      </w:rPr>
    </w:lvl>
    <w:lvl w:ilvl="1" w:tentative="0">
      <w:start w:val="1"/>
      <w:numFmt w:val="decimal"/>
      <w:lvlText w:val="%1.%2"/>
      <w:lvlJc w:val="left"/>
      <w:pPr>
        <w:ind w:left="992" w:hanging="567"/>
      </w:pPr>
      <w:rPr>
        <w:rFonts w:hint="eastAsia"/>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9">
    <w:nsid w:val="35C200DD"/>
    <w:multiLevelType w:val="multilevel"/>
    <w:tmpl w:val="35C200DD"/>
    <w:lvl w:ilvl="0" w:tentative="0">
      <w:start w:val="1"/>
      <w:numFmt w:val="decimal"/>
      <w:lvlText w:val="%1."/>
      <w:lvlJc w:val="left"/>
      <w:pPr>
        <w:ind w:left="425" w:hanging="425"/>
      </w:pPr>
      <w:rPr>
        <w:rFonts w:hint="eastAsia"/>
      </w:rPr>
    </w:lvl>
    <w:lvl w:ilvl="1" w:tentative="0">
      <w:start w:val="1"/>
      <w:numFmt w:val="decimal"/>
      <w:lvlText w:val="%1.%2"/>
      <w:lvlJc w:val="left"/>
      <w:pPr>
        <w:ind w:left="992" w:hanging="567"/>
      </w:pPr>
      <w:rPr>
        <w:rFonts w:hint="eastAsia" w:asciiTheme="minorEastAsia" w:hAnsiTheme="minorEastAsia" w:eastAsiaTheme="minorEastAsia"/>
        <w:b w:val="0"/>
        <w:bCs w:val="0"/>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0">
    <w:nsid w:val="3C1A7CF4"/>
    <w:multiLevelType w:val="multilevel"/>
    <w:tmpl w:val="3C1A7CF4"/>
    <w:lvl w:ilvl="0" w:tentative="0">
      <w:start w:val="1"/>
      <w:numFmt w:val="decimal"/>
      <w:lvlText w:val="%1."/>
      <w:lvlJc w:val="left"/>
      <w:pPr>
        <w:ind w:left="360" w:hanging="360"/>
      </w:pPr>
      <w:rPr>
        <w:rFonts w:hint="default" w:ascii="宋体" w:hAnsi="宋体" w:eastAsia="宋体"/>
        <w:b w:val="0"/>
        <w:i w:val="0"/>
        <w:sz w:val="21"/>
      </w:rPr>
    </w:lvl>
    <w:lvl w:ilvl="1" w:tentative="0">
      <w:start w:val="1"/>
      <w:numFmt w:val="decimal"/>
      <w:lvlText w:val="（%2）"/>
      <w:lvlJc w:val="left"/>
      <w:pPr>
        <w:ind w:left="1140" w:hanging="720"/>
      </w:pPr>
      <w:rPr>
        <w:rFonts w:hint="default"/>
      </w:rPr>
    </w:lvl>
    <w:lvl w:ilvl="2" w:tentative="0">
      <w:start w:val="2"/>
      <w:numFmt w:val="japaneseCounting"/>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400F3F41"/>
    <w:multiLevelType w:val="multilevel"/>
    <w:tmpl w:val="400F3F41"/>
    <w:lvl w:ilvl="0" w:tentative="0">
      <w:start w:val="1"/>
      <w:numFmt w:val="decimal"/>
      <w:lvlText w:val="%1."/>
      <w:lvlJc w:val="left"/>
      <w:pPr>
        <w:ind w:left="360" w:hanging="360"/>
      </w:pPr>
      <w:rPr>
        <w:rFonts w:hint="default"/>
      </w:rPr>
    </w:lvl>
    <w:lvl w:ilvl="1" w:tentative="0">
      <w:start w:val="6"/>
      <w:numFmt w:val="decimal"/>
      <w:isLgl/>
      <w:lvlText w:val="%1.%2"/>
      <w:lvlJc w:val="left"/>
      <w:pPr>
        <w:ind w:left="540" w:hanging="540"/>
      </w:pPr>
      <w:rPr>
        <w:rFonts w:hint="default"/>
      </w:rPr>
    </w:lvl>
    <w:lvl w:ilvl="2" w:tentative="0">
      <w:start w:val="1"/>
      <w:numFmt w:val="decimal"/>
      <w:isLgl/>
      <w:lvlText w:val="%1.%2.%3"/>
      <w:lvlJc w:val="left"/>
      <w:pPr>
        <w:ind w:left="720" w:hanging="720"/>
      </w:pPr>
      <w:rPr>
        <w:rFonts w:hint="default"/>
      </w:rPr>
    </w:lvl>
    <w:lvl w:ilvl="3" w:tentative="0">
      <w:start w:val="1"/>
      <w:numFmt w:val="decimal"/>
      <w:isLgl/>
      <w:lvlText w:val="%1.%2.%3.%4"/>
      <w:lvlJc w:val="left"/>
      <w:pPr>
        <w:ind w:left="720" w:hanging="720"/>
      </w:pPr>
      <w:rPr>
        <w:rFonts w:hint="default"/>
      </w:rPr>
    </w:lvl>
    <w:lvl w:ilvl="4" w:tentative="0">
      <w:start w:val="1"/>
      <w:numFmt w:val="decimal"/>
      <w:isLgl/>
      <w:lvlText w:val="%1.%2.%3.%4.%5"/>
      <w:lvlJc w:val="left"/>
      <w:pPr>
        <w:ind w:left="1080" w:hanging="1080"/>
      </w:pPr>
      <w:rPr>
        <w:rFonts w:hint="default"/>
      </w:rPr>
    </w:lvl>
    <w:lvl w:ilvl="5" w:tentative="0">
      <w:start w:val="1"/>
      <w:numFmt w:val="decimal"/>
      <w:isLgl/>
      <w:lvlText w:val="%1.%2.%3.%4.%5.%6"/>
      <w:lvlJc w:val="left"/>
      <w:pPr>
        <w:ind w:left="1080" w:hanging="1080"/>
      </w:pPr>
      <w:rPr>
        <w:rFonts w:hint="default"/>
      </w:rPr>
    </w:lvl>
    <w:lvl w:ilvl="6" w:tentative="0">
      <w:start w:val="1"/>
      <w:numFmt w:val="decimal"/>
      <w:isLgl/>
      <w:lvlText w:val="%1.%2.%3.%4.%5.%6.%7"/>
      <w:lvlJc w:val="left"/>
      <w:pPr>
        <w:ind w:left="1080" w:hanging="1080"/>
      </w:pPr>
      <w:rPr>
        <w:rFonts w:hint="default"/>
      </w:rPr>
    </w:lvl>
    <w:lvl w:ilvl="7" w:tentative="0">
      <w:start w:val="1"/>
      <w:numFmt w:val="decimal"/>
      <w:isLgl/>
      <w:lvlText w:val="%1.%2.%3.%4.%5.%6.%7.%8"/>
      <w:lvlJc w:val="left"/>
      <w:pPr>
        <w:ind w:left="1440" w:hanging="1440"/>
      </w:pPr>
      <w:rPr>
        <w:rFonts w:hint="default"/>
      </w:rPr>
    </w:lvl>
    <w:lvl w:ilvl="8" w:tentative="0">
      <w:start w:val="1"/>
      <w:numFmt w:val="decimal"/>
      <w:isLgl/>
      <w:lvlText w:val="%1.%2.%3.%4.%5.%6.%7.%8.%9"/>
      <w:lvlJc w:val="left"/>
      <w:pPr>
        <w:ind w:left="1440" w:hanging="1440"/>
      </w:pPr>
      <w:rPr>
        <w:rFonts w:hint="default"/>
      </w:rPr>
    </w:lvl>
  </w:abstractNum>
  <w:abstractNum w:abstractNumId="12">
    <w:nsid w:val="429F0012"/>
    <w:multiLevelType w:val="multilevel"/>
    <w:tmpl w:val="429F0012"/>
    <w:lvl w:ilvl="0" w:tentative="0">
      <w:start w:val="1"/>
      <w:numFmt w:val="decimal"/>
      <w:lvlText w:val="%1."/>
      <w:lvlJc w:val="left"/>
      <w:pPr>
        <w:ind w:left="360" w:hanging="360"/>
      </w:pPr>
      <w:rPr>
        <w:rFonts w:hint="default"/>
      </w:rPr>
    </w:lvl>
    <w:lvl w:ilvl="1" w:tentative="0">
      <w:start w:val="1"/>
      <w:numFmt w:val="decimal"/>
      <w:lvlText w:val="%2．"/>
      <w:lvlJc w:val="left"/>
      <w:pPr>
        <w:ind w:left="840" w:hanging="420"/>
      </w:pPr>
      <w:rPr>
        <w:rFonts w:hint="default"/>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465021CD"/>
    <w:multiLevelType w:val="multilevel"/>
    <w:tmpl w:val="465021CD"/>
    <w:lvl w:ilvl="0" w:tentative="0">
      <w:start w:val="1"/>
      <w:numFmt w:val="decimal"/>
      <w:lvlText w:val="%1、"/>
      <w:lvlJc w:val="left"/>
      <w:pPr>
        <w:tabs>
          <w:tab w:val="left" w:pos="360"/>
        </w:tabs>
        <w:ind w:left="36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4">
    <w:nsid w:val="4A254412"/>
    <w:multiLevelType w:val="multilevel"/>
    <w:tmpl w:val="4A254412"/>
    <w:lvl w:ilvl="0" w:tentative="0">
      <w:start w:val="1"/>
      <w:numFmt w:val="decimal"/>
      <w:lvlText w:val="%1."/>
      <w:lvlJc w:val="left"/>
      <w:pPr>
        <w:ind w:left="420" w:hanging="420"/>
      </w:pPr>
    </w:lvl>
    <w:lvl w:ilvl="1" w:tentative="0">
      <w:start w:val="1"/>
      <w:numFmt w:val="decimal"/>
      <w:lvlText w:val="%2."/>
      <w:lvlJc w:val="left"/>
      <w:pPr>
        <w:ind w:left="840" w:hanging="420"/>
      </w:pPr>
    </w:lvl>
    <w:lvl w:ilvl="2" w:tentative="0">
      <w:start w:val="1"/>
      <w:numFmt w:val="decimal"/>
      <w:lvlText w:val="%3)"/>
      <w:lvlJc w:val="left"/>
      <w:pPr>
        <w:ind w:left="1260" w:hanging="420"/>
      </w:pPr>
    </w:lvl>
    <w:lvl w:ilvl="3" w:tentative="0">
      <w:start w:val="1"/>
      <w:numFmt w:val="decimal"/>
      <w:lvlText w:val="%4、"/>
      <w:lvlJc w:val="left"/>
      <w:pPr>
        <w:ind w:left="1620" w:hanging="360"/>
      </w:pPr>
      <w:rPr>
        <w:rFonts w:hint="default"/>
      </w:rPr>
    </w:lvl>
    <w:lvl w:ilvl="4" w:tentative="0">
      <w:start w:val="1"/>
      <w:numFmt w:val="decimal"/>
      <w:lvlText w:val="%5）"/>
      <w:lvlJc w:val="left"/>
      <w:pPr>
        <w:ind w:left="2100" w:hanging="420"/>
      </w:pPr>
      <w:rPr>
        <w:rFonts w:hint="default"/>
      </w:r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4CBF751F"/>
    <w:multiLevelType w:val="multilevel"/>
    <w:tmpl w:val="4CBF751F"/>
    <w:lvl w:ilvl="0" w:tentative="0">
      <w:start w:val="1"/>
      <w:numFmt w:val="decimal"/>
      <w:lvlText w:val="%1."/>
      <w:lvlJc w:val="left"/>
      <w:pPr>
        <w:ind w:left="420" w:hanging="420"/>
      </w:pPr>
      <w:rPr>
        <w:rFonts w:hint="eastAsia" w:eastAsia="仿宋_GB2312"/>
        <w:color w:val="auto"/>
        <w:sz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4DAC762D"/>
    <w:multiLevelType w:val="multilevel"/>
    <w:tmpl w:val="4DAC762D"/>
    <w:lvl w:ilvl="0" w:tentative="0">
      <w:start w:val="1"/>
      <w:numFmt w:val="decimal"/>
      <w:lvlText w:val="%1"/>
      <w:lvlJc w:val="left"/>
      <w:pPr>
        <w:tabs>
          <w:tab w:val="left" w:pos="432"/>
        </w:tabs>
        <w:ind w:left="432" w:hanging="432"/>
      </w:pPr>
      <w:rPr>
        <w:rFonts w:hint="eastAsia"/>
      </w:rPr>
    </w:lvl>
    <w:lvl w:ilvl="1" w:tentative="0">
      <w:start w:val="1"/>
      <w:numFmt w:val="decimal"/>
      <w:pStyle w:val="76"/>
      <w:lvlText w:val="%1.%2"/>
      <w:lvlJc w:val="left"/>
      <w:pPr>
        <w:tabs>
          <w:tab w:val="left" w:pos="576"/>
        </w:tabs>
        <w:ind w:left="576" w:hanging="576"/>
      </w:pPr>
      <w:rPr>
        <w:rFonts w:hint="eastAsia"/>
      </w:rPr>
    </w:lvl>
    <w:lvl w:ilvl="2" w:tentative="0">
      <w:start w:val="1"/>
      <w:numFmt w:val="decimal"/>
      <w:lvlText w:val="%1.%2.%3"/>
      <w:lvlJc w:val="left"/>
      <w:pPr>
        <w:tabs>
          <w:tab w:val="left" w:pos="720"/>
        </w:tabs>
        <w:ind w:left="720" w:hanging="720"/>
      </w:pPr>
      <w:rPr>
        <w:rFonts w:hint="eastAsia"/>
      </w:rPr>
    </w:lvl>
    <w:lvl w:ilvl="3" w:tentative="0">
      <w:start w:val="1"/>
      <w:numFmt w:val="decimal"/>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7">
    <w:nsid w:val="5A8A2360"/>
    <w:multiLevelType w:val="multilevel"/>
    <w:tmpl w:val="5A8A2360"/>
    <w:lvl w:ilvl="0" w:tentative="0">
      <w:start w:val="1"/>
      <w:numFmt w:val="decimal"/>
      <w:lvlText w:val="%1."/>
      <w:lvlJc w:val="left"/>
      <w:pPr>
        <w:ind w:left="425" w:hanging="425"/>
      </w:pPr>
      <w:rPr>
        <w:rFonts w:hint="eastAsia"/>
        <w:b/>
      </w:rPr>
    </w:lvl>
    <w:lvl w:ilvl="1" w:tentative="0">
      <w:start w:val="1"/>
      <w:numFmt w:val="decimal"/>
      <w:lvlText w:val="%1.%2"/>
      <w:lvlJc w:val="left"/>
      <w:pPr>
        <w:ind w:left="992" w:hanging="567"/>
      </w:pPr>
      <w:rPr>
        <w:rFonts w:hint="eastAsia"/>
      </w:rPr>
    </w:lvl>
    <w:lvl w:ilvl="2" w:tentative="0">
      <w:start w:val="1"/>
      <w:numFmt w:val="decimal"/>
      <w:lvlText w:val="%1.%2.%3"/>
      <w:lvlJc w:val="left"/>
      <w:pPr>
        <w:ind w:left="567"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8">
    <w:nsid w:val="5E4833FD"/>
    <w:multiLevelType w:val="multilevel"/>
    <w:tmpl w:val="5E4833FD"/>
    <w:lvl w:ilvl="0" w:tentative="0">
      <w:start w:val="1"/>
      <w:numFmt w:val="decimal"/>
      <w:lvlText w:val="（%1）"/>
      <w:lvlJc w:val="left"/>
      <w:pPr>
        <w:tabs>
          <w:tab w:val="left" w:pos="1142"/>
        </w:tabs>
        <w:ind w:left="1142" w:hanging="720"/>
      </w:pPr>
      <w:rPr>
        <w:rFonts w:hint="default"/>
        <w:color w:val="auto"/>
      </w:rPr>
    </w:lvl>
    <w:lvl w:ilvl="1" w:tentative="0">
      <w:start w:val="1"/>
      <w:numFmt w:val="decimal"/>
      <w:lvlText w:val="（%2）"/>
      <w:lvlJc w:val="left"/>
      <w:pPr>
        <w:ind w:left="5115" w:hanging="720"/>
      </w:pPr>
      <w:rPr>
        <w:rFonts w:hint="default"/>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9">
    <w:nsid w:val="60F0E604"/>
    <w:multiLevelType w:val="singleLevel"/>
    <w:tmpl w:val="60F0E604"/>
    <w:lvl w:ilvl="0" w:tentative="0">
      <w:start w:val="1"/>
      <w:numFmt w:val="decimal"/>
      <w:lvlText w:val="%1."/>
      <w:lvlJc w:val="left"/>
      <w:pPr>
        <w:tabs>
          <w:tab w:val="left" w:pos="312"/>
        </w:tabs>
      </w:pPr>
    </w:lvl>
  </w:abstractNum>
  <w:abstractNum w:abstractNumId="20">
    <w:nsid w:val="6197B9D1"/>
    <w:multiLevelType w:val="multilevel"/>
    <w:tmpl w:val="6197B9D1"/>
    <w:lvl w:ilvl="0" w:tentative="0">
      <w:start w:val="1"/>
      <w:numFmt w:val="decimal"/>
      <w:lvlText w:val="（%1）"/>
      <w:lvlJc w:val="left"/>
      <w:pPr>
        <w:tabs>
          <w:tab w:val="left" w:pos="1146"/>
        </w:tabs>
        <w:ind w:left="1146" w:hanging="720"/>
      </w:pPr>
      <w:rPr>
        <w:rFonts w:hint="default"/>
        <w:color w:val="auto"/>
        <w:lang w:val="en-US"/>
      </w:rPr>
    </w:lvl>
    <w:lvl w:ilvl="1" w:tentative="0">
      <w:start w:val="1"/>
      <w:numFmt w:val="lowerLetter"/>
      <w:lvlText w:val="%2)"/>
      <w:lvlJc w:val="left"/>
      <w:pPr>
        <w:tabs>
          <w:tab w:val="left" w:pos="844"/>
        </w:tabs>
        <w:ind w:left="844" w:hanging="420"/>
      </w:pPr>
    </w:lvl>
    <w:lvl w:ilvl="2" w:tentative="0">
      <w:start w:val="1"/>
      <w:numFmt w:val="lowerRoman"/>
      <w:lvlText w:val="%3."/>
      <w:lvlJc w:val="right"/>
      <w:pPr>
        <w:tabs>
          <w:tab w:val="left" w:pos="1264"/>
        </w:tabs>
        <w:ind w:left="1264" w:hanging="420"/>
      </w:pPr>
    </w:lvl>
    <w:lvl w:ilvl="3" w:tentative="0">
      <w:start w:val="1"/>
      <w:numFmt w:val="decimal"/>
      <w:lvlText w:val="%4."/>
      <w:lvlJc w:val="left"/>
      <w:pPr>
        <w:tabs>
          <w:tab w:val="left" w:pos="1684"/>
        </w:tabs>
        <w:ind w:left="1684" w:hanging="420"/>
      </w:pPr>
    </w:lvl>
    <w:lvl w:ilvl="4" w:tentative="0">
      <w:start w:val="1"/>
      <w:numFmt w:val="lowerLetter"/>
      <w:lvlText w:val="%5)"/>
      <w:lvlJc w:val="left"/>
      <w:pPr>
        <w:tabs>
          <w:tab w:val="left" w:pos="2104"/>
        </w:tabs>
        <w:ind w:left="2104" w:hanging="420"/>
      </w:pPr>
    </w:lvl>
    <w:lvl w:ilvl="5" w:tentative="0">
      <w:start w:val="1"/>
      <w:numFmt w:val="lowerRoman"/>
      <w:lvlText w:val="%6."/>
      <w:lvlJc w:val="right"/>
      <w:pPr>
        <w:tabs>
          <w:tab w:val="left" w:pos="2524"/>
        </w:tabs>
        <w:ind w:left="2524" w:hanging="420"/>
      </w:pPr>
    </w:lvl>
    <w:lvl w:ilvl="6" w:tentative="0">
      <w:start w:val="1"/>
      <w:numFmt w:val="decimal"/>
      <w:lvlText w:val="%7."/>
      <w:lvlJc w:val="left"/>
      <w:pPr>
        <w:tabs>
          <w:tab w:val="left" w:pos="2944"/>
        </w:tabs>
        <w:ind w:left="2944" w:hanging="420"/>
      </w:pPr>
    </w:lvl>
    <w:lvl w:ilvl="7" w:tentative="0">
      <w:start w:val="1"/>
      <w:numFmt w:val="lowerLetter"/>
      <w:lvlText w:val="%8)"/>
      <w:lvlJc w:val="left"/>
      <w:pPr>
        <w:tabs>
          <w:tab w:val="left" w:pos="3364"/>
        </w:tabs>
        <w:ind w:left="3364" w:hanging="420"/>
      </w:pPr>
    </w:lvl>
    <w:lvl w:ilvl="8" w:tentative="0">
      <w:start w:val="1"/>
      <w:numFmt w:val="lowerRoman"/>
      <w:lvlText w:val="%9."/>
      <w:lvlJc w:val="right"/>
      <w:pPr>
        <w:tabs>
          <w:tab w:val="left" w:pos="3784"/>
        </w:tabs>
        <w:ind w:left="3784" w:hanging="420"/>
      </w:pPr>
    </w:lvl>
  </w:abstractNum>
  <w:abstractNum w:abstractNumId="21">
    <w:nsid w:val="6197B9DC"/>
    <w:multiLevelType w:val="multilevel"/>
    <w:tmpl w:val="6197B9DC"/>
    <w:lvl w:ilvl="0" w:tentative="0">
      <w:start w:val="1"/>
      <w:numFmt w:val="decimal"/>
      <w:lvlText w:val="%1."/>
      <w:lvlJc w:val="left"/>
      <w:pPr>
        <w:ind w:left="840" w:hanging="420"/>
      </w:pPr>
      <w:rPr>
        <w:rFonts w:hint="eastAsia"/>
        <w:b w:val="0"/>
        <w:i w:val="0"/>
        <w:sz w:val="21"/>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2">
    <w:nsid w:val="6197B9E7"/>
    <w:multiLevelType w:val="multilevel"/>
    <w:tmpl w:val="6197B9E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635E683D"/>
    <w:multiLevelType w:val="multilevel"/>
    <w:tmpl w:val="635E683D"/>
    <w:lvl w:ilvl="0" w:tentative="0">
      <w:start w:val="1"/>
      <w:numFmt w:val="decim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4">
    <w:nsid w:val="63DE7ADE"/>
    <w:multiLevelType w:val="multilevel"/>
    <w:tmpl w:val="63DE7ADE"/>
    <w:lvl w:ilvl="0" w:tentative="0">
      <w:start w:val="1"/>
      <w:numFmt w:val="decimal"/>
      <w:lvlText w:val="%1."/>
      <w:lvlJc w:val="left"/>
      <w:pPr>
        <w:ind w:left="425" w:hanging="425"/>
      </w:pPr>
      <w:rPr>
        <w:rFonts w:hint="eastAsia"/>
      </w:rPr>
    </w:lvl>
    <w:lvl w:ilvl="1" w:tentative="0">
      <w:start w:val="1"/>
      <w:numFmt w:val="decimal"/>
      <w:lvlText w:val="%1.%2"/>
      <w:lvlJc w:val="left"/>
      <w:pPr>
        <w:ind w:left="992" w:hanging="567"/>
      </w:pPr>
      <w:rPr>
        <w:rFonts w:hint="eastAsia"/>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5">
    <w:nsid w:val="64FB4BFD"/>
    <w:multiLevelType w:val="multilevel"/>
    <w:tmpl w:val="64FB4BFD"/>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669D69EA"/>
    <w:multiLevelType w:val="multilevel"/>
    <w:tmpl w:val="669D69EA"/>
    <w:lvl w:ilvl="0" w:tentative="0">
      <w:start w:val="1"/>
      <w:numFmt w:val="decimal"/>
      <w:lvlText w:val="%1."/>
      <w:lvlJc w:val="left"/>
      <w:pPr>
        <w:ind w:left="840" w:hanging="420"/>
      </w:pPr>
      <w:rPr>
        <w:rFonts w:hint="eastAsia" w:eastAsia="仿宋_GB2312"/>
        <w:color w:val="auto"/>
        <w:sz w:val="28"/>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7">
    <w:nsid w:val="6E44659A"/>
    <w:multiLevelType w:val="multilevel"/>
    <w:tmpl w:val="6E44659A"/>
    <w:lvl w:ilvl="0" w:tentative="0">
      <w:start w:val="1"/>
      <w:numFmt w:val="decim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8">
    <w:nsid w:val="700F3D9F"/>
    <w:multiLevelType w:val="multilevel"/>
    <w:tmpl w:val="700F3D9F"/>
    <w:lvl w:ilvl="0" w:tentative="0">
      <w:start w:val="1"/>
      <w:numFmt w:val="decimal"/>
      <w:lvlText w:val="%1."/>
      <w:lvlJc w:val="left"/>
      <w:pPr>
        <w:ind w:left="425" w:hanging="425"/>
      </w:pPr>
      <w:rPr>
        <w:rFonts w:hint="eastAsia"/>
        <w:b/>
      </w:rPr>
    </w:lvl>
    <w:lvl w:ilvl="1" w:tentative="0">
      <w:start w:val="1"/>
      <w:numFmt w:val="decimal"/>
      <w:lvlText w:val="%1.%2"/>
      <w:lvlJc w:val="left"/>
      <w:pPr>
        <w:ind w:left="992" w:hanging="567"/>
      </w:pPr>
      <w:rPr>
        <w:rFonts w:hint="eastAsia"/>
      </w:rPr>
    </w:lvl>
    <w:lvl w:ilvl="2" w:tentative="0">
      <w:start w:val="1"/>
      <w:numFmt w:val="decimal"/>
      <w:lvlText w:val="%1.%2.%3"/>
      <w:lvlJc w:val="left"/>
      <w:pPr>
        <w:ind w:left="567"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9">
    <w:nsid w:val="71FD43E4"/>
    <w:multiLevelType w:val="multilevel"/>
    <w:tmpl w:val="71FD43E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79796575"/>
    <w:multiLevelType w:val="multilevel"/>
    <w:tmpl w:val="79796575"/>
    <w:lvl w:ilvl="0" w:tentative="0">
      <w:start w:val="1"/>
      <w:numFmt w:val="decimal"/>
      <w:lvlText w:val="%1."/>
      <w:lvlJc w:val="left"/>
      <w:pPr>
        <w:ind w:left="425" w:hanging="425"/>
      </w:pPr>
      <w:rPr>
        <w:rFonts w:hint="eastAsia"/>
        <w:b/>
      </w:rPr>
    </w:lvl>
    <w:lvl w:ilvl="1" w:tentative="0">
      <w:start w:val="1"/>
      <w:numFmt w:val="decimal"/>
      <w:lvlText w:val="%1.%2"/>
      <w:lvlJc w:val="left"/>
      <w:pPr>
        <w:ind w:left="992" w:hanging="567"/>
      </w:pPr>
      <w:rPr>
        <w:rFonts w:hint="eastAsia"/>
      </w:rPr>
    </w:lvl>
    <w:lvl w:ilvl="2" w:tentative="0">
      <w:start w:val="1"/>
      <w:numFmt w:val="decimal"/>
      <w:lvlText w:val="%1.%2.%3"/>
      <w:lvlJc w:val="left"/>
      <w:pPr>
        <w:ind w:left="567"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1">
    <w:nsid w:val="7D1C6BC3"/>
    <w:multiLevelType w:val="multilevel"/>
    <w:tmpl w:val="7D1C6BC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7FA36634"/>
    <w:multiLevelType w:val="multilevel"/>
    <w:tmpl w:val="7FA36634"/>
    <w:lvl w:ilvl="0" w:tentative="0">
      <w:start w:val="1"/>
      <w:numFmt w:val="decimal"/>
      <w:lvlText w:val="（%1）"/>
      <w:lvlJc w:val="left"/>
      <w:pPr>
        <w:ind w:left="84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16"/>
  </w:num>
  <w:num w:numId="2">
    <w:abstractNumId w:val="13"/>
  </w:num>
  <w:num w:numId="3">
    <w:abstractNumId w:val="9"/>
  </w:num>
  <w:num w:numId="4">
    <w:abstractNumId w:val="17"/>
  </w:num>
  <w:num w:numId="5">
    <w:abstractNumId w:val="30"/>
  </w:num>
  <w:num w:numId="6">
    <w:abstractNumId w:val="11"/>
  </w:num>
  <w:num w:numId="7">
    <w:abstractNumId w:val="12"/>
  </w:num>
  <w:num w:numId="8">
    <w:abstractNumId w:val="23"/>
  </w:num>
  <w:num w:numId="9">
    <w:abstractNumId w:val="4"/>
  </w:num>
  <w:num w:numId="10">
    <w:abstractNumId w:val="20"/>
    <w:lvlOverride w:ilvl="0">
      <w:startOverride w:val="1"/>
    </w:lvlOverride>
  </w:num>
  <w:num w:numId="11">
    <w:abstractNumId w:val="25"/>
  </w:num>
  <w:num w:numId="12">
    <w:abstractNumId w:val="19"/>
  </w:num>
  <w:num w:numId="13">
    <w:abstractNumId w:val="18"/>
  </w:num>
  <w:num w:numId="14">
    <w:abstractNumId w:val="32"/>
  </w:num>
  <w:num w:numId="15">
    <w:abstractNumId w:val="28"/>
  </w:num>
  <w:num w:numId="16">
    <w:abstractNumId w:val="5"/>
  </w:num>
  <w:num w:numId="17">
    <w:abstractNumId w:val="24"/>
  </w:num>
  <w:num w:numId="18">
    <w:abstractNumId w:val="29"/>
  </w:num>
  <w:num w:numId="19">
    <w:abstractNumId w:val="14"/>
  </w:num>
  <w:num w:numId="20">
    <w:abstractNumId w:val="26"/>
  </w:num>
  <w:num w:numId="21">
    <w:abstractNumId w:val="3"/>
  </w:num>
  <w:num w:numId="22">
    <w:abstractNumId w:val="7"/>
  </w:num>
  <w:num w:numId="23">
    <w:abstractNumId w:val="21"/>
    <w:lvlOverride w:ilvl="0">
      <w:startOverride w:val="1"/>
    </w:lvlOverride>
  </w:num>
  <w:num w:numId="24">
    <w:abstractNumId w:val="22"/>
    <w:lvlOverride w:ilvl="0">
      <w:startOverride w:val="1"/>
    </w:lvlOverride>
  </w:num>
  <w:num w:numId="25">
    <w:abstractNumId w:val="15"/>
  </w:num>
  <w:num w:numId="26">
    <w:abstractNumId w:val="31"/>
  </w:num>
  <w:num w:numId="27">
    <w:abstractNumId w:val="2"/>
  </w:num>
  <w:num w:numId="28">
    <w:abstractNumId w:val="10"/>
  </w:num>
  <w:num w:numId="29">
    <w:abstractNumId w:val="6"/>
  </w:num>
  <w:num w:numId="30">
    <w:abstractNumId w:val="0"/>
  </w:num>
  <w:num w:numId="31">
    <w:abstractNumId w:val="8"/>
  </w:num>
  <w:num w:numId="32">
    <w:abstractNumId w:val="1"/>
  </w:num>
  <w:num w:numId="3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Y2RlMzFjOWFmYWIyM2JmYjFmY2Y2YWNiMDk3OTI4NjQifQ=="/>
  </w:docVars>
  <w:rsids>
    <w:rsidRoot w:val="006D1E24"/>
    <w:rsid w:val="00001213"/>
    <w:rsid w:val="00001A69"/>
    <w:rsid w:val="00001D14"/>
    <w:rsid w:val="00002C8D"/>
    <w:rsid w:val="0000308E"/>
    <w:rsid w:val="0000354B"/>
    <w:rsid w:val="00004907"/>
    <w:rsid w:val="00005869"/>
    <w:rsid w:val="0000597B"/>
    <w:rsid w:val="00010968"/>
    <w:rsid w:val="0001135A"/>
    <w:rsid w:val="00016AD3"/>
    <w:rsid w:val="00016CB3"/>
    <w:rsid w:val="000201FF"/>
    <w:rsid w:val="00020D9C"/>
    <w:rsid w:val="0002129D"/>
    <w:rsid w:val="00021A11"/>
    <w:rsid w:val="00021D9D"/>
    <w:rsid w:val="0002398D"/>
    <w:rsid w:val="0002468F"/>
    <w:rsid w:val="00025B94"/>
    <w:rsid w:val="00027253"/>
    <w:rsid w:val="00027794"/>
    <w:rsid w:val="0003068D"/>
    <w:rsid w:val="00032970"/>
    <w:rsid w:val="00033D62"/>
    <w:rsid w:val="00033ED9"/>
    <w:rsid w:val="000347A4"/>
    <w:rsid w:val="000354A9"/>
    <w:rsid w:val="000356AB"/>
    <w:rsid w:val="000367BE"/>
    <w:rsid w:val="000376B4"/>
    <w:rsid w:val="0003775A"/>
    <w:rsid w:val="0004061A"/>
    <w:rsid w:val="0004206C"/>
    <w:rsid w:val="0004255D"/>
    <w:rsid w:val="0004278B"/>
    <w:rsid w:val="000445C6"/>
    <w:rsid w:val="00047CB9"/>
    <w:rsid w:val="00047E9C"/>
    <w:rsid w:val="000507FE"/>
    <w:rsid w:val="00051CBD"/>
    <w:rsid w:val="00054727"/>
    <w:rsid w:val="000560BC"/>
    <w:rsid w:val="000561F6"/>
    <w:rsid w:val="000575D6"/>
    <w:rsid w:val="0006013D"/>
    <w:rsid w:val="0006029F"/>
    <w:rsid w:val="0006167B"/>
    <w:rsid w:val="00061B23"/>
    <w:rsid w:val="00062473"/>
    <w:rsid w:val="00062A74"/>
    <w:rsid w:val="00063079"/>
    <w:rsid w:val="000711E4"/>
    <w:rsid w:val="0007273D"/>
    <w:rsid w:val="00073E0B"/>
    <w:rsid w:val="00074D33"/>
    <w:rsid w:val="00081C20"/>
    <w:rsid w:val="0008220C"/>
    <w:rsid w:val="00084E8F"/>
    <w:rsid w:val="0008635D"/>
    <w:rsid w:val="000872FF"/>
    <w:rsid w:val="000901AA"/>
    <w:rsid w:val="0009041E"/>
    <w:rsid w:val="00091A8A"/>
    <w:rsid w:val="00092670"/>
    <w:rsid w:val="00093468"/>
    <w:rsid w:val="00093E50"/>
    <w:rsid w:val="00094678"/>
    <w:rsid w:val="00094D09"/>
    <w:rsid w:val="000950A7"/>
    <w:rsid w:val="0009607F"/>
    <w:rsid w:val="000962E7"/>
    <w:rsid w:val="00096BF6"/>
    <w:rsid w:val="00096CBC"/>
    <w:rsid w:val="000975BF"/>
    <w:rsid w:val="000A0EF5"/>
    <w:rsid w:val="000A1448"/>
    <w:rsid w:val="000A2258"/>
    <w:rsid w:val="000A3BDA"/>
    <w:rsid w:val="000A3D01"/>
    <w:rsid w:val="000A6869"/>
    <w:rsid w:val="000A71E6"/>
    <w:rsid w:val="000B232F"/>
    <w:rsid w:val="000B256E"/>
    <w:rsid w:val="000B55EC"/>
    <w:rsid w:val="000B6EB8"/>
    <w:rsid w:val="000B731B"/>
    <w:rsid w:val="000B7788"/>
    <w:rsid w:val="000C0001"/>
    <w:rsid w:val="000C09BF"/>
    <w:rsid w:val="000C11C4"/>
    <w:rsid w:val="000C1E9B"/>
    <w:rsid w:val="000C2A17"/>
    <w:rsid w:val="000C3446"/>
    <w:rsid w:val="000C3786"/>
    <w:rsid w:val="000C37CC"/>
    <w:rsid w:val="000C37EF"/>
    <w:rsid w:val="000C4D25"/>
    <w:rsid w:val="000C557B"/>
    <w:rsid w:val="000C5781"/>
    <w:rsid w:val="000C644A"/>
    <w:rsid w:val="000D07AA"/>
    <w:rsid w:val="000D090B"/>
    <w:rsid w:val="000D2B5E"/>
    <w:rsid w:val="000D2C2A"/>
    <w:rsid w:val="000D43D9"/>
    <w:rsid w:val="000D7FE3"/>
    <w:rsid w:val="000E045B"/>
    <w:rsid w:val="000E1296"/>
    <w:rsid w:val="000E1C06"/>
    <w:rsid w:val="000E28EF"/>
    <w:rsid w:val="000E2DD2"/>
    <w:rsid w:val="000E419E"/>
    <w:rsid w:val="000E4B58"/>
    <w:rsid w:val="000E5F8C"/>
    <w:rsid w:val="000E65C0"/>
    <w:rsid w:val="000E68A1"/>
    <w:rsid w:val="000F0928"/>
    <w:rsid w:val="000F3E9B"/>
    <w:rsid w:val="000F51CE"/>
    <w:rsid w:val="000F5EDB"/>
    <w:rsid w:val="000F6AD7"/>
    <w:rsid w:val="000F6C5A"/>
    <w:rsid w:val="00102BE9"/>
    <w:rsid w:val="00104246"/>
    <w:rsid w:val="001051DB"/>
    <w:rsid w:val="00107748"/>
    <w:rsid w:val="00107807"/>
    <w:rsid w:val="00107E05"/>
    <w:rsid w:val="00110A63"/>
    <w:rsid w:val="001112C1"/>
    <w:rsid w:val="001126EA"/>
    <w:rsid w:val="0011545E"/>
    <w:rsid w:val="00115D9F"/>
    <w:rsid w:val="001162FF"/>
    <w:rsid w:val="00116318"/>
    <w:rsid w:val="00120CA5"/>
    <w:rsid w:val="00121B78"/>
    <w:rsid w:val="001266AD"/>
    <w:rsid w:val="0012675D"/>
    <w:rsid w:val="00126B60"/>
    <w:rsid w:val="00127DF3"/>
    <w:rsid w:val="001306E5"/>
    <w:rsid w:val="00133D84"/>
    <w:rsid w:val="0013604E"/>
    <w:rsid w:val="00136343"/>
    <w:rsid w:val="00140A9F"/>
    <w:rsid w:val="00141291"/>
    <w:rsid w:val="001413DE"/>
    <w:rsid w:val="00143A42"/>
    <w:rsid w:val="001464EC"/>
    <w:rsid w:val="001476AF"/>
    <w:rsid w:val="00147822"/>
    <w:rsid w:val="001521DF"/>
    <w:rsid w:val="00153F0B"/>
    <w:rsid w:val="00155076"/>
    <w:rsid w:val="001558A9"/>
    <w:rsid w:val="001558E8"/>
    <w:rsid w:val="001559C5"/>
    <w:rsid w:val="00156AD9"/>
    <w:rsid w:val="001571D8"/>
    <w:rsid w:val="001572A5"/>
    <w:rsid w:val="00161491"/>
    <w:rsid w:val="0016163D"/>
    <w:rsid w:val="00162932"/>
    <w:rsid w:val="00163D6E"/>
    <w:rsid w:val="00165625"/>
    <w:rsid w:val="00165CDE"/>
    <w:rsid w:val="00165EA6"/>
    <w:rsid w:val="00166895"/>
    <w:rsid w:val="0016799E"/>
    <w:rsid w:val="001712B8"/>
    <w:rsid w:val="00173C41"/>
    <w:rsid w:val="00174F8F"/>
    <w:rsid w:val="00176386"/>
    <w:rsid w:val="001771AB"/>
    <w:rsid w:val="00177B90"/>
    <w:rsid w:val="00180FCE"/>
    <w:rsid w:val="00182766"/>
    <w:rsid w:val="001830EA"/>
    <w:rsid w:val="001845D4"/>
    <w:rsid w:val="001848F1"/>
    <w:rsid w:val="00184F2C"/>
    <w:rsid w:val="001851E3"/>
    <w:rsid w:val="00186411"/>
    <w:rsid w:val="00186424"/>
    <w:rsid w:val="0018646D"/>
    <w:rsid w:val="00191669"/>
    <w:rsid w:val="001939EB"/>
    <w:rsid w:val="00193C2A"/>
    <w:rsid w:val="00193FB8"/>
    <w:rsid w:val="00195240"/>
    <w:rsid w:val="00196397"/>
    <w:rsid w:val="001972B0"/>
    <w:rsid w:val="001A079A"/>
    <w:rsid w:val="001A0E04"/>
    <w:rsid w:val="001A34ED"/>
    <w:rsid w:val="001A424C"/>
    <w:rsid w:val="001A7B9F"/>
    <w:rsid w:val="001A7C37"/>
    <w:rsid w:val="001B0424"/>
    <w:rsid w:val="001B0AC7"/>
    <w:rsid w:val="001B1E47"/>
    <w:rsid w:val="001B2099"/>
    <w:rsid w:val="001B2883"/>
    <w:rsid w:val="001B2DAC"/>
    <w:rsid w:val="001B3F0F"/>
    <w:rsid w:val="001B4FF5"/>
    <w:rsid w:val="001B5F8B"/>
    <w:rsid w:val="001B79BF"/>
    <w:rsid w:val="001C162C"/>
    <w:rsid w:val="001C1E3D"/>
    <w:rsid w:val="001C1F44"/>
    <w:rsid w:val="001C208B"/>
    <w:rsid w:val="001C2649"/>
    <w:rsid w:val="001C2B03"/>
    <w:rsid w:val="001C2EE7"/>
    <w:rsid w:val="001C3F5C"/>
    <w:rsid w:val="001C4A6F"/>
    <w:rsid w:val="001C5464"/>
    <w:rsid w:val="001C560E"/>
    <w:rsid w:val="001C59FC"/>
    <w:rsid w:val="001C5D49"/>
    <w:rsid w:val="001C62FE"/>
    <w:rsid w:val="001C715D"/>
    <w:rsid w:val="001D0DDC"/>
    <w:rsid w:val="001D1275"/>
    <w:rsid w:val="001D201F"/>
    <w:rsid w:val="001D235A"/>
    <w:rsid w:val="001D433D"/>
    <w:rsid w:val="001D4DB5"/>
    <w:rsid w:val="001D618A"/>
    <w:rsid w:val="001D6D30"/>
    <w:rsid w:val="001E0048"/>
    <w:rsid w:val="001E06A7"/>
    <w:rsid w:val="001E15DC"/>
    <w:rsid w:val="001E16FF"/>
    <w:rsid w:val="001E259D"/>
    <w:rsid w:val="001E2A0A"/>
    <w:rsid w:val="001E35A1"/>
    <w:rsid w:val="001E39E7"/>
    <w:rsid w:val="001E55ED"/>
    <w:rsid w:val="001E7788"/>
    <w:rsid w:val="001F100D"/>
    <w:rsid w:val="001F155D"/>
    <w:rsid w:val="001F1E58"/>
    <w:rsid w:val="001F2F59"/>
    <w:rsid w:val="001F518C"/>
    <w:rsid w:val="001F5418"/>
    <w:rsid w:val="001F74E8"/>
    <w:rsid w:val="00200D3A"/>
    <w:rsid w:val="002010F2"/>
    <w:rsid w:val="002017B3"/>
    <w:rsid w:val="0020216F"/>
    <w:rsid w:val="00204B13"/>
    <w:rsid w:val="00205154"/>
    <w:rsid w:val="00205C2E"/>
    <w:rsid w:val="00206A3E"/>
    <w:rsid w:val="00207FD3"/>
    <w:rsid w:val="00210392"/>
    <w:rsid w:val="002109CC"/>
    <w:rsid w:val="00213454"/>
    <w:rsid w:val="002140A1"/>
    <w:rsid w:val="00216A02"/>
    <w:rsid w:val="00217911"/>
    <w:rsid w:val="00220BFB"/>
    <w:rsid w:val="0022246C"/>
    <w:rsid w:val="00222817"/>
    <w:rsid w:val="002255BE"/>
    <w:rsid w:val="00225693"/>
    <w:rsid w:val="00227F7C"/>
    <w:rsid w:val="00231496"/>
    <w:rsid w:val="00231534"/>
    <w:rsid w:val="002315C9"/>
    <w:rsid w:val="00232E61"/>
    <w:rsid w:val="00234A8B"/>
    <w:rsid w:val="00234B68"/>
    <w:rsid w:val="00234EA4"/>
    <w:rsid w:val="002355DD"/>
    <w:rsid w:val="00235C3D"/>
    <w:rsid w:val="0023604B"/>
    <w:rsid w:val="0024066A"/>
    <w:rsid w:val="002421F2"/>
    <w:rsid w:val="002428C1"/>
    <w:rsid w:val="002434D9"/>
    <w:rsid w:val="00246597"/>
    <w:rsid w:val="00250163"/>
    <w:rsid w:val="002503D4"/>
    <w:rsid w:val="00250903"/>
    <w:rsid w:val="00250DC4"/>
    <w:rsid w:val="00251445"/>
    <w:rsid w:val="00251694"/>
    <w:rsid w:val="002518C5"/>
    <w:rsid w:val="00252121"/>
    <w:rsid w:val="00254C4F"/>
    <w:rsid w:val="00254DD5"/>
    <w:rsid w:val="002550DB"/>
    <w:rsid w:val="002562C0"/>
    <w:rsid w:val="00257772"/>
    <w:rsid w:val="00260CC4"/>
    <w:rsid w:val="00260FD1"/>
    <w:rsid w:val="00261D39"/>
    <w:rsid w:val="00263504"/>
    <w:rsid w:val="00263D8B"/>
    <w:rsid w:val="00264790"/>
    <w:rsid w:val="00264F8F"/>
    <w:rsid w:val="0026596A"/>
    <w:rsid w:val="00265D3C"/>
    <w:rsid w:val="0026631A"/>
    <w:rsid w:val="00266376"/>
    <w:rsid w:val="0026656B"/>
    <w:rsid w:val="00266F33"/>
    <w:rsid w:val="00267E04"/>
    <w:rsid w:val="0027044A"/>
    <w:rsid w:val="002707A3"/>
    <w:rsid w:val="00272C88"/>
    <w:rsid w:val="00276C1D"/>
    <w:rsid w:val="00277C54"/>
    <w:rsid w:val="002808E7"/>
    <w:rsid w:val="00280A92"/>
    <w:rsid w:val="00280E8F"/>
    <w:rsid w:val="00281520"/>
    <w:rsid w:val="0028282F"/>
    <w:rsid w:val="002864CD"/>
    <w:rsid w:val="00287A8C"/>
    <w:rsid w:val="00290245"/>
    <w:rsid w:val="00291D53"/>
    <w:rsid w:val="00291EFA"/>
    <w:rsid w:val="002927B1"/>
    <w:rsid w:val="00293222"/>
    <w:rsid w:val="00294153"/>
    <w:rsid w:val="00294F89"/>
    <w:rsid w:val="00295D81"/>
    <w:rsid w:val="00296112"/>
    <w:rsid w:val="00296E0E"/>
    <w:rsid w:val="00297ACB"/>
    <w:rsid w:val="002A02BF"/>
    <w:rsid w:val="002A2175"/>
    <w:rsid w:val="002A310C"/>
    <w:rsid w:val="002A3EA6"/>
    <w:rsid w:val="002A411E"/>
    <w:rsid w:val="002A4C96"/>
    <w:rsid w:val="002A5F03"/>
    <w:rsid w:val="002A60E2"/>
    <w:rsid w:val="002A6E2F"/>
    <w:rsid w:val="002B1672"/>
    <w:rsid w:val="002B1B6E"/>
    <w:rsid w:val="002B2314"/>
    <w:rsid w:val="002B2A95"/>
    <w:rsid w:val="002B2BD5"/>
    <w:rsid w:val="002B3064"/>
    <w:rsid w:val="002B4238"/>
    <w:rsid w:val="002B66BC"/>
    <w:rsid w:val="002C01C6"/>
    <w:rsid w:val="002C17E2"/>
    <w:rsid w:val="002C2352"/>
    <w:rsid w:val="002C2734"/>
    <w:rsid w:val="002C3215"/>
    <w:rsid w:val="002C364D"/>
    <w:rsid w:val="002C3771"/>
    <w:rsid w:val="002C6028"/>
    <w:rsid w:val="002C67E9"/>
    <w:rsid w:val="002C6C4D"/>
    <w:rsid w:val="002D0D48"/>
    <w:rsid w:val="002D2128"/>
    <w:rsid w:val="002D3531"/>
    <w:rsid w:val="002D557F"/>
    <w:rsid w:val="002D5862"/>
    <w:rsid w:val="002D5EB6"/>
    <w:rsid w:val="002D74A6"/>
    <w:rsid w:val="002D7600"/>
    <w:rsid w:val="002D794D"/>
    <w:rsid w:val="002E0019"/>
    <w:rsid w:val="002E1DD8"/>
    <w:rsid w:val="002E2A86"/>
    <w:rsid w:val="002E2CEB"/>
    <w:rsid w:val="002E2FDD"/>
    <w:rsid w:val="002E31E7"/>
    <w:rsid w:val="002E32AA"/>
    <w:rsid w:val="002E5BAF"/>
    <w:rsid w:val="002E6A25"/>
    <w:rsid w:val="002E6B3F"/>
    <w:rsid w:val="002E6CBC"/>
    <w:rsid w:val="002E71A2"/>
    <w:rsid w:val="002E79CE"/>
    <w:rsid w:val="002F037F"/>
    <w:rsid w:val="002F0F26"/>
    <w:rsid w:val="002F2670"/>
    <w:rsid w:val="002F2AB4"/>
    <w:rsid w:val="002F3ABF"/>
    <w:rsid w:val="002F4305"/>
    <w:rsid w:val="002F67EF"/>
    <w:rsid w:val="002F7BBA"/>
    <w:rsid w:val="00300CC5"/>
    <w:rsid w:val="00300CCB"/>
    <w:rsid w:val="00303021"/>
    <w:rsid w:val="00306EB1"/>
    <w:rsid w:val="00310C54"/>
    <w:rsid w:val="003116CF"/>
    <w:rsid w:val="0031206B"/>
    <w:rsid w:val="00313C13"/>
    <w:rsid w:val="00314673"/>
    <w:rsid w:val="00316621"/>
    <w:rsid w:val="0031734A"/>
    <w:rsid w:val="00317B40"/>
    <w:rsid w:val="00320956"/>
    <w:rsid w:val="00322D96"/>
    <w:rsid w:val="00324A8F"/>
    <w:rsid w:val="00324FEF"/>
    <w:rsid w:val="00325834"/>
    <w:rsid w:val="00331E14"/>
    <w:rsid w:val="003323CE"/>
    <w:rsid w:val="003330C2"/>
    <w:rsid w:val="0033543C"/>
    <w:rsid w:val="00335B09"/>
    <w:rsid w:val="00336072"/>
    <w:rsid w:val="00337135"/>
    <w:rsid w:val="00340E0F"/>
    <w:rsid w:val="003416F5"/>
    <w:rsid w:val="003426B3"/>
    <w:rsid w:val="00342C93"/>
    <w:rsid w:val="003439F6"/>
    <w:rsid w:val="00344797"/>
    <w:rsid w:val="00347031"/>
    <w:rsid w:val="0035058F"/>
    <w:rsid w:val="00350628"/>
    <w:rsid w:val="00353C26"/>
    <w:rsid w:val="00354821"/>
    <w:rsid w:val="00355398"/>
    <w:rsid w:val="00355E47"/>
    <w:rsid w:val="00356B01"/>
    <w:rsid w:val="003604DB"/>
    <w:rsid w:val="0036052B"/>
    <w:rsid w:val="003620DF"/>
    <w:rsid w:val="00362D25"/>
    <w:rsid w:val="0036458A"/>
    <w:rsid w:val="00367944"/>
    <w:rsid w:val="00372139"/>
    <w:rsid w:val="00372D5B"/>
    <w:rsid w:val="00373378"/>
    <w:rsid w:val="00373F68"/>
    <w:rsid w:val="0037478D"/>
    <w:rsid w:val="00375A09"/>
    <w:rsid w:val="00375D09"/>
    <w:rsid w:val="00377FB2"/>
    <w:rsid w:val="00381A65"/>
    <w:rsid w:val="00381BC0"/>
    <w:rsid w:val="00381F10"/>
    <w:rsid w:val="00382FA9"/>
    <w:rsid w:val="00385140"/>
    <w:rsid w:val="0038609A"/>
    <w:rsid w:val="00386842"/>
    <w:rsid w:val="003869B6"/>
    <w:rsid w:val="00386C93"/>
    <w:rsid w:val="003875AC"/>
    <w:rsid w:val="00387DD8"/>
    <w:rsid w:val="0039040B"/>
    <w:rsid w:val="00391035"/>
    <w:rsid w:val="00393C71"/>
    <w:rsid w:val="00394DFC"/>
    <w:rsid w:val="0039602F"/>
    <w:rsid w:val="00397BE2"/>
    <w:rsid w:val="003A12E8"/>
    <w:rsid w:val="003A2C0F"/>
    <w:rsid w:val="003A3466"/>
    <w:rsid w:val="003A40F8"/>
    <w:rsid w:val="003A4BD8"/>
    <w:rsid w:val="003A500C"/>
    <w:rsid w:val="003A6589"/>
    <w:rsid w:val="003A6D6C"/>
    <w:rsid w:val="003B09CC"/>
    <w:rsid w:val="003B1AE1"/>
    <w:rsid w:val="003B1BFF"/>
    <w:rsid w:val="003B32EC"/>
    <w:rsid w:val="003B34FF"/>
    <w:rsid w:val="003B3841"/>
    <w:rsid w:val="003B3C91"/>
    <w:rsid w:val="003B3CC3"/>
    <w:rsid w:val="003B59D2"/>
    <w:rsid w:val="003B6288"/>
    <w:rsid w:val="003B654E"/>
    <w:rsid w:val="003B665D"/>
    <w:rsid w:val="003B7BF8"/>
    <w:rsid w:val="003C0EF7"/>
    <w:rsid w:val="003C2639"/>
    <w:rsid w:val="003C3666"/>
    <w:rsid w:val="003C3742"/>
    <w:rsid w:val="003C3983"/>
    <w:rsid w:val="003C58C2"/>
    <w:rsid w:val="003D2EE1"/>
    <w:rsid w:val="003D538A"/>
    <w:rsid w:val="003D64EC"/>
    <w:rsid w:val="003D7415"/>
    <w:rsid w:val="003E13D4"/>
    <w:rsid w:val="003E2F1E"/>
    <w:rsid w:val="003E5604"/>
    <w:rsid w:val="003E5DE9"/>
    <w:rsid w:val="003E6406"/>
    <w:rsid w:val="003E717C"/>
    <w:rsid w:val="003F0AA3"/>
    <w:rsid w:val="003F0C44"/>
    <w:rsid w:val="003F0F9A"/>
    <w:rsid w:val="003F1123"/>
    <w:rsid w:val="003F16B7"/>
    <w:rsid w:val="003F3580"/>
    <w:rsid w:val="003F360D"/>
    <w:rsid w:val="003F5459"/>
    <w:rsid w:val="003F5937"/>
    <w:rsid w:val="003F6DE6"/>
    <w:rsid w:val="003F6F4B"/>
    <w:rsid w:val="003F7856"/>
    <w:rsid w:val="00400B3E"/>
    <w:rsid w:val="0040109A"/>
    <w:rsid w:val="00401A3C"/>
    <w:rsid w:val="00403219"/>
    <w:rsid w:val="00404931"/>
    <w:rsid w:val="004062F8"/>
    <w:rsid w:val="00407098"/>
    <w:rsid w:val="00407F26"/>
    <w:rsid w:val="00413827"/>
    <w:rsid w:val="00414901"/>
    <w:rsid w:val="004159C7"/>
    <w:rsid w:val="00416AF9"/>
    <w:rsid w:val="00422D64"/>
    <w:rsid w:val="00425096"/>
    <w:rsid w:val="00425128"/>
    <w:rsid w:val="00425BC0"/>
    <w:rsid w:val="00426094"/>
    <w:rsid w:val="00426B48"/>
    <w:rsid w:val="00427AB3"/>
    <w:rsid w:val="00427CBE"/>
    <w:rsid w:val="00430A8E"/>
    <w:rsid w:val="00431ADC"/>
    <w:rsid w:val="00431EED"/>
    <w:rsid w:val="00432010"/>
    <w:rsid w:val="00434951"/>
    <w:rsid w:val="00435ACD"/>
    <w:rsid w:val="00436072"/>
    <w:rsid w:val="004362FE"/>
    <w:rsid w:val="00441FA6"/>
    <w:rsid w:val="0044351F"/>
    <w:rsid w:val="00446123"/>
    <w:rsid w:val="004466DF"/>
    <w:rsid w:val="00450223"/>
    <w:rsid w:val="004505C7"/>
    <w:rsid w:val="0045087A"/>
    <w:rsid w:val="004513C6"/>
    <w:rsid w:val="00452B03"/>
    <w:rsid w:val="00452BDA"/>
    <w:rsid w:val="00452FE9"/>
    <w:rsid w:val="00454D2C"/>
    <w:rsid w:val="0045530D"/>
    <w:rsid w:val="00456C5A"/>
    <w:rsid w:val="00456CE8"/>
    <w:rsid w:val="0045728D"/>
    <w:rsid w:val="004576FE"/>
    <w:rsid w:val="00460A8D"/>
    <w:rsid w:val="004613BF"/>
    <w:rsid w:val="004626A4"/>
    <w:rsid w:val="00463AC1"/>
    <w:rsid w:val="00463CF7"/>
    <w:rsid w:val="0046422B"/>
    <w:rsid w:val="0046511F"/>
    <w:rsid w:val="0046568F"/>
    <w:rsid w:val="0046735C"/>
    <w:rsid w:val="004706A5"/>
    <w:rsid w:val="00470BBF"/>
    <w:rsid w:val="004725A1"/>
    <w:rsid w:val="00473650"/>
    <w:rsid w:val="00473F72"/>
    <w:rsid w:val="00474A74"/>
    <w:rsid w:val="00475EF3"/>
    <w:rsid w:val="00476352"/>
    <w:rsid w:val="00481FE4"/>
    <w:rsid w:val="00482F86"/>
    <w:rsid w:val="00483139"/>
    <w:rsid w:val="004838EE"/>
    <w:rsid w:val="00484D35"/>
    <w:rsid w:val="00485FDC"/>
    <w:rsid w:val="00486C53"/>
    <w:rsid w:val="0048715D"/>
    <w:rsid w:val="00487478"/>
    <w:rsid w:val="004876D5"/>
    <w:rsid w:val="004908F9"/>
    <w:rsid w:val="00492A9C"/>
    <w:rsid w:val="00493539"/>
    <w:rsid w:val="00494DEE"/>
    <w:rsid w:val="004951C8"/>
    <w:rsid w:val="00496855"/>
    <w:rsid w:val="004969D6"/>
    <w:rsid w:val="004A09A6"/>
    <w:rsid w:val="004A16F7"/>
    <w:rsid w:val="004A194C"/>
    <w:rsid w:val="004A23A1"/>
    <w:rsid w:val="004A5604"/>
    <w:rsid w:val="004A596D"/>
    <w:rsid w:val="004A660D"/>
    <w:rsid w:val="004A7D86"/>
    <w:rsid w:val="004B0624"/>
    <w:rsid w:val="004B096B"/>
    <w:rsid w:val="004B0CAD"/>
    <w:rsid w:val="004B1FD6"/>
    <w:rsid w:val="004B5064"/>
    <w:rsid w:val="004B515C"/>
    <w:rsid w:val="004C0162"/>
    <w:rsid w:val="004C0425"/>
    <w:rsid w:val="004C1A32"/>
    <w:rsid w:val="004C1CF8"/>
    <w:rsid w:val="004C3BF4"/>
    <w:rsid w:val="004C454B"/>
    <w:rsid w:val="004C58E6"/>
    <w:rsid w:val="004C5A92"/>
    <w:rsid w:val="004D07CA"/>
    <w:rsid w:val="004D1731"/>
    <w:rsid w:val="004D22F4"/>
    <w:rsid w:val="004D27D7"/>
    <w:rsid w:val="004D3245"/>
    <w:rsid w:val="004D41C6"/>
    <w:rsid w:val="004D484A"/>
    <w:rsid w:val="004D7C84"/>
    <w:rsid w:val="004E0925"/>
    <w:rsid w:val="004E1970"/>
    <w:rsid w:val="004E24FF"/>
    <w:rsid w:val="004E3223"/>
    <w:rsid w:val="004E49BC"/>
    <w:rsid w:val="004E4C1D"/>
    <w:rsid w:val="004E70C5"/>
    <w:rsid w:val="004E7D6B"/>
    <w:rsid w:val="004F0945"/>
    <w:rsid w:val="004F6B36"/>
    <w:rsid w:val="004F7D52"/>
    <w:rsid w:val="004F7E8B"/>
    <w:rsid w:val="00507854"/>
    <w:rsid w:val="00507D1A"/>
    <w:rsid w:val="00510DEB"/>
    <w:rsid w:val="00511AF1"/>
    <w:rsid w:val="00512735"/>
    <w:rsid w:val="00512960"/>
    <w:rsid w:val="00514617"/>
    <w:rsid w:val="005148B1"/>
    <w:rsid w:val="0051548F"/>
    <w:rsid w:val="00515EB1"/>
    <w:rsid w:val="005161EF"/>
    <w:rsid w:val="0051687E"/>
    <w:rsid w:val="00516922"/>
    <w:rsid w:val="00516EDF"/>
    <w:rsid w:val="0051725B"/>
    <w:rsid w:val="005174E2"/>
    <w:rsid w:val="005200A4"/>
    <w:rsid w:val="00520559"/>
    <w:rsid w:val="00520659"/>
    <w:rsid w:val="005227F2"/>
    <w:rsid w:val="005242CA"/>
    <w:rsid w:val="00525636"/>
    <w:rsid w:val="00530B70"/>
    <w:rsid w:val="00530CB7"/>
    <w:rsid w:val="00530FFE"/>
    <w:rsid w:val="00531093"/>
    <w:rsid w:val="005316DA"/>
    <w:rsid w:val="00534354"/>
    <w:rsid w:val="0053445B"/>
    <w:rsid w:val="005348FF"/>
    <w:rsid w:val="00534C45"/>
    <w:rsid w:val="00535BED"/>
    <w:rsid w:val="00535D4C"/>
    <w:rsid w:val="00536DE4"/>
    <w:rsid w:val="00542212"/>
    <w:rsid w:val="00542516"/>
    <w:rsid w:val="00543174"/>
    <w:rsid w:val="0054328C"/>
    <w:rsid w:val="00543CA0"/>
    <w:rsid w:val="00543E79"/>
    <w:rsid w:val="005473AE"/>
    <w:rsid w:val="005514A7"/>
    <w:rsid w:val="00553505"/>
    <w:rsid w:val="005547C4"/>
    <w:rsid w:val="005600F5"/>
    <w:rsid w:val="00560233"/>
    <w:rsid w:val="005605AE"/>
    <w:rsid w:val="005615BA"/>
    <w:rsid w:val="00561E23"/>
    <w:rsid w:val="005626A7"/>
    <w:rsid w:val="00564D16"/>
    <w:rsid w:val="00565324"/>
    <w:rsid w:val="00565E55"/>
    <w:rsid w:val="00566EDA"/>
    <w:rsid w:val="0056789E"/>
    <w:rsid w:val="0056796A"/>
    <w:rsid w:val="005709E1"/>
    <w:rsid w:val="00573490"/>
    <w:rsid w:val="005738E9"/>
    <w:rsid w:val="00573C01"/>
    <w:rsid w:val="00575101"/>
    <w:rsid w:val="0057736F"/>
    <w:rsid w:val="005774C5"/>
    <w:rsid w:val="005809A2"/>
    <w:rsid w:val="00580D19"/>
    <w:rsid w:val="0058173A"/>
    <w:rsid w:val="005819FC"/>
    <w:rsid w:val="00581A41"/>
    <w:rsid w:val="0058259F"/>
    <w:rsid w:val="00583ADB"/>
    <w:rsid w:val="00583FB6"/>
    <w:rsid w:val="005849F1"/>
    <w:rsid w:val="005859AE"/>
    <w:rsid w:val="00586F81"/>
    <w:rsid w:val="00590013"/>
    <w:rsid w:val="00590C46"/>
    <w:rsid w:val="00592AF8"/>
    <w:rsid w:val="005943CD"/>
    <w:rsid w:val="005959F1"/>
    <w:rsid w:val="00597F6B"/>
    <w:rsid w:val="005A0A65"/>
    <w:rsid w:val="005A0F69"/>
    <w:rsid w:val="005A1C47"/>
    <w:rsid w:val="005A626B"/>
    <w:rsid w:val="005A6DEA"/>
    <w:rsid w:val="005B0C41"/>
    <w:rsid w:val="005B13DE"/>
    <w:rsid w:val="005B157C"/>
    <w:rsid w:val="005B1DE5"/>
    <w:rsid w:val="005B1F45"/>
    <w:rsid w:val="005B45CF"/>
    <w:rsid w:val="005B51B6"/>
    <w:rsid w:val="005B6BB6"/>
    <w:rsid w:val="005C0710"/>
    <w:rsid w:val="005C1DA3"/>
    <w:rsid w:val="005C2796"/>
    <w:rsid w:val="005C495F"/>
    <w:rsid w:val="005C5B43"/>
    <w:rsid w:val="005C65B1"/>
    <w:rsid w:val="005C6C46"/>
    <w:rsid w:val="005D0462"/>
    <w:rsid w:val="005D1C51"/>
    <w:rsid w:val="005D26BE"/>
    <w:rsid w:val="005D2A84"/>
    <w:rsid w:val="005D4C85"/>
    <w:rsid w:val="005D6187"/>
    <w:rsid w:val="005D6BDC"/>
    <w:rsid w:val="005D6EE0"/>
    <w:rsid w:val="005D6FA4"/>
    <w:rsid w:val="005E013B"/>
    <w:rsid w:val="005E14E9"/>
    <w:rsid w:val="005E2223"/>
    <w:rsid w:val="005E2F6E"/>
    <w:rsid w:val="005E2FF9"/>
    <w:rsid w:val="005E305C"/>
    <w:rsid w:val="005E4AE6"/>
    <w:rsid w:val="005E4E87"/>
    <w:rsid w:val="005E5C2D"/>
    <w:rsid w:val="005E60FB"/>
    <w:rsid w:val="005E68C1"/>
    <w:rsid w:val="005E7BBF"/>
    <w:rsid w:val="005E7C2F"/>
    <w:rsid w:val="005F0D27"/>
    <w:rsid w:val="005F1BA7"/>
    <w:rsid w:val="005F216C"/>
    <w:rsid w:val="005F231F"/>
    <w:rsid w:val="005F23ED"/>
    <w:rsid w:val="005F2F82"/>
    <w:rsid w:val="005F3889"/>
    <w:rsid w:val="005F4BAA"/>
    <w:rsid w:val="005F6314"/>
    <w:rsid w:val="00601893"/>
    <w:rsid w:val="0060299F"/>
    <w:rsid w:val="006038B0"/>
    <w:rsid w:val="00603F6F"/>
    <w:rsid w:val="006041B3"/>
    <w:rsid w:val="00604503"/>
    <w:rsid w:val="0060594D"/>
    <w:rsid w:val="00606456"/>
    <w:rsid w:val="00606B8B"/>
    <w:rsid w:val="00607D68"/>
    <w:rsid w:val="00607F60"/>
    <w:rsid w:val="00607FE3"/>
    <w:rsid w:val="00610E5B"/>
    <w:rsid w:val="006110C7"/>
    <w:rsid w:val="00611192"/>
    <w:rsid w:val="00611CC4"/>
    <w:rsid w:val="00612B62"/>
    <w:rsid w:val="00612B87"/>
    <w:rsid w:val="00612EEE"/>
    <w:rsid w:val="0061347B"/>
    <w:rsid w:val="00613A85"/>
    <w:rsid w:val="006146A5"/>
    <w:rsid w:val="00615E3B"/>
    <w:rsid w:val="00616E1D"/>
    <w:rsid w:val="00616F5E"/>
    <w:rsid w:val="006174BE"/>
    <w:rsid w:val="00620C40"/>
    <w:rsid w:val="00621572"/>
    <w:rsid w:val="00621649"/>
    <w:rsid w:val="006220B2"/>
    <w:rsid w:val="00624892"/>
    <w:rsid w:val="006256CE"/>
    <w:rsid w:val="00625C11"/>
    <w:rsid w:val="00627D4C"/>
    <w:rsid w:val="006300D3"/>
    <w:rsid w:val="00630D5D"/>
    <w:rsid w:val="00631CAC"/>
    <w:rsid w:val="006336B2"/>
    <w:rsid w:val="00633E3E"/>
    <w:rsid w:val="006347E0"/>
    <w:rsid w:val="00634C55"/>
    <w:rsid w:val="00635155"/>
    <w:rsid w:val="00637451"/>
    <w:rsid w:val="00637FAB"/>
    <w:rsid w:val="006414E6"/>
    <w:rsid w:val="006430FB"/>
    <w:rsid w:val="00643401"/>
    <w:rsid w:val="0064383C"/>
    <w:rsid w:val="00644841"/>
    <w:rsid w:val="006479D9"/>
    <w:rsid w:val="00647C2A"/>
    <w:rsid w:val="00647D2E"/>
    <w:rsid w:val="006527AA"/>
    <w:rsid w:val="006538D4"/>
    <w:rsid w:val="00653B87"/>
    <w:rsid w:val="00653ED8"/>
    <w:rsid w:val="006549F3"/>
    <w:rsid w:val="006558F9"/>
    <w:rsid w:val="00655E3B"/>
    <w:rsid w:val="0065648F"/>
    <w:rsid w:val="00656F1A"/>
    <w:rsid w:val="0065725E"/>
    <w:rsid w:val="006603C7"/>
    <w:rsid w:val="006623C3"/>
    <w:rsid w:val="00662F8A"/>
    <w:rsid w:val="00666A10"/>
    <w:rsid w:val="00667E25"/>
    <w:rsid w:val="00671376"/>
    <w:rsid w:val="00675D87"/>
    <w:rsid w:val="0067638A"/>
    <w:rsid w:val="00676BE8"/>
    <w:rsid w:val="00677464"/>
    <w:rsid w:val="00677E41"/>
    <w:rsid w:val="00680D0B"/>
    <w:rsid w:val="0068278C"/>
    <w:rsid w:val="00682BB8"/>
    <w:rsid w:val="00683ED3"/>
    <w:rsid w:val="006868C0"/>
    <w:rsid w:val="0068754D"/>
    <w:rsid w:val="006912DA"/>
    <w:rsid w:val="00691335"/>
    <w:rsid w:val="00692DA8"/>
    <w:rsid w:val="00693415"/>
    <w:rsid w:val="00694AAE"/>
    <w:rsid w:val="00695BE5"/>
    <w:rsid w:val="006960AF"/>
    <w:rsid w:val="0069643C"/>
    <w:rsid w:val="00696B68"/>
    <w:rsid w:val="006979BF"/>
    <w:rsid w:val="00697E9A"/>
    <w:rsid w:val="006A11CB"/>
    <w:rsid w:val="006A281F"/>
    <w:rsid w:val="006A3895"/>
    <w:rsid w:val="006A4C0E"/>
    <w:rsid w:val="006A61E8"/>
    <w:rsid w:val="006A6607"/>
    <w:rsid w:val="006A7EEF"/>
    <w:rsid w:val="006B00E8"/>
    <w:rsid w:val="006B4EB3"/>
    <w:rsid w:val="006B5212"/>
    <w:rsid w:val="006B7EE6"/>
    <w:rsid w:val="006C0976"/>
    <w:rsid w:val="006C0C67"/>
    <w:rsid w:val="006C1A65"/>
    <w:rsid w:val="006C327F"/>
    <w:rsid w:val="006C35DB"/>
    <w:rsid w:val="006C3739"/>
    <w:rsid w:val="006C3DAC"/>
    <w:rsid w:val="006C5785"/>
    <w:rsid w:val="006C57D3"/>
    <w:rsid w:val="006C6F1E"/>
    <w:rsid w:val="006C7204"/>
    <w:rsid w:val="006D0689"/>
    <w:rsid w:val="006D082B"/>
    <w:rsid w:val="006D1E23"/>
    <w:rsid w:val="006D1E24"/>
    <w:rsid w:val="006D3574"/>
    <w:rsid w:val="006D3969"/>
    <w:rsid w:val="006D73B0"/>
    <w:rsid w:val="006E2F76"/>
    <w:rsid w:val="006E361B"/>
    <w:rsid w:val="006E4787"/>
    <w:rsid w:val="006E4FF8"/>
    <w:rsid w:val="006F03B7"/>
    <w:rsid w:val="006F2060"/>
    <w:rsid w:val="006F2D93"/>
    <w:rsid w:val="006F2F23"/>
    <w:rsid w:val="006F3084"/>
    <w:rsid w:val="006F3B70"/>
    <w:rsid w:val="006F3EBE"/>
    <w:rsid w:val="006F510F"/>
    <w:rsid w:val="006F5361"/>
    <w:rsid w:val="006F570C"/>
    <w:rsid w:val="006F702F"/>
    <w:rsid w:val="006F79E9"/>
    <w:rsid w:val="00701E8C"/>
    <w:rsid w:val="00702A56"/>
    <w:rsid w:val="00704F0D"/>
    <w:rsid w:val="00705379"/>
    <w:rsid w:val="0070651A"/>
    <w:rsid w:val="00707635"/>
    <w:rsid w:val="007076CD"/>
    <w:rsid w:val="00711072"/>
    <w:rsid w:val="007116E4"/>
    <w:rsid w:val="00711852"/>
    <w:rsid w:val="00714CAB"/>
    <w:rsid w:val="00714DD9"/>
    <w:rsid w:val="00714F6F"/>
    <w:rsid w:val="00715EA1"/>
    <w:rsid w:val="00720438"/>
    <w:rsid w:val="007207A0"/>
    <w:rsid w:val="007218C3"/>
    <w:rsid w:val="00721CA0"/>
    <w:rsid w:val="00723E79"/>
    <w:rsid w:val="007243F8"/>
    <w:rsid w:val="007265E8"/>
    <w:rsid w:val="00731FAC"/>
    <w:rsid w:val="0073217D"/>
    <w:rsid w:val="00732D8D"/>
    <w:rsid w:val="007341CF"/>
    <w:rsid w:val="0073456F"/>
    <w:rsid w:val="0073581E"/>
    <w:rsid w:val="00735D2A"/>
    <w:rsid w:val="0074154B"/>
    <w:rsid w:val="00743228"/>
    <w:rsid w:val="00743CFC"/>
    <w:rsid w:val="00746EE9"/>
    <w:rsid w:val="00746FC2"/>
    <w:rsid w:val="00747062"/>
    <w:rsid w:val="007472BA"/>
    <w:rsid w:val="007512ED"/>
    <w:rsid w:val="00751AE2"/>
    <w:rsid w:val="00753151"/>
    <w:rsid w:val="00753505"/>
    <w:rsid w:val="0075594E"/>
    <w:rsid w:val="00755C47"/>
    <w:rsid w:val="00755CE5"/>
    <w:rsid w:val="0076103F"/>
    <w:rsid w:val="0076273A"/>
    <w:rsid w:val="00762AEC"/>
    <w:rsid w:val="00763061"/>
    <w:rsid w:val="007638F0"/>
    <w:rsid w:val="007639A3"/>
    <w:rsid w:val="00766615"/>
    <w:rsid w:val="00766B60"/>
    <w:rsid w:val="00771046"/>
    <w:rsid w:val="0077122F"/>
    <w:rsid w:val="00771284"/>
    <w:rsid w:val="007716B6"/>
    <w:rsid w:val="00771F86"/>
    <w:rsid w:val="007728A2"/>
    <w:rsid w:val="007733DD"/>
    <w:rsid w:val="00773520"/>
    <w:rsid w:val="007744AD"/>
    <w:rsid w:val="00774C21"/>
    <w:rsid w:val="0077679E"/>
    <w:rsid w:val="0078188A"/>
    <w:rsid w:val="00782FEE"/>
    <w:rsid w:val="00786102"/>
    <w:rsid w:val="00787366"/>
    <w:rsid w:val="007877D5"/>
    <w:rsid w:val="00791CFD"/>
    <w:rsid w:val="0079287F"/>
    <w:rsid w:val="007929B4"/>
    <w:rsid w:val="007949C1"/>
    <w:rsid w:val="00795F74"/>
    <w:rsid w:val="00796CCB"/>
    <w:rsid w:val="007A1A6B"/>
    <w:rsid w:val="007A1A9F"/>
    <w:rsid w:val="007A361F"/>
    <w:rsid w:val="007A4AA7"/>
    <w:rsid w:val="007A4B28"/>
    <w:rsid w:val="007A4F2D"/>
    <w:rsid w:val="007A5619"/>
    <w:rsid w:val="007A5F97"/>
    <w:rsid w:val="007A66C1"/>
    <w:rsid w:val="007A6AE8"/>
    <w:rsid w:val="007A716D"/>
    <w:rsid w:val="007A75FE"/>
    <w:rsid w:val="007A78A8"/>
    <w:rsid w:val="007B0491"/>
    <w:rsid w:val="007B057B"/>
    <w:rsid w:val="007B3149"/>
    <w:rsid w:val="007B3927"/>
    <w:rsid w:val="007B5036"/>
    <w:rsid w:val="007B6419"/>
    <w:rsid w:val="007B703A"/>
    <w:rsid w:val="007B7131"/>
    <w:rsid w:val="007C07A8"/>
    <w:rsid w:val="007C0EB9"/>
    <w:rsid w:val="007C1C6C"/>
    <w:rsid w:val="007C3369"/>
    <w:rsid w:val="007C3BFE"/>
    <w:rsid w:val="007C4C1C"/>
    <w:rsid w:val="007C51FF"/>
    <w:rsid w:val="007C61DF"/>
    <w:rsid w:val="007C7405"/>
    <w:rsid w:val="007C7480"/>
    <w:rsid w:val="007D21B6"/>
    <w:rsid w:val="007D2AA3"/>
    <w:rsid w:val="007D4699"/>
    <w:rsid w:val="007D772E"/>
    <w:rsid w:val="007D7E0D"/>
    <w:rsid w:val="007E0769"/>
    <w:rsid w:val="007E3FB4"/>
    <w:rsid w:val="007E652B"/>
    <w:rsid w:val="007E7E11"/>
    <w:rsid w:val="007F0369"/>
    <w:rsid w:val="007F103E"/>
    <w:rsid w:val="007F169F"/>
    <w:rsid w:val="007F19E1"/>
    <w:rsid w:val="007F306F"/>
    <w:rsid w:val="007F6996"/>
    <w:rsid w:val="0080007B"/>
    <w:rsid w:val="00800580"/>
    <w:rsid w:val="008009A3"/>
    <w:rsid w:val="008009FF"/>
    <w:rsid w:val="0080180B"/>
    <w:rsid w:val="0080185D"/>
    <w:rsid w:val="0080277F"/>
    <w:rsid w:val="0080646B"/>
    <w:rsid w:val="008065B3"/>
    <w:rsid w:val="008106AF"/>
    <w:rsid w:val="00810E84"/>
    <w:rsid w:val="008114A7"/>
    <w:rsid w:val="00812620"/>
    <w:rsid w:val="008163A1"/>
    <w:rsid w:val="00816614"/>
    <w:rsid w:val="00816620"/>
    <w:rsid w:val="00816A33"/>
    <w:rsid w:val="00816F2C"/>
    <w:rsid w:val="008201D2"/>
    <w:rsid w:val="00820257"/>
    <w:rsid w:val="00820A95"/>
    <w:rsid w:val="0082162F"/>
    <w:rsid w:val="00821D12"/>
    <w:rsid w:val="00821ECB"/>
    <w:rsid w:val="00822871"/>
    <w:rsid w:val="008230C3"/>
    <w:rsid w:val="008239C1"/>
    <w:rsid w:val="0082728A"/>
    <w:rsid w:val="00830214"/>
    <w:rsid w:val="00830B76"/>
    <w:rsid w:val="00830D95"/>
    <w:rsid w:val="00832641"/>
    <w:rsid w:val="00832E2B"/>
    <w:rsid w:val="0083474E"/>
    <w:rsid w:val="00836570"/>
    <w:rsid w:val="00837ECC"/>
    <w:rsid w:val="0084078F"/>
    <w:rsid w:val="0084207A"/>
    <w:rsid w:val="00842ADE"/>
    <w:rsid w:val="00843D83"/>
    <w:rsid w:val="00845733"/>
    <w:rsid w:val="00846062"/>
    <w:rsid w:val="0084705D"/>
    <w:rsid w:val="008518E0"/>
    <w:rsid w:val="00852484"/>
    <w:rsid w:val="00852D1A"/>
    <w:rsid w:val="00853048"/>
    <w:rsid w:val="00855FA8"/>
    <w:rsid w:val="00860C7B"/>
    <w:rsid w:val="00860EA9"/>
    <w:rsid w:val="00863311"/>
    <w:rsid w:val="00864B0D"/>
    <w:rsid w:val="00866FEA"/>
    <w:rsid w:val="00870129"/>
    <w:rsid w:val="00870BD5"/>
    <w:rsid w:val="008722E5"/>
    <w:rsid w:val="008741E8"/>
    <w:rsid w:val="00875D54"/>
    <w:rsid w:val="00875DD7"/>
    <w:rsid w:val="008778A2"/>
    <w:rsid w:val="0088000D"/>
    <w:rsid w:val="00880BE2"/>
    <w:rsid w:val="00880DBE"/>
    <w:rsid w:val="00880F53"/>
    <w:rsid w:val="008837BA"/>
    <w:rsid w:val="008841E7"/>
    <w:rsid w:val="008849BF"/>
    <w:rsid w:val="00884D46"/>
    <w:rsid w:val="00887F75"/>
    <w:rsid w:val="00890BCD"/>
    <w:rsid w:val="00891D2D"/>
    <w:rsid w:val="00893678"/>
    <w:rsid w:val="0089391D"/>
    <w:rsid w:val="0089678B"/>
    <w:rsid w:val="008A1733"/>
    <w:rsid w:val="008A6D6A"/>
    <w:rsid w:val="008A7957"/>
    <w:rsid w:val="008B15C8"/>
    <w:rsid w:val="008B2A6D"/>
    <w:rsid w:val="008B3A8F"/>
    <w:rsid w:val="008B6145"/>
    <w:rsid w:val="008B6C81"/>
    <w:rsid w:val="008C178B"/>
    <w:rsid w:val="008C1BC7"/>
    <w:rsid w:val="008C2A4D"/>
    <w:rsid w:val="008C32BF"/>
    <w:rsid w:val="008C3840"/>
    <w:rsid w:val="008D03E0"/>
    <w:rsid w:val="008D0E03"/>
    <w:rsid w:val="008D0E19"/>
    <w:rsid w:val="008D1946"/>
    <w:rsid w:val="008D209B"/>
    <w:rsid w:val="008D220F"/>
    <w:rsid w:val="008D3C42"/>
    <w:rsid w:val="008E3BE6"/>
    <w:rsid w:val="008E4391"/>
    <w:rsid w:val="008E78C8"/>
    <w:rsid w:val="008F1A09"/>
    <w:rsid w:val="008F448E"/>
    <w:rsid w:val="008F4E02"/>
    <w:rsid w:val="008F52D0"/>
    <w:rsid w:val="008F56EC"/>
    <w:rsid w:val="008F5B84"/>
    <w:rsid w:val="008F72FF"/>
    <w:rsid w:val="008F798D"/>
    <w:rsid w:val="00900307"/>
    <w:rsid w:val="0090060E"/>
    <w:rsid w:val="00901517"/>
    <w:rsid w:val="00901669"/>
    <w:rsid w:val="00901D9D"/>
    <w:rsid w:val="00902408"/>
    <w:rsid w:val="00902469"/>
    <w:rsid w:val="009045E4"/>
    <w:rsid w:val="00904B2B"/>
    <w:rsid w:val="00905370"/>
    <w:rsid w:val="00905E95"/>
    <w:rsid w:val="00906415"/>
    <w:rsid w:val="00907378"/>
    <w:rsid w:val="009077FF"/>
    <w:rsid w:val="00907B3A"/>
    <w:rsid w:val="00911BA0"/>
    <w:rsid w:val="00911D21"/>
    <w:rsid w:val="00912705"/>
    <w:rsid w:val="00913EDC"/>
    <w:rsid w:val="00916E62"/>
    <w:rsid w:val="00916F25"/>
    <w:rsid w:val="0091704A"/>
    <w:rsid w:val="0092084A"/>
    <w:rsid w:val="00923F4B"/>
    <w:rsid w:val="00925EC4"/>
    <w:rsid w:val="00926993"/>
    <w:rsid w:val="009304CD"/>
    <w:rsid w:val="00932FA6"/>
    <w:rsid w:val="00933855"/>
    <w:rsid w:val="0093396E"/>
    <w:rsid w:val="0093450C"/>
    <w:rsid w:val="00937277"/>
    <w:rsid w:val="00937A0A"/>
    <w:rsid w:val="009416B4"/>
    <w:rsid w:val="00945EA8"/>
    <w:rsid w:val="00945F08"/>
    <w:rsid w:val="0094774A"/>
    <w:rsid w:val="00951ADC"/>
    <w:rsid w:val="009520EE"/>
    <w:rsid w:val="00952287"/>
    <w:rsid w:val="00952294"/>
    <w:rsid w:val="009524BE"/>
    <w:rsid w:val="0095360C"/>
    <w:rsid w:val="00957742"/>
    <w:rsid w:val="00962E57"/>
    <w:rsid w:val="0096333D"/>
    <w:rsid w:val="00963ED1"/>
    <w:rsid w:val="0096597B"/>
    <w:rsid w:val="00965DEC"/>
    <w:rsid w:val="00966784"/>
    <w:rsid w:val="00966853"/>
    <w:rsid w:val="00966B34"/>
    <w:rsid w:val="00967670"/>
    <w:rsid w:val="00967E3B"/>
    <w:rsid w:val="00974574"/>
    <w:rsid w:val="00974FE6"/>
    <w:rsid w:val="00976D44"/>
    <w:rsid w:val="00980F02"/>
    <w:rsid w:val="009819D6"/>
    <w:rsid w:val="00983604"/>
    <w:rsid w:val="00983E5D"/>
    <w:rsid w:val="00984D88"/>
    <w:rsid w:val="00984F6F"/>
    <w:rsid w:val="0098572E"/>
    <w:rsid w:val="0098655F"/>
    <w:rsid w:val="0098690A"/>
    <w:rsid w:val="009876B2"/>
    <w:rsid w:val="009910F3"/>
    <w:rsid w:val="00991447"/>
    <w:rsid w:val="00993680"/>
    <w:rsid w:val="00993C26"/>
    <w:rsid w:val="00994596"/>
    <w:rsid w:val="0099463C"/>
    <w:rsid w:val="00994D79"/>
    <w:rsid w:val="00995327"/>
    <w:rsid w:val="0099717A"/>
    <w:rsid w:val="009A03B3"/>
    <w:rsid w:val="009A0DAC"/>
    <w:rsid w:val="009A184D"/>
    <w:rsid w:val="009A2412"/>
    <w:rsid w:val="009A2F08"/>
    <w:rsid w:val="009A5DB0"/>
    <w:rsid w:val="009A7438"/>
    <w:rsid w:val="009B0FE2"/>
    <w:rsid w:val="009B1E34"/>
    <w:rsid w:val="009B2F69"/>
    <w:rsid w:val="009B33ED"/>
    <w:rsid w:val="009B3539"/>
    <w:rsid w:val="009B4288"/>
    <w:rsid w:val="009B550F"/>
    <w:rsid w:val="009B59FB"/>
    <w:rsid w:val="009B6232"/>
    <w:rsid w:val="009B6748"/>
    <w:rsid w:val="009B7632"/>
    <w:rsid w:val="009B77C4"/>
    <w:rsid w:val="009C0737"/>
    <w:rsid w:val="009C0BC2"/>
    <w:rsid w:val="009C1319"/>
    <w:rsid w:val="009C2B4A"/>
    <w:rsid w:val="009C37E7"/>
    <w:rsid w:val="009C436E"/>
    <w:rsid w:val="009C487F"/>
    <w:rsid w:val="009C7D8D"/>
    <w:rsid w:val="009D1CC4"/>
    <w:rsid w:val="009D231E"/>
    <w:rsid w:val="009D289C"/>
    <w:rsid w:val="009D2B2D"/>
    <w:rsid w:val="009D3253"/>
    <w:rsid w:val="009D47BE"/>
    <w:rsid w:val="009D4A1E"/>
    <w:rsid w:val="009D4D93"/>
    <w:rsid w:val="009D5FDA"/>
    <w:rsid w:val="009D7270"/>
    <w:rsid w:val="009D7598"/>
    <w:rsid w:val="009D7690"/>
    <w:rsid w:val="009E274F"/>
    <w:rsid w:val="009E53F5"/>
    <w:rsid w:val="009E6753"/>
    <w:rsid w:val="009E6B4E"/>
    <w:rsid w:val="009E7127"/>
    <w:rsid w:val="009E7330"/>
    <w:rsid w:val="009E7CD3"/>
    <w:rsid w:val="009F0DDF"/>
    <w:rsid w:val="009F19F4"/>
    <w:rsid w:val="009F2931"/>
    <w:rsid w:val="009F2DF8"/>
    <w:rsid w:val="009F2F9B"/>
    <w:rsid w:val="009F34D1"/>
    <w:rsid w:val="009F3D1E"/>
    <w:rsid w:val="009F4420"/>
    <w:rsid w:val="009F60E9"/>
    <w:rsid w:val="009F6275"/>
    <w:rsid w:val="009F770C"/>
    <w:rsid w:val="009F7F8B"/>
    <w:rsid w:val="00A00023"/>
    <w:rsid w:val="00A03363"/>
    <w:rsid w:val="00A03415"/>
    <w:rsid w:val="00A03872"/>
    <w:rsid w:val="00A03EAC"/>
    <w:rsid w:val="00A047FD"/>
    <w:rsid w:val="00A05C83"/>
    <w:rsid w:val="00A06708"/>
    <w:rsid w:val="00A06AE7"/>
    <w:rsid w:val="00A06B44"/>
    <w:rsid w:val="00A0760D"/>
    <w:rsid w:val="00A109BE"/>
    <w:rsid w:val="00A11C6C"/>
    <w:rsid w:val="00A131B4"/>
    <w:rsid w:val="00A13633"/>
    <w:rsid w:val="00A14013"/>
    <w:rsid w:val="00A14228"/>
    <w:rsid w:val="00A146D0"/>
    <w:rsid w:val="00A146DF"/>
    <w:rsid w:val="00A15649"/>
    <w:rsid w:val="00A1743A"/>
    <w:rsid w:val="00A1749A"/>
    <w:rsid w:val="00A17508"/>
    <w:rsid w:val="00A204B0"/>
    <w:rsid w:val="00A2088D"/>
    <w:rsid w:val="00A20997"/>
    <w:rsid w:val="00A21041"/>
    <w:rsid w:val="00A2199E"/>
    <w:rsid w:val="00A238D7"/>
    <w:rsid w:val="00A240BB"/>
    <w:rsid w:val="00A24819"/>
    <w:rsid w:val="00A24B66"/>
    <w:rsid w:val="00A25E35"/>
    <w:rsid w:val="00A2705E"/>
    <w:rsid w:val="00A30FAC"/>
    <w:rsid w:val="00A3195D"/>
    <w:rsid w:val="00A31A42"/>
    <w:rsid w:val="00A321DA"/>
    <w:rsid w:val="00A33792"/>
    <w:rsid w:val="00A339BF"/>
    <w:rsid w:val="00A3465F"/>
    <w:rsid w:val="00A40D75"/>
    <w:rsid w:val="00A44BCB"/>
    <w:rsid w:val="00A45888"/>
    <w:rsid w:val="00A50242"/>
    <w:rsid w:val="00A50EB0"/>
    <w:rsid w:val="00A526BC"/>
    <w:rsid w:val="00A53451"/>
    <w:rsid w:val="00A53AA9"/>
    <w:rsid w:val="00A54998"/>
    <w:rsid w:val="00A54CC9"/>
    <w:rsid w:val="00A56AF6"/>
    <w:rsid w:val="00A574CC"/>
    <w:rsid w:val="00A5764D"/>
    <w:rsid w:val="00A60223"/>
    <w:rsid w:val="00A613AC"/>
    <w:rsid w:val="00A614E5"/>
    <w:rsid w:val="00A62241"/>
    <w:rsid w:val="00A6276F"/>
    <w:rsid w:val="00A6371D"/>
    <w:rsid w:val="00A64C69"/>
    <w:rsid w:val="00A65011"/>
    <w:rsid w:val="00A6513D"/>
    <w:rsid w:val="00A6565C"/>
    <w:rsid w:val="00A66452"/>
    <w:rsid w:val="00A66535"/>
    <w:rsid w:val="00A66823"/>
    <w:rsid w:val="00A66FA9"/>
    <w:rsid w:val="00A70DC6"/>
    <w:rsid w:val="00A70DC8"/>
    <w:rsid w:val="00A73942"/>
    <w:rsid w:val="00A73B0D"/>
    <w:rsid w:val="00A73B72"/>
    <w:rsid w:val="00A748C4"/>
    <w:rsid w:val="00A74ADB"/>
    <w:rsid w:val="00A75A5D"/>
    <w:rsid w:val="00A761DE"/>
    <w:rsid w:val="00A77955"/>
    <w:rsid w:val="00A80A3E"/>
    <w:rsid w:val="00A81304"/>
    <w:rsid w:val="00A8332F"/>
    <w:rsid w:val="00A84359"/>
    <w:rsid w:val="00A849AB"/>
    <w:rsid w:val="00A84B9D"/>
    <w:rsid w:val="00A85CF4"/>
    <w:rsid w:val="00A8604B"/>
    <w:rsid w:val="00A86199"/>
    <w:rsid w:val="00A86B2C"/>
    <w:rsid w:val="00A87B15"/>
    <w:rsid w:val="00A925C1"/>
    <w:rsid w:val="00A92B52"/>
    <w:rsid w:val="00A92B60"/>
    <w:rsid w:val="00A931DC"/>
    <w:rsid w:val="00A9446A"/>
    <w:rsid w:val="00A960E3"/>
    <w:rsid w:val="00A96274"/>
    <w:rsid w:val="00A96EEC"/>
    <w:rsid w:val="00AA1554"/>
    <w:rsid w:val="00AA25C2"/>
    <w:rsid w:val="00AA2857"/>
    <w:rsid w:val="00AA3C2D"/>
    <w:rsid w:val="00AA40AD"/>
    <w:rsid w:val="00AA5754"/>
    <w:rsid w:val="00AA7105"/>
    <w:rsid w:val="00AA74A7"/>
    <w:rsid w:val="00AB47A2"/>
    <w:rsid w:val="00AB512C"/>
    <w:rsid w:val="00AB54C7"/>
    <w:rsid w:val="00AB617F"/>
    <w:rsid w:val="00AB693A"/>
    <w:rsid w:val="00AB70F7"/>
    <w:rsid w:val="00AB720C"/>
    <w:rsid w:val="00AB7B5E"/>
    <w:rsid w:val="00AB7E08"/>
    <w:rsid w:val="00AC2066"/>
    <w:rsid w:val="00AC50FF"/>
    <w:rsid w:val="00AC529B"/>
    <w:rsid w:val="00AC6481"/>
    <w:rsid w:val="00AD17F5"/>
    <w:rsid w:val="00AD1D93"/>
    <w:rsid w:val="00AD2E8A"/>
    <w:rsid w:val="00AD392E"/>
    <w:rsid w:val="00AD42CC"/>
    <w:rsid w:val="00AD4488"/>
    <w:rsid w:val="00AD5361"/>
    <w:rsid w:val="00AD67FC"/>
    <w:rsid w:val="00AD70ED"/>
    <w:rsid w:val="00AD7D70"/>
    <w:rsid w:val="00AE07F9"/>
    <w:rsid w:val="00AE2AE5"/>
    <w:rsid w:val="00AE3DB4"/>
    <w:rsid w:val="00AE3FFF"/>
    <w:rsid w:val="00AE4D02"/>
    <w:rsid w:val="00AE568A"/>
    <w:rsid w:val="00AE6986"/>
    <w:rsid w:val="00AF03C3"/>
    <w:rsid w:val="00AF172F"/>
    <w:rsid w:val="00AF3F35"/>
    <w:rsid w:val="00AF6534"/>
    <w:rsid w:val="00B00B5A"/>
    <w:rsid w:val="00B00D84"/>
    <w:rsid w:val="00B00F37"/>
    <w:rsid w:val="00B01E35"/>
    <w:rsid w:val="00B032A1"/>
    <w:rsid w:val="00B054C0"/>
    <w:rsid w:val="00B06B80"/>
    <w:rsid w:val="00B072BE"/>
    <w:rsid w:val="00B11587"/>
    <w:rsid w:val="00B11C49"/>
    <w:rsid w:val="00B13203"/>
    <w:rsid w:val="00B13CB7"/>
    <w:rsid w:val="00B15ACE"/>
    <w:rsid w:val="00B166B0"/>
    <w:rsid w:val="00B16F20"/>
    <w:rsid w:val="00B17A1A"/>
    <w:rsid w:val="00B2033D"/>
    <w:rsid w:val="00B21C42"/>
    <w:rsid w:val="00B23364"/>
    <w:rsid w:val="00B2362D"/>
    <w:rsid w:val="00B23EA6"/>
    <w:rsid w:val="00B24183"/>
    <w:rsid w:val="00B24885"/>
    <w:rsid w:val="00B249FB"/>
    <w:rsid w:val="00B25905"/>
    <w:rsid w:val="00B27A08"/>
    <w:rsid w:val="00B27C53"/>
    <w:rsid w:val="00B3160B"/>
    <w:rsid w:val="00B31E8B"/>
    <w:rsid w:val="00B3411C"/>
    <w:rsid w:val="00B342EB"/>
    <w:rsid w:val="00B364D8"/>
    <w:rsid w:val="00B3659D"/>
    <w:rsid w:val="00B37948"/>
    <w:rsid w:val="00B405CE"/>
    <w:rsid w:val="00B429BD"/>
    <w:rsid w:val="00B42D25"/>
    <w:rsid w:val="00B42E0F"/>
    <w:rsid w:val="00B43072"/>
    <w:rsid w:val="00B4723C"/>
    <w:rsid w:val="00B4792E"/>
    <w:rsid w:val="00B479E9"/>
    <w:rsid w:val="00B47EBE"/>
    <w:rsid w:val="00B5154A"/>
    <w:rsid w:val="00B52DA4"/>
    <w:rsid w:val="00B52E20"/>
    <w:rsid w:val="00B53FB6"/>
    <w:rsid w:val="00B54BA5"/>
    <w:rsid w:val="00B55CD7"/>
    <w:rsid w:val="00B56FEC"/>
    <w:rsid w:val="00B57F89"/>
    <w:rsid w:val="00B57FC2"/>
    <w:rsid w:val="00B60131"/>
    <w:rsid w:val="00B606C1"/>
    <w:rsid w:val="00B607F1"/>
    <w:rsid w:val="00B614B8"/>
    <w:rsid w:val="00B61F2F"/>
    <w:rsid w:val="00B656C6"/>
    <w:rsid w:val="00B65A77"/>
    <w:rsid w:val="00B65D23"/>
    <w:rsid w:val="00B65D3E"/>
    <w:rsid w:val="00B66093"/>
    <w:rsid w:val="00B668A7"/>
    <w:rsid w:val="00B70F37"/>
    <w:rsid w:val="00B71A6C"/>
    <w:rsid w:val="00B71D6D"/>
    <w:rsid w:val="00B72132"/>
    <w:rsid w:val="00B730A2"/>
    <w:rsid w:val="00B74869"/>
    <w:rsid w:val="00B748B3"/>
    <w:rsid w:val="00B77A28"/>
    <w:rsid w:val="00B77F15"/>
    <w:rsid w:val="00B83019"/>
    <w:rsid w:val="00B83C6E"/>
    <w:rsid w:val="00B84245"/>
    <w:rsid w:val="00B8470A"/>
    <w:rsid w:val="00B848F8"/>
    <w:rsid w:val="00B84949"/>
    <w:rsid w:val="00B853F6"/>
    <w:rsid w:val="00B85E87"/>
    <w:rsid w:val="00B86232"/>
    <w:rsid w:val="00B87253"/>
    <w:rsid w:val="00B872E0"/>
    <w:rsid w:val="00B903C9"/>
    <w:rsid w:val="00B90B62"/>
    <w:rsid w:val="00B926DC"/>
    <w:rsid w:val="00B92BAF"/>
    <w:rsid w:val="00B93FC6"/>
    <w:rsid w:val="00B9448A"/>
    <w:rsid w:val="00B94A62"/>
    <w:rsid w:val="00B959E5"/>
    <w:rsid w:val="00B9626D"/>
    <w:rsid w:val="00BA0B0F"/>
    <w:rsid w:val="00BA2C08"/>
    <w:rsid w:val="00BA560E"/>
    <w:rsid w:val="00BA5662"/>
    <w:rsid w:val="00BA5874"/>
    <w:rsid w:val="00BA5F7F"/>
    <w:rsid w:val="00BA6128"/>
    <w:rsid w:val="00BB041A"/>
    <w:rsid w:val="00BB1691"/>
    <w:rsid w:val="00BB2667"/>
    <w:rsid w:val="00BB6429"/>
    <w:rsid w:val="00BB7CE5"/>
    <w:rsid w:val="00BC0521"/>
    <w:rsid w:val="00BC0741"/>
    <w:rsid w:val="00BC2519"/>
    <w:rsid w:val="00BC2876"/>
    <w:rsid w:val="00BC51F4"/>
    <w:rsid w:val="00BC5FBE"/>
    <w:rsid w:val="00BC70B7"/>
    <w:rsid w:val="00BD0AAA"/>
    <w:rsid w:val="00BD2C90"/>
    <w:rsid w:val="00BD376C"/>
    <w:rsid w:val="00BD3984"/>
    <w:rsid w:val="00BE1F21"/>
    <w:rsid w:val="00BE2884"/>
    <w:rsid w:val="00BE29CE"/>
    <w:rsid w:val="00BE4CB5"/>
    <w:rsid w:val="00BE4E3D"/>
    <w:rsid w:val="00BE5740"/>
    <w:rsid w:val="00BE63E9"/>
    <w:rsid w:val="00BE6936"/>
    <w:rsid w:val="00BE6F46"/>
    <w:rsid w:val="00BE75CE"/>
    <w:rsid w:val="00BE78B4"/>
    <w:rsid w:val="00BF2371"/>
    <w:rsid w:val="00BF3403"/>
    <w:rsid w:val="00BF349D"/>
    <w:rsid w:val="00BF3BA8"/>
    <w:rsid w:val="00BF6455"/>
    <w:rsid w:val="00BF7A38"/>
    <w:rsid w:val="00BF7A98"/>
    <w:rsid w:val="00BF7CDA"/>
    <w:rsid w:val="00C00EB6"/>
    <w:rsid w:val="00C0187E"/>
    <w:rsid w:val="00C02323"/>
    <w:rsid w:val="00C03758"/>
    <w:rsid w:val="00C07308"/>
    <w:rsid w:val="00C10007"/>
    <w:rsid w:val="00C10792"/>
    <w:rsid w:val="00C10D37"/>
    <w:rsid w:val="00C12D62"/>
    <w:rsid w:val="00C1455E"/>
    <w:rsid w:val="00C228D1"/>
    <w:rsid w:val="00C23B89"/>
    <w:rsid w:val="00C23BFE"/>
    <w:rsid w:val="00C249E9"/>
    <w:rsid w:val="00C24E26"/>
    <w:rsid w:val="00C25075"/>
    <w:rsid w:val="00C257F1"/>
    <w:rsid w:val="00C25A91"/>
    <w:rsid w:val="00C263CD"/>
    <w:rsid w:val="00C26CB0"/>
    <w:rsid w:val="00C27063"/>
    <w:rsid w:val="00C2738A"/>
    <w:rsid w:val="00C30C75"/>
    <w:rsid w:val="00C30FDE"/>
    <w:rsid w:val="00C31B6E"/>
    <w:rsid w:val="00C348E0"/>
    <w:rsid w:val="00C34AE6"/>
    <w:rsid w:val="00C350EB"/>
    <w:rsid w:val="00C36B33"/>
    <w:rsid w:val="00C36B61"/>
    <w:rsid w:val="00C4057A"/>
    <w:rsid w:val="00C40F7C"/>
    <w:rsid w:val="00C41F58"/>
    <w:rsid w:val="00C460E3"/>
    <w:rsid w:val="00C46E3F"/>
    <w:rsid w:val="00C47153"/>
    <w:rsid w:val="00C4789D"/>
    <w:rsid w:val="00C47A25"/>
    <w:rsid w:val="00C51339"/>
    <w:rsid w:val="00C53E65"/>
    <w:rsid w:val="00C60A55"/>
    <w:rsid w:val="00C63A64"/>
    <w:rsid w:val="00C63BB6"/>
    <w:rsid w:val="00C6586D"/>
    <w:rsid w:val="00C7007A"/>
    <w:rsid w:val="00C70909"/>
    <w:rsid w:val="00C71916"/>
    <w:rsid w:val="00C71A39"/>
    <w:rsid w:val="00C72E98"/>
    <w:rsid w:val="00C735A3"/>
    <w:rsid w:val="00C74637"/>
    <w:rsid w:val="00C74F90"/>
    <w:rsid w:val="00C76998"/>
    <w:rsid w:val="00C8089B"/>
    <w:rsid w:val="00C80C5B"/>
    <w:rsid w:val="00C80E32"/>
    <w:rsid w:val="00C81948"/>
    <w:rsid w:val="00C82003"/>
    <w:rsid w:val="00C823BB"/>
    <w:rsid w:val="00C82678"/>
    <w:rsid w:val="00C8504B"/>
    <w:rsid w:val="00C85518"/>
    <w:rsid w:val="00C855D9"/>
    <w:rsid w:val="00C91390"/>
    <w:rsid w:val="00C92FA0"/>
    <w:rsid w:val="00C937A0"/>
    <w:rsid w:val="00C94864"/>
    <w:rsid w:val="00C956C1"/>
    <w:rsid w:val="00C960F8"/>
    <w:rsid w:val="00C97925"/>
    <w:rsid w:val="00C9798D"/>
    <w:rsid w:val="00CA00E3"/>
    <w:rsid w:val="00CA156B"/>
    <w:rsid w:val="00CA17DD"/>
    <w:rsid w:val="00CA18BE"/>
    <w:rsid w:val="00CA2E53"/>
    <w:rsid w:val="00CA5579"/>
    <w:rsid w:val="00CA5C62"/>
    <w:rsid w:val="00CB109F"/>
    <w:rsid w:val="00CB2F0B"/>
    <w:rsid w:val="00CB5C83"/>
    <w:rsid w:val="00CB7D44"/>
    <w:rsid w:val="00CC2798"/>
    <w:rsid w:val="00CC6075"/>
    <w:rsid w:val="00CC7467"/>
    <w:rsid w:val="00CC770C"/>
    <w:rsid w:val="00CD0103"/>
    <w:rsid w:val="00CD0B51"/>
    <w:rsid w:val="00CD0E17"/>
    <w:rsid w:val="00CD10BF"/>
    <w:rsid w:val="00CD31BA"/>
    <w:rsid w:val="00CD3BC0"/>
    <w:rsid w:val="00CD6D6C"/>
    <w:rsid w:val="00CE024A"/>
    <w:rsid w:val="00CE0C88"/>
    <w:rsid w:val="00CE2065"/>
    <w:rsid w:val="00CE25F0"/>
    <w:rsid w:val="00CE2C44"/>
    <w:rsid w:val="00CE3FBC"/>
    <w:rsid w:val="00CE4D9B"/>
    <w:rsid w:val="00CE5A8C"/>
    <w:rsid w:val="00CE5ABD"/>
    <w:rsid w:val="00CF0384"/>
    <w:rsid w:val="00CF36EF"/>
    <w:rsid w:val="00CF3761"/>
    <w:rsid w:val="00CF55A0"/>
    <w:rsid w:val="00CF719B"/>
    <w:rsid w:val="00D01BC1"/>
    <w:rsid w:val="00D02045"/>
    <w:rsid w:val="00D0457F"/>
    <w:rsid w:val="00D0465E"/>
    <w:rsid w:val="00D04ADD"/>
    <w:rsid w:val="00D05260"/>
    <w:rsid w:val="00D06B19"/>
    <w:rsid w:val="00D11353"/>
    <w:rsid w:val="00D13E87"/>
    <w:rsid w:val="00D13EAB"/>
    <w:rsid w:val="00D14875"/>
    <w:rsid w:val="00D178E8"/>
    <w:rsid w:val="00D200E4"/>
    <w:rsid w:val="00D20CEE"/>
    <w:rsid w:val="00D235B2"/>
    <w:rsid w:val="00D23854"/>
    <w:rsid w:val="00D239FE"/>
    <w:rsid w:val="00D250AD"/>
    <w:rsid w:val="00D258BB"/>
    <w:rsid w:val="00D25F76"/>
    <w:rsid w:val="00D3075E"/>
    <w:rsid w:val="00D30A5B"/>
    <w:rsid w:val="00D30D5A"/>
    <w:rsid w:val="00D31049"/>
    <w:rsid w:val="00D3413B"/>
    <w:rsid w:val="00D346D4"/>
    <w:rsid w:val="00D36FBF"/>
    <w:rsid w:val="00D40C24"/>
    <w:rsid w:val="00D41973"/>
    <w:rsid w:val="00D425D7"/>
    <w:rsid w:val="00D43675"/>
    <w:rsid w:val="00D43824"/>
    <w:rsid w:val="00D43AD9"/>
    <w:rsid w:val="00D44AA4"/>
    <w:rsid w:val="00D44CBE"/>
    <w:rsid w:val="00D44F8B"/>
    <w:rsid w:val="00D45617"/>
    <w:rsid w:val="00D45B69"/>
    <w:rsid w:val="00D5014D"/>
    <w:rsid w:val="00D510DA"/>
    <w:rsid w:val="00D52AF0"/>
    <w:rsid w:val="00D52E3B"/>
    <w:rsid w:val="00D53511"/>
    <w:rsid w:val="00D557DF"/>
    <w:rsid w:val="00D56BB1"/>
    <w:rsid w:val="00D57F01"/>
    <w:rsid w:val="00D60ABF"/>
    <w:rsid w:val="00D6111F"/>
    <w:rsid w:val="00D624C4"/>
    <w:rsid w:val="00D626E2"/>
    <w:rsid w:val="00D62B98"/>
    <w:rsid w:val="00D62CEE"/>
    <w:rsid w:val="00D6546D"/>
    <w:rsid w:val="00D65D0D"/>
    <w:rsid w:val="00D70C31"/>
    <w:rsid w:val="00D727D8"/>
    <w:rsid w:val="00D73B08"/>
    <w:rsid w:val="00D745D1"/>
    <w:rsid w:val="00D74CBB"/>
    <w:rsid w:val="00D7566D"/>
    <w:rsid w:val="00D75E7A"/>
    <w:rsid w:val="00D77A66"/>
    <w:rsid w:val="00D80619"/>
    <w:rsid w:val="00D8104F"/>
    <w:rsid w:val="00D81EEC"/>
    <w:rsid w:val="00D829CE"/>
    <w:rsid w:val="00D9288B"/>
    <w:rsid w:val="00D96A88"/>
    <w:rsid w:val="00D96C52"/>
    <w:rsid w:val="00D96DF3"/>
    <w:rsid w:val="00D9750E"/>
    <w:rsid w:val="00DA0534"/>
    <w:rsid w:val="00DA18D0"/>
    <w:rsid w:val="00DA45E9"/>
    <w:rsid w:val="00DA560D"/>
    <w:rsid w:val="00DB0FC4"/>
    <w:rsid w:val="00DB2BC7"/>
    <w:rsid w:val="00DB312B"/>
    <w:rsid w:val="00DB337C"/>
    <w:rsid w:val="00DB455A"/>
    <w:rsid w:val="00DB48A0"/>
    <w:rsid w:val="00DB51DD"/>
    <w:rsid w:val="00DB6102"/>
    <w:rsid w:val="00DB6D48"/>
    <w:rsid w:val="00DB7D9F"/>
    <w:rsid w:val="00DC12A4"/>
    <w:rsid w:val="00DC135B"/>
    <w:rsid w:val="00DC1C1E"/>
    <w:rsid w:val="00DC2597"/>
    <w:rsid w:val="00DC2E29"/>
    <w:rsid w:val="00DC32A1"/>
    <w:rsid w:val="00DC41BD"/>
    <w:rsid w:val="00DC4D73"/>
    <w:rsid w:val="00DC7526"/>
    <w:rsid w:val="00DC7815"/>
    <w:rsid w:val="00DD09EC"/>
    <w:rsid w:val="00DD1D0B"/>
    <w:rsid w:val="00DD493C"/>
    <w:rsid w:val="00DD4B67"/>
    <w:rsid w:val="00DD52DD"/>
    <w:rsid w:val="00DD6CC8"/>
    <w:rsid w:val="00DD6DC0"/>
    <w:rsid w:val="00DD72E5"/>
    <w:rsid w:val="00DD7CFE"/>
    <w:rsid w:val="00DE1488"/>
    <w:rsid w:val="00DE18A6"/>
    <w:rsid w:val="00DE228C"/>
    <w:rsid w:val="00DE33B3"/>
    <w:rsid w:val="00DE57A1"/>
    <w:rsid w:val="00DE5AAB"/>
    <w:rsid w:val="00DE5E80"/>
    <w:rsid w:val="00DE61FB"/>
    <w:rsid w:val="00DE6698"/>
    <w:rsid w:val="00DE763A"/>
    <w:rsid w:val="00DE7B53"/>
    <w:rsid w:val="00DF21E4"/>
    <w:rsid w:val="00DF2AE1"/>
    <w:rsid w:val="00DF2B48"/>
    <w:rsid w:val="00DF2C5A"/>
    <w:rsid w:val="00DF4333"/>
    <w:rsid w:val="00DF6A02"/>
    <w:rsid w:val="00E01898"/>
    <w:rsid w:val="00E01EFE"/>
    <w:rsid w:val="00E0323B"/>
    <w:rsid w:val="00E05491"/>
    <w:rsid w:val="00E06598"/>
    <w:rsid w:val="00E065D2"/>
    <w:rsid w:val="00E067A6"/>
    <w:rsid w:val="00E1015E"/>
    <w:rsid w:val="00E12876"/>
    <w:rsid w:val="00E128C3"/>
    <w:rsid w:val="00E1429A"/>
    <w:rsid w:val="00E161D2"/>
    <w:rsid w:val="00E1687E"/>
    <w:rsid w:val="00E169F4"/>
    <w:rsid w:val="00E16F9E"/>
    <w:rsid w:val="00E228B8"/>
    <w:rsid w:val="00E30389"/>
    <w:rsid w:val="00E32226"/>
    <w:rsid w:val="00E32AC2"/>
    <w:rsid w:val="00E334C7"/>
    <w:rsid w:val="00E348C3"/>
    <w:rsid w:val="00E36558"/>
    <w:rsid w:val="00E3723B"/>
    <w:rsid w:val="00E425C1"/>
    <w:rsid w:val="00E43151"/>
    <w:rsid w:val="00E4368D"/>
    <w:rsid w:val="00E438B9"/>
    <w:rsid w:val="00E45056"/>
    <w:rsid w:val="00E47E74"/>
    <w:rsid w:val="00E50C51"/>
    <w:rsid w:val="00E510B8"/>
    <w:rsid w:val="00E51263"/>
    <w:rsid w:val="00E51B6E"/>
    <w:rsid w:val="00E545E4"/>
    <w:rsid w:val="00E56BEB"/>
    <w:rsid w:val="00E603E7"/>
    <w:rsid w:val="00E60AA3"/>
    <w:rsid w:val="00E61D18"/>
    <w:rsid w:val="00E61EC7"/>
    <w:rsid w:val="00E63CF3"/>
    <w:rsid w:val="00E63D1E"/>
    <w:rsid w:val="00E64A75"/>
    <w:rsid w:val="00E6516A"/>
    <w:rsid w:val="00E67E9F"/>
    <w:rsid w:val="00E70EA2"/>
    <w:rsid w:val="00E715FF"/>
    <w:rsid w:val="00E71A01"/>
    <w:rsid w:val="00E72CEC"/>
    <w:rsid w:val="00E75684"/>
    <w:rsid w:val="00E76ADB"/>
    <w:rsid w:val="00E76EC2"/>
    <w:rsid w:val="00E800B2"/>
    <w:rsid w:val="00E80113"/>
    <w:rsid w:val="00E8015D"/>
    <w:rsid w:val="00E805C0"/>
    <w:rsid w:val="00E83653"/>
    <w:rsid w:val="00E84333"/>
    <w:rsid w:val="00E851DA"/>
    <w:rsid w:val="00E85BEA"/>
    <w:rsid w:val="00E85F92"/>
    <w:rsid w:val="00E8697F"/>
    <w:rsid w:val="00E86B4E"/>
    <w:rsid w:val="00E90D5D"/>
    <w:rsid w:val="00E91E2D"/>
    <w:rsid w:val="00E93334"/>
    <w:rsid w:val="00E96CF9"/>
    <w:rsid w:val="00EA1279"/>
    <w:rsid w:val="00EA1457"/>
    <w:rsid w:val="00EA30A6"/>
    <w:rsid w:val="00EA4B99"/>
    <w:rsid w:val="00EA4E24"/>
    <w:rsid w:val="00EA585B"/>
    <w:rsid w:val="00EA69B6"/>
    <w:rsid w:val="00EB0751"/>
    <w:rsid w:val="00EB48A8"/>
    <w:rsid w:val="00EB5E79"/>
    <w:rsid w:val="00EB601A"/>
    <w:rsid w:val="00EB6E9A"/>
    <w:rsid w:val="00EB757A"/>
    <w:rsid w:val="00EC01A9"/>
    <w:rsid w:val="00EC1733"/>
    <w:rsid w:val="00EC1798"/>
    <w:rsid w:val="00EC303B"/>
    <w:rsid w:val="00EC30CC"/>
    <w:rsid w:val="00EC3150"/>
    <w:rsid w:val="00EC3688"/>
    <w:rsid w:val="00EC3C60"/>
    <w:rsid w:val="00EC5F86"/>
    <w:rsid w:val="00EC604A"/>
    <w:rsid w:val="00EC7E71"/>
    <w:rsid w:val="00ED03A9"/>
    <w:rsid w:val="00ED21E7"/>
    <w:rsid w:val="00ED3481"/>
    <w:rsid w:val="00ED4ABC"/>
    <w:rsid w:val="00ED57B0"/>
    <w:rsid w:val="00ED646E"/>
    <w:rsid w:val="00ED741E"/>
    <w:rsid w:val="00ED7D9F"/>
    <w:rsid w:val="00EE0A88"/>
    <w:rsid w:val="00EE0AB3"/>
    <w:rsid w:val="00EE150F"/>
    <w:rsid w:val="00EE22CD"/>
    <w:rsid w:val="00EE2311"/>
    <w:rsid w:val="00EE27EF"/>
    <w:rsid w:val="00EE33D7"/>
    <w:rsid w:val="00EE775F"/>
    <w:rsid w:val="00EF0500"/>
    <w:rsid w:val="00EF0FFC"/>
    <w:rsid w:val="00EF1198"/>
    <w:rsid w:val="00EF133D"/>
    <w:rsid w:val="00EF2325"/>
    <w:rsid w:val="00EF2AB9"/>
    <w:rsid w:val="00EF4112"/>
    <w:rsid w:val="00EF422C"/>
    <w:rsid w:val="00EF4EDC"/>
    <w:rsid w:val="00EF6038"/>
    <w:rsid w:val="00EF7675"/>
    <w:rsid w:val="00EF7B03"/>
    <w:rsid w:val="00EF7C3A"/>
    <w:rsid w:val="00F006AA"/>
    <w:rsid w:val="00F00C2C"/>
    <w:rsid w:val="00F014AA"/>
    <w:rsid w:val="00F014C4"/>
    <w:rsid w:val="00F07504"/>
    <w:rsid w:val="00F07567"/>
    <w:rsid w:val="00F102B6"/>
    <w:rsid w:val="00F10354"/>
    <w:rsid w:val="00F1443D"/>
    <w:rsid w:val="00F16D7B"/>
    <w:rsid w:val="00F16F03"/>
    <w:rsid w:val="00F215D2"/>
    <w:rsid w:val="00F2262D"/>
    <w:rsid w:val="00F22A59"/>
    <w:rsid w:val="00F22DB6"/>
    <w:rsid w:val="00F25003"/>
    <w:rsid w:val="00F27207"/>
    <w:rsid w:val="00F3188B"/>
    <w:rsid w:val="00F32638"/>
    <w:rsid w:val="00F327D0"/>
    <w:rsid w:val="00F32D1C"/>
    <w:rsid w:val="00F346A3"/>
    <w:rsid w:val="00F352C1"/>
    <w:rsid w:val="00F37166"/>
    <w:rsid w:val="00F3726C"/>
    <w:rsid w:val="00F37CAD"/>
    <w:rsid w:val="00F4022E"/>
    <w:rsid w:val="00F40B5B"/>
    <w:rsid w:val="00F417CB"/>
    <w:rsid w:val="00F427FC"/>
    <w:rsid w:val="00F42B59"/>
    <w:rsid w:val="00F449FC"/>
    <w:rsid w:val="00F44D3B"/>
    <w:rsid w:val="00F46590"/>
    <w:rsid w:val="00F50C6F"/>
    <w:rsid w:val="00F511FC"/>
    <w:rsid w:val="00F513DD"/>
    <w:rsid w:val="00F514E6"/>
    <w:rsid w:val="00F53566"/>
    <w:rsid w:val="00F54532"/>
    <w:rsid w:val="00F5458A"/>
    <w:rsid w:val="00F54B0F"/>
    <w:rsid w:val="00F54CE3"/>
    <w:rsid w:val="00F575E5"/>
    <w:rsid w:val="00F57FF6"/>
    <w:rsid w:val="00F6189B"/>
    <w:rsid w:val="00F636AE"/>
    <w:rsid w:val="00F63C70"/>
    <w:rsid w:val="00F644C2"/>
    <w:rsid w:val="00F702DD"/>
    <w:rsid w:val="00F707C5"/>
    <w:rsid w:val="00F71458"/>
    <w:rsid w:val="00F766B1"/>
    <w:rsid w:val="00F767DF"/>
    <w:rsid w:val="00F76C94"/>
    <w:rsid w:val="00F84219"/>
    <w:rsid w:val="00F8506F"/>
    <w:rsid w:val="00F864AC"/>
    <w:rsid w:val="00F866A8"/>
    <w:rsid w:val="00F938B4"/>
    <w:rsid w:val="00F94C14"/>
    <w:rsid w:val="00F9547D"/>
    <w:rsid w:val="00F966A7"/>
    <w:rsid w:val="00F979FB"/>
    <w:rsid w:val="00F97C69"/>
    <w:rsid w:val="00F97DBE"/>
    <w:rsid w:val="00FA0183"/>
    <w:rsid w:val="00FA14C0"/>
    <w:rsid w:val="00FA5F16"/>
    <w:rsid w:val="00FA79DC"/>
    <w:rsid w:val="00FB064B"/>
    <w:rsid w:val="00FB111E"/>
    <w:rsid w:val="00FB32C2"/>
    <w:rsid w:val="00FB5B3F"/>
    <w:rsid w:val="00FB6C2B"/>
    <w:rsid w:val="00FB7358"/>
    <w:rsid w:val="00FC0838"/>
    <w:rsid w:val="00FC1B45"/>
    <w:rsid w:val="00FC22A6"/>
    <w:rsid w:val="00FC3C97"/>
    <w:rsid w:val="00FC4546"/>
    <w:rsid w:val="00FC5412"/>
    <w:rsid w:val="00FC5C76"/>
    <w:rsid w:val="00FC7955"/>
    <w:rsid w:val="00FD09CF"/>
    <w:rsid w:val="00FD196D"/>
    <w:rsid w:val="00FD1D94"/>
    <w:rsid w:val="00FD34E5"/>
    <w:rsid w:val="00FD50CA"/>
    <w:rsid w:val="00FD68F0"/>
    <w:rsid w:val="00FD6A18"/>
    <w:rsid w:val="00FE005E"/>
    <w:rsid w:val="00FE0691"/>
    <w:rsid w:val="00FE07A4"/>
    <w:rsid w:val="00FE1755"/>
    <w:rsid w:val="00FE1AF0"/>
    <w:rsid w:val="00FE1B91"/>
    <w:rsid w:val="00FE2B7D"/>
    <w:rsid w:val="00FE2FEE"/>
    <w:rsid w:val="00FE456D"/>
    <w:rsid w:val="00FE4DD7"/>
    <w:rsid w:val="00FE68D7"/>
    <w:rsid w:val="00FE6B12"/>
    <w:rsid w:val="00FE780D"/>
    <w:rsid w:val="00FE7D09"/>
    <w:rsid w:val="00FF00F0"/>
    <w:rsid w:val="00FF24D0"/>
    <w:rsid w:val="00FF3D72"/>
    <w:rsid w:val="00FF424C"/>
    <w:rsid w:val="00FF4DE0"/>
    <w:rsid w:val="00FF64F2"/>
    <w:rsid w:val="00FF7465"/>
    <w:rsid w:val="00FF748B"/>
    <w:rsid w:val="01746C70"/>
    <w:rsid w:val="01792DAB"/>
    <w:rsid w:val="01EC5C3E"/>
    <w:rsid w:val="02643A83"/>
    <w:rsid w:val="02895B83"/>
    <w:rsid w:val="028D5CF6"/>
    <w:rsid w:val="02A227A1"/>
    <w:rsid w:val="02B40324"/>
    <w:rsid w:val="02F70658"/>
    <w:rsid w:val="032A2EC2"/>
    <w:rsid w:val="035518BC"/>
    <w:rsid w:val="037324D4"/>
    <w:rsid w:val="03ED3C83"/>
    <w:rsid w:val="04021749"/>
    <w:rsid w:val="041977DC"/>
    <w:rsid w:val="04242305"/>
    <w:rsid w:val="0438165A"/>
    <w:rsid w:val="048A7E0F"/>
    <w:rsid w:val="049F51EA"/>
    <w:rsid w:val="04DA41D1"/>
    <w:rsid w:val="04EC1C1E"/>
    <w:rsid w:val="05065269"/>
    <w:rsid w:val="05131110"/>
    <w:rsid w:val="05173E06"/>
    <w:rsid w:val="051C4A8C"/>
    <w:rsid w:val="051E7E43"/>
    <w:rsid w:val="0523406D"/>
    <w:rsid w:val="05432019"/>
    <w:rsid w:val="058F54C3"/>
    <w:rsid w:val="05942874"/>
    <w:rsid w:val="05EA2DDC"/>
    <w:rsid w:val="061D189E"/>
    <w:rsid w:val="062E0F1B"/>
    <w:rsid w:val="062F259D"/>
    <w:rsid w:val="069468A4"/>
    <w:rsid w:val="06D82C35"/>
    <w:rsid w:val="06EE64D1"/>
    <w:rsid w:val="06F9527E"/>
    <w:rsid w:val="07554285"/>
    <w:rsid w:val="076A692C"/>
    <w:rsid w:val="078D46B6"/>
    <w:rsid w:val="08220B22"/>
    <w:rsid w:val="082500FC"/>
    <w:rsid w:val="08642A84"/>
    <w:rsid w:val="087347E9"/>
    <w:rsid w:val="088510E9"/>
    <w:rsid w:val="08930373"/>
    <w:rsid w:val="08D538D0"/>
    <w:rsid w:val="090D306A"/>
    <w:rsid w:val="095962AF"/>
    <w:rsid w:val="098F0310"/>
    <w:rsid w:val="099C619C"/>
    <w:rsid w:val="09C94AB7"/>
    <w:rsid w:val="09E638BB"/>
    <w:rsid w:val="09FA45BB"/>
    <w:rsid w:val="0A106E52"/>
    <w:rsid w:val="0A4B072B"/>
    <w:rsid w:val="0A4D7496"/>
    <w:rsid w:val="0A654B38"/>
    <w:rsid w:val="0AE8346F"/>
    <w:rsid w:val="0AFD2C6A"/>
    <w:rsid w:val="0B1E67ED"/>
    <w:rsid w:val="0B1F52D6"/>
    <w:rsid w:val="0B261F6D"/>
    <w:rsid w:val="0B3F14D4"/>
    <w:rsid w:val="0B582596"/>
    <w:rsid w:val="0B633415"/>
    <w:rsid w:val="0B7F5D75"/>
    <w:rsid w:val="0B845139"/>
    <w:rsid w:val="0BA92DF2"/>
    <w:rsid w:val="0BCD088E"/>
    <w:rsid w:val="0BE300B2"/>
    <w:rsid w:val="0C3A5E6D"/>
    <w:rsid w:val="0C3E2F4E"/>
    <w:rsid w:val="0C6045BA"/>
    <w:rsid w:val="0CC6434A"/>
    <w:rsid w:val="0CCB1AFA"/>
    <w:rsid w:val="0D01331A"/>
    <w:rsid w:val="0D074274"/>
    <w:rsid w:val="0D50780E"/>
    <w:rsid w:val="0D523741"/>
    <w:rsid w:val="0D661734"/>
    <w:rsid w:val="0DB932C3"/>
    <w:rsid w:val="0DDC39BE"/>
    <w:rsid w:val="0E71362A"/>
    <w:rsid w:val="0E7C2FAE"/>
    <w:rsid w:val="0EBB26B7"/>
    <w:rsid w:val="0F225FCD"/>
    <w:rsid w:val="0F3D3F7D"/>
    <w:rsid w:val="0F5B0E14"/>
    <w:rsid w:val="0F691BCC"/>
    <w:rsid w:val="0F930041"/>
    <w:rsid w:val="0F9A4F2B"/>
    <w:rsid w:val="0FB00BF3"/>
    <w:rsid w:val="0FBD7F24"/>
    <w:rsid w:val="0FD555C5"/>
    <w:rsid w:val="10005107"/>
    <w:rsid w:val="10594010"/>
    <w:rsid w:val="10CF48B0"/>
    <w:rsid w:val="10EB4B62"/>
    <w:rsid w:val="111B6540"/>
    <w:rsid w:val="114415F3"/>
    <w:rsid w:val="11577442"/>
    <w:rsid w:val="11E13435"/>
    <w:rsid w:val="123816C5"/>
    <w:rsid w:val="126D5B51"/>
    <w:rsid w:val="13223BB5"/>
    <w:rsid w:val="132D4308"/>
    <w:rsid w:val="13485BC7"/>
    <w:rsid w:val="134F427F"/>
    <w:rsid w:val="137464C8"/>
    <w:rsid w:val="13A04ADA"/>
    <w:rsid w:val="13B642FE"/>
    <w:rsid w:val="13E261BB"/>
    <w:rsid w:val="13F228E1"/>
    <w:rsid w:val="13FA41EA"/>
    <w:rsid w:val="14103628"/>
    <w:rsid w:val="143F4E9A"/>
    <w:rsid w:val="1461426A"/>
    <w:rsid w:val="14AC3995"/>
    <w:rsid w:val="15284D87"/>
    <w:rsid w:val="156009C5"/>
    <w:rsid w:val="15CC5087"/>
    <w:rsid w:val="15D12A61"/>
    <w:rsid w:val="16315EBE"/>
    <w:rsid w:val="16525A27"/>
    <w:rsid w:val="16644751"/>
    <w:rsid w:val="16716374"/>
    <w:rsid w:val="16CA1DBC"/>
    <w:rsid w:val="172B2511"/>
    <w:rsid w:val="175B7522"/>
    <w:rsid w:val="178D35C8"/>
    <w:rsid w:val="180169FF"/>
    <w:rsid w:val="181C6FA4"/>
    <w:rsid w:val="18323EC4"/>
    <w:rsid w:val="18506ACF"/>
    <w:rsid w:val="1855407B"/>
    <w:rsid w:val="18AA14B5"/>
    <w:rsid w:val="18EF453A"/>
    <w:rsid w:val="190478B9"/>
    <w:rsid w:val="19573D65"/>
    <w:rsid w:val="195E303D"/>
    <w:rsid w:val="19964A87"/>
    <w:rsid w:val="199E386A"/>
    <w:rsid w:val="1A2E5179"/>
    <w:rsid w:val="1A2F6BB8"/>
    <w:rsid w:val="1ACD03D0"/>
    <w:rsid w:val="1ADA4D76"/>
    <w:rsid w:val="1AFE4700"/>
    <w:rsid w:val="1B18764C"/>
    <w:rsid w:val="1B39232B"/>
    <w:rsid w:val="1B395F40"/>
    <w:rsid w:val="1B571550"/>
    <w:rsid w:val="1B6E6027"/>
    <w:rsid w:val="1B7E29CE"/>
    <w:rsid w:val="1B811695"/>
    <w:rsid w:val="1B9C202B"/>
    <w:rsid w:val="1BD31A97"/>
    <w:rsid w:val="1BEF4851"/>
    <w:rsid w:val="1C3F7586"/>
    <w:rsid w:val="1CDC3027"/>
    <w:rsid w:val="1CFB7D84"/>
    <w:rsid w:val="1CFE082C"/>
    <w:rsid w:val="1D2A4A7A"/>
    <w:rsid w:val="1D813BCE"/>
    <w:rsid w:val="1E0D2365"/>
    <w:rsid w:val="1E122E0A"/>
    <w:rsid w:val="1EE31FE2"/>
    <w:rsid w:val="1F070103"/>
    <w:rsid w:val="1F365409"/>
    <w:rsid w:val="1F93258C"/>
    <w:rsid w:val="1FBB735E"/>
    <w:rsid w:val="20C718F8"/>
    <w:rsid w:val="20CC3122"/>
    <w:rsid w:val="20E1285C"/>
    <w:rsid w:val="20E64474"/>
    <w:rsid w:val="21360D21"/>
    <w:rsid w:val="21564C0E"/>
    <w:rsid w:val="21585BEA"/>
    <w:rsid w:val="215F11DA"/>
    <w:rsid w:val="219A0DBB"/>
    <w:rsid w:val="21AB2FC8"/>
    <w:rsid w:val="21DE339D"/>
    <w:rsid w:val="21E67365"/>
    <w:rsid w:val="229609E2"/>
    <w:rsid w:val="22A96E9C"/>
    <w:rsid w:val="234E00AF"/>
    <w:rsid w:val="239D4B92"/>
    <w:rsid w:val="23AB3753"/>
    <w:rsid w:val="24961512"/>
    <w:rsid w:val="24EB6AEB"/>
    <w:rsid w:val="25973F8F"/>
    <w:rsid w:val="25CC4F38"/>
    <w:rsid w:val="25F326AB"/>
    <w:rsid w:val="2608452A"/>
    <w:rsid w:val="26407CBE"/>
    <w:rsid w:val="265D1FE9"/>
    <w:rsid w:val="26832064"/>
    <w:rsid w:val="26B91CE3"/>
    <w:rsid w:val="26BB4AC7"/>
    <w:rsid w:val="27071029"/>
    <w:rsid w:val="273D46C2"/>
    <w:rsid w:val="27640A69"/>
    <w:rsid w:val="27A72484"/>
    <w:rsid w:val="27F05B4B"/>
    <w:rsid w:val="280B7BC3"/>
    <w:rsid w:val="280C0C27"/>
    <w:rsid w:val="28285372"/>
    <w:rsid w:val="2831453A"/>
    <w:rsid w:val="28321D4D"/>
    <w:rsid w:val="28656FD8"/>
    <w:rsid w:val="288C6AD8"/>
    <w:rsid w:val="28A33565"/>
    <w:rsid w:val="28CD1A76"/>
    <w:rsid w:val="28EB309B"/>
    <w:rsid w:val="293E4722"/>
    <w:rsid w:val="295F4405"/>
    <w:rsid w:val="297F67B7"/>
    <w:rsid w:val="29961F4F"/>
    <w:rsid w:val="29AD6A53"/>
    <w:rsid w:val="29C260E8"/>
    <w:rsid w:val="2A5341FD"/>
    <w:rsid w:val="2A703635"/>
    <w:rsid w:val="2A9767DF"/>
    <w:rsid w:val="2AEA0882"/>
    <w:rsid w:val="2AFA6A0E"/>
    <w:rsid w:val="2AFB6B00"/>
    <w:rsid w:val="2B2717FD"/>
    <w:rsid w:val="2BC2788C"/>
    <w:rsid w:val="2BE23C26"/>
    <w:rsid w:val="2BFC063C"/>
    <w:rsid w:val="2C106849"/>
    <w:rsid w:val="2C1125C1"/>
    <w:rsid w:val="2C1D5DE7"/>
    <w:rsid w:val="2C260669"/>
    <w:rsid w:val="2C2E3173"/>
    <w:rsid w:val="2C3C763E"/>
    <w:rsid w:val="2CC41A40"/>
    <w:rsid w:val="2D0D0574"/>
    <w:rsid w:val="2D5974D9"/>
    <w:rsid w:val="2D662499"/>
    <w:rsid w:val="2D7921BC"/>
    <w:rsid w:val="2D80355B"/>
    <w:rsid w:val="2DC17DF1"/>
    <w:rsid w:val="2DD10FEB"/>
    <w:rsid w:val="2DE27D71"/>
    <w:rsid w:val="2DEF248E"/>
    <w:rsid w:val="2E0917A2"/>
    <w:rsid w:val="2E610D97"/>
    <w:rsid w:val="2ED96F6C"/>
    <w:rsid w:val="2F792957"/>
    <w:rsid w:val="2F911BA3"/>
    <w:rsid w:val="2FF4615F"/>
    <w:rsid w:val="302A3C52"/>
    <w:rsid w:val="30504625"/>
    <w:rsid w:val="30BF2F99"/>
    <w:rsid w:val="3112725D"/>
    <w:rsid w:val="31336B36"/>
    <w:rsid w:val="314F6518"/>
    <w:rsid w:val="322C0553"/>
    <w:rsid w:val="322D7C32"/>
    <w:rsid w:val="32693E9D"/>
    <w:rsid w:val="32A74495"/>
    <w:rsid w:val="333F5C66"/>
    <w:rsid w:val="33457909"/>
    <w:rsid w:val="336C6619"/>
    <w:rsid w:val="33CF2B80"/>
    <w:rsid w:val="33EA24F9"/>
    <w:rsid w:val="340B1193"/>
    <w:rsid w:val="34120C85"/>
    <w:rsid w:val="34261C83"/>
    <w:rsid w:val="342B527A"/>
    <w:rsid w:val="343E7C43"/>
    <w:rsid w:val="34433534"/>
    <w:rsid w:val="34525525"/>
    <w:rsid w:val="34C603ED"/>
    <w:rsid w:val="34CA77B1"/>
    <w:rsid w:val="34CB557D"/>
    <w:rsid w:val="34EF5FE5"/>
    <w:rsid w:val="354A43B8"/>
    <w:rsid w:val="35505F08"/>
    <w:rsid w:val="35AF4F58"/>
    <w:rsid w:val="361372D3"/>
    <w:rsid w:val="36BF3346"/>
    <w:rsid w:val="36C2682C"/>
    <w:rsid w:val="36C505FA"/>
    <w:rsid w:val="36CE17DB"/>
    <w:rsid w:val="36E55A25"/>
    <w:rsid w:val="379C7877"/>
    <w:rsid w:val="37F737C1"/>
    <w:rsid w:val="37F91C46"/>
    <w:rsid w:val="38062DFD"/>
    <w:rsid w:val="383E3548"/>
    <w:rsid w:val="38B82803"/>
    <w:rsid w:val="39445D84"/>
    <w:rsid w:val="39AE268B"/>
    <w:rsid w:val="39B5458C"/>
    <w:rsid w:val="3A175247"/>
    <w:rsid w:val="3A9479A4"/>
    <w:rsid w:val="3B3A743F"/>
    <w:rsid w:val="3B8A40E5"/>
    <w:rsid w:val="3B8E3F34"/>
    <w:rsid w:val="3BB566FB"/>
    <w:rsid w:val="3C035789"/>
    <w:rsid w:val="3C282AB7"/>
    <w:rsid w:val="3C393AF1"/>
    <w:rsid w:val="3C4D3370"/>
    <w:rsid w:val="3C5A5E37"/>
    <w:rsid w:val="3C690AF6"/>
    <w:rsid w:val="3E173A67"/>
    <w:rsid w:val="3E29379B"/>
    <w:rsid w:val="3E79027E"/>
    <w:rsid w:val="3E963A17"/>
    <w:rsid w:val="3EEB0A50"/>
    <w:rsid w:val="3EFA095A"/>
    <w:rsid w:val="3F057D64"/>
    <w:rsid w:val="3F077E26"/>
    <w:rsid w:val="3F9101E1"/>
    <w:rsid w:val="3FB83028"/>
    <w:rsid w:val="3FE3550E"/>
    <w:rsid w:val="3FF1653A"/>
    <w:rsid w:val="3FFD6511"/>
    <w:rsid w:val="40067DD0"/>
    <w:rsid w:val="400A3AE5"/>
    <w:rsid w:val="40181D19"/>
    <w:rsid w:val="40664832"/>
    <w:rsid w:val="4070361F"/>
    <w:rsid w:val="4084115C"/>
    <w:rsid w:val="40B437EF"/>
    <w:rsid w:val="40F26894"/>
    <w:rsid w:val="412C2D7C"/>
    <w:rsid w:val="415D0E0E"/>
    <w:rsid w:val="41FD63BD"/>
    <w:rsid w:val="42275B21"/>
    <w:rsid w:val="422F1A92"/>
    <w:rsid w:val="42334A44"/>
    <w:rsid w:val="424A252A"/>
    <w:rsid w:val="42554B5E"/>
    <w:rsid w:val="42664FBD"/>
    <w:rsid w:val="428077E7"/>
    <w:rsid w:val="429C39D4"/>
    <w:rsid w:val="42A23741"/>
    <w:rsid w:val="42D73F8A"/>
    <w:rsid w:val="42E67EAC"/>
    <w:rsid w:val="4326545A"/>
    <w:rsid w:val="437071B8"/>
    <w:rsid w:val="447F0A90"/>
    <w:rsid w:val="450B59A8"/>
    <w:rsid w:val="452B268D"/>
    <w:rsid w:val="45857508"/>
    <w:rsid w:val="45870818"/>
    <w:rsid w:val="458B0897"/>
    <w:rsid w:val="45BC3156"/>
    <w:rsid w:val="45DE4D0C"/>
    <w:rsid w:val="45E37C70"/>
    <w:rsid w:val="460333ED"/>
    <w:rsid w:val="460429AE"/>
    <w:rsid w:val="466452EE"/>
    <w:rsid w:val="466A3001"/>
    <w:rsid w:val="468B24C4"/>
    <w:rsid w:val="46AE2A8F"/>
    <w:rsid w:val="46CD0992"/>
    <w:rsid w:val="46D36999"/>
    <w:rsid w:val="46E75FA1"/>
    <w:rsid w:val="47150D60"/>
    <w:rsid w:val="472D60AA"/>
    <w:rsid w:val="47DE7A66"/>
    <w:rsid w:val="48032416"/>
    <w:rsid w:val="480C40F9"/>
    <w:rsid w:val="48AC1250"/>
    <w:rsid w:val="48D57B69"/>
    <w:rsid w:val="490966A2"/>
    <w:rsid w:val="495F570C"/>
    <w:rsid w:val="499C5552"/>
    <w:rsid w:val="49F63008"/>
    <w:rsid w:val="4A8A3813"/>
    <w:rsid w:val="4AAC3B29"/>
    <w:rsid w:val="4ADF1E66"/>
    <w:rsid w:val="4AE1736F"/>
    <w:rsid w:val="4B01400A"/>
    <w:rsid w:val="4B106D08"/>
    <w:rsid w:val="4B2477C4"/>
    <w:rsid w:val="4B331574"/>
    <w:rsid w:val="4B6B71A0"/>
    <w:rsid w:val="4B736862"/>
    <w:rsid w:val="4BB42F95"/>
    <w:rsid w:val="4BC96D0E"/>
    <w:rsid w:val="4C17236E"/>
    <w:rsid w:val="4C6D08C9"/>
    <w:rsid w:val="4C934C01"/>
    <w:rsid w:val="4C935770"/>
    <w:rsid w:val="4D1070FA"/>
    <w:rsid w:val="4D265A75"/>
    <w:rsid w:val="4D6B16DA"/>
    <w:rsid w:val="4D6D61F0"/>
    <w:rsid w:val="4DCC72EB"/>
    <w:rsid w:val="4DCF7EBB"/>
    <w:rsid w:val="4DDD7F77"/>
    <w:rsid w:val="4DE83B09"/>
    <w:rsid w:val="4DF96696"/>
    <w:rsid w:val="4E2D0C6E"/>
    <w:rsid w:val="4E7B78F8"/>
    <w:rsid w:val="4E8D5680"/>
    <w:rsid w:val="4E960CC2"/>
    <w:rsid w:val="4ED132E2"/>
    <w:rsid w:val="4EE23C1E"/>
    <w:rsid w:val="4F6D7601"/>
    <w:rsid w:val="4F701229"/>
    <w:rsid w:val="4FD64D1E"/>
    <w:rsid w:val="4FDD43E5"/>
    <w:rsid w:val="503264DF"/>
    <w:rsid w:val="50746AF7"/>
    <w:rsid w:val="50A54F03"/>
    <w:rsid w:val="5133250E"/>
    <w:rsid w:val="518034F0"/>
    <w:rsid w:val="51926DC4"/>
    <w:rsid w:val="52392A02"/>
    <w:rsid w:val="524E5126"/>
    <w:rsid w:val="52D970E6"/>
    <w:rsid w:val="53410DB5"/>
    <w:rsid w:val="53771B91"/>
    <w:rsid w:val="53802F12"/>
    <w:rsid w:val="539A4AC7"/>
    <w:rsid w:val="53AF759D"/>
    <w:rsid w:val="53C03EE3"/>
    <w:rsid w:val="53C87D6E"/>
    <w:rsid w:val="54134879"/>
    <w:rsid w:val="541B6431"/>
    <w:rsid w:val="54A24ABB"/>
    <w:rsid w:val="54B27719"/>
    <w:rsid w:val="54B42A38"/>
    <w:rsid w:val="54D15217"/>
    <w:rsid w:val="54DF1B14"/>
    <w:rsid w:val="54ED6E78"/>
    <w:rsid w:val="551268DF"/>
    <w:rsid w:val="553625CD"/>
    <w:rsid w:val="557B4484"/>
    <w:rsid w:val="55803910"/>
    <w:rsid w:val="558F7F2F"/>
    <w:rsid w:val="559D2D5A"/>
    <w:rsid w:val="55AB0BB8"/>
    <w:rsid w:val="55E6265A"/>
    <w:rsid w:val="55F229E4"/>
    <w:rsid w:val="56207AD6"/>
    <w:rsid w:val="56260894"/>
    <w:rsid w:val="564973B9"/>
    <w:rsid w:val="56504FD3"/>
    <w:rsid w:val="56AA588E"/>
    <w:rsid w:val="56B20379"/>
    <w:rsid w:val="56C0608C"/>
    <w:rsid w:val="56CB3E6B"/>
    <w:rsid w:val="57305C46"/>
    <w:rsid w:val="575845EB"/>
    <w:rsid w:val="57BF49D2"/>
    <w:rsid w:val="58057B71"/>
    <w:rsid w:val="5813131E"/>
    <w:rsid w:val="584C3D7B"/>
    <w:rsid w:val="587A1231"/>
    <w:rsid w:val="58825FE5"/>
    <w:rsid w:val="589E6E07"/>
    <w:rsid w:val="58D6267C"/>
    <w:rsid w:val="596F2552"/>
    <w:rsid w:val="59C83A10"/>
    <w:rsid w:val="5AB82B34"/>
    <w:rsid w:val="5AC8106C"/>
    <w:rsid w:val="5AE911CE"/>
    <w:rsid w:val="5AEA0608"/>
    <w:rsid w:val="5B4C7F0D"/>
    <w:rsid w:val="5B557697"/>
    <w:rsid w:val="5B767BC7"/>
    <w:rsid w:val="5B8F6EDB"/>
    <w:rsid w:val="5B966AE0"/>
    <w:rsid w:val="5BF136F2"/>
    <w:rsid w:val="5C4D5E95"/>
    <w:rsid w:val="5CE2494E"/>
    <w:rsid w:val="5D5B277F"/>
    <w:rsid w:val="5D996534"/>
    <w:rsid w:val="5DB43DEE"/>
    <w:rsid w:val="5DC56BE4"/>
    <w:rsid w:val="5DDC3887"/>
    <w:rsid w:val="5DF43025"/>
    <w:rsid w:val="5E1E0C90"/>
    <w:rsid w:val="5E3801BD"/>
    <w:rsid w:val="5E3C7126"/>
    <w:rsid w:val="5E770C09"/>
    <w:rsid w:val="5ECE44F3"/>
    <w:rsid w:val="5F1A5D6D"/>
    <w:rsid w:val="5F2B72F2"/>
    <w:rsid w:val="5F7B7460"/>
    <w:rsid w:val="5F893516"/>
    <w:rsid w:val="5F90049A"/>
    <w:rsid w:val="5FB65CC1"/>
    <w:rsid w:val="601133A3"/>
    <w:rsid w:val="601D7F51"/>
    <w:rsid w:val="60367367"/>
    <w:rsid w:val="60454CDA"/>
    <w:rsid w:val="605E50CE"/>
    <w:rsid w:val="60651FB9"/>
    <w:rsid w:val="60E94998"/>
    <w:rsid w:val="6110461A"/>
    <w:rsid w:val="61186D8B"/>
    <w:rsid w:val="611D0AE5"/>
    <w:rsid w:val="61377DF9"/>
    <w:rsid w:val="6159248A"/>
    <w:rsid w:val="617304B8"/>
    <w:rsid w:val="61B6561E"/>
    <w:rsid w:val="61C97C73"/>
    <w:rsid w:val="61D03DA9"/>
    <w:rsid w:val="622E6543"/>
    <w:rsid w:val="624D53FA"/>
    <w:rsid w:val="62607CF0"/>
    <w:rsid w:val="62764951"/>
    <w:rsid w:val="628D200B"/>
    <w:rsid w:val="62944DD7"/>
    <w:rsid w:val="629D4D16"/>
    <w:rsid w:val="62B33B05"/>
    <w:rsid w:val="62EA49F7"/>
    <w:rsid w:val="62F03A44"/>
    <w:rsid w:val="62F13FD7"/>
    <w:rsid w:val="630635AD"/>
    <w:rsid w:val="63112BE8"/>
    <w:rsid w:val="632E0D88"/>
    <w:rsid w:val="63556314"/>
    <w:rsid w:val="639C40D8"/>
    <w:rsid w:val="63AD6150"/>
    <w:rsid w:val="642357DD"/>
    <w:rsid w:val="64C029C4"/>
    <w:rsid w:val="64E44287"/>
    <w:rsid w:val="64F07379"/>
    <w:rsid w:val="65444892"/>
    <w:rsid w:val="65634201"/>
    <w:rsid w:val="65C9123C"/>
    <w:rsid w:val="65F509DC"/>
    <w:rsid w:val="66BA0A02"/>
    <w:rsid w:val="66BF7866"/>
    <w:rsid w:val="66C90D33"/>
    <w:rsid w:val="66F64DF0"/>
    <w:rsid w:val="672E19F4"/>
    <w:rsid w:val="67530DBD"/>
    <w:rsid w:val="67A1421E"/>
    <w:rsid w:val="67A44ADE"/>
    <w:rsid w:val="67B6382D"/>
    <w:rsid w:val="67C43A69"/>
    <w:rsid w:val="67D0240D"/>
    <w:rsid w:val="68266B32"/>
    <w:rsid w:val="68470791"/>
    <w:rsid w:val="68551673"/>
    <w:rsid w:val="685601A2"/>
    <w:rsid w:val="685646C3"/>
    <w:rsid w:val="688B27D8"/>
    <w:rsid w:val="68F126FC"/>
    <w:rsid w:val="695A0B28"/>
    <w:rsid w:val="696F20FA"/>
    <w:rsid w:val="698A6F34"/>
    <w:rsid w:val="69AC6EAA"/>
    <w:rsid w:val="69DB2379"/>
    <w:rsid w:val="69E95ADD"/>
    <w:rsid w:val="6A0F7894"/>
    <w:rsid w:val="6A18009C"/>
    <w:rsid w:val="6AAB2B20"/>
    <w:rsid w:val="6B013226"/>
    <w:rsid w:val="6B075135"/>
    <w:rsid w:val="6B102C06"/>
    <w:rsid w:val="6B852D17"/>
    <w:rsid w:val="6B9C3502"/>
    <w:rsid w:val="6BB169FA"/>
    <w:rsid w:val="6BC2189C"/>
    <w:rsid w:val="6BC229E3"/>
    <w:rsid w:val="6C150D37"/>
    <w:rsid w:val="6C315445"/>
    <w:rsid w:val="6C47110C"/>
    <w:rsid w:val="6C4742BF"/>
    <w:rsid w:val="6C6A4EE1"/>
    <w:rsid w:val="6C821732"/>
    <w:rsid w:val="6CB0115C"/>
    <w:rsid w:val="6CCD33BF"/>
    <w:rsid w:val="6D1C30FD"/>
    <w:rsid w:val="6D3E42BD"/>
    <w:rsid w:val="6DC5678C"/>
    <w:rsid w:val="6DCC7F54"/>
    <w:rsid w:val="6DD8221D"/>
    <w:rsid w:val="6DE44419"/>
    <w:rsid w:val="6DFE0386"/>
    <w:rsid w:val="6E000842"/>
    <w:rsid w:val="6E146DCC"/>
    <w:rsid w:val="6E556AB1"/>
    <w:rsid w:val="6EBA5BC5"/>
    <w:rsid w:val="6F1A6664"/>
    <w:rsid w:val="6F313AA3"/>
    <w:rsid w:val="6F4B60A1"/>
    <w:rsid w:val="6F53759C"/>
    <w:rsid w:val="6F806E0F"/>
    <w:rsid w:val="700A66D9"/>
    <w:rsid w:val="70CB5E68"/>
    <w:rsid w:val="71092E69"/>
    <w:rsid w:val="713752AB"/>
    <w:rsid w:val="719A4166"/>
    <w:rsid w:val="71AC3EEB"/>
    <w:rsid w:val="71D44742"/>
    <w:rsid w:val="721970A7"/>
    <w:rsid w:val="72804BA0"/>
    <w:rsid w:val="72850298"/>
    <w:rsid w:val="73133F4E"/>
    <w:rsid w:val="733C25BC"/>
    <w:rsid w:val="735F6D3B"/>
    <w:rsid w:val="73BE3A62"/>
    <w:rsid w:val="741B0EB4"/>
    <w:rsid w:val="744A0D94"/>
    <w:rsid w:val="74BF4E7C"/>
    <w:rsid w:val="74E0571E"/>
    <w:rsid w:val="74E264FF"/>
    <w:rsid w:val="753D7F8A"/>
    <w:rsid w:val="75490E93"/>
    <w:rsid w:val="755D72AA"/>
    <w:rsid w:val="756E05A8"/>
    <w:rsid w:val="759A405B"/>
    <w:rsid w:val="75FB1EE2"/>
    <w:rsid w:val="76465F91"/>
    <w:rsid w:val="766331F3"/>
    <w:rsid w:val="76A96C4B"/>
    <w:rsid w:val="76AE6010"/>
    <w:rsid w:val="76F70FA0"/>
    <w:rsid w:val="7708522E"/>
    <w:rsid w:val="771E3465"/>
    <w:rsid w:val="777F79AC"/>
    <w:rsid w:val="77D575CC"/>
    <w:rsid w:val="78056103"/>
    <w:rsid w:val="7847671C"/>
    <w:rsid w:val="78886285"/>
    <w:rsid w:val="788A0429"/>
    <w:rsid w:val="7893023F"/>
    <w:rsid w:val="789456D9"/>
    <w:rsid w:val="798C015E"/>
    <w:rsid w:val="79A822E4"/>
    <w:rsid w:val="79B8163E"/>
    <w:rsid w:val="79BC316C"/>
    <w:rsid w:val="79C8388C"/>
    <w:rsid w:val="79E81DD8"/>
    <w:rsid w:val="79F035F9"/>
    <w:rsid w:val="7A09605E"/>
    <w:rsid w:val="7A940589"/>
    <w:rsid w:val="7AFA28B3"/>
    <w:rsid w:val="7B262917"/>
    <w:rsid w:val="7B564EC8"/>
    <w:rsid w:val="7BA07146"/>
    <w:rsid w:val="7BB045D8"/>
    <w:rsid w:val="7BBA68AF"/>
    <w:rsid w:val="7BBC11CF"/>
    <w:rsid w:val="7BBC518E"/>
    <w:rsid w:val="7C3F770A"/>
    <w:rsid w:val="7C4864CC"/>
    <w:rsid w:val="7C893BCF"/>
    <w:rsid w:val="7CFD6611"/>
    <w:rsid w:val="7D643D48"/>
    <w:rsid w:val="7DDD0FC8"/>
    <w:rsid w:val="7E374B3D"/>
    <w:rsid w:val="7E3C0588"/>
    <w:rsid w:val="7E494870"/>
    <w:rsid w:val="7E5848EF"/>
    <w:rsid w:val="7E843514"/>
    <w:rsid w:val="7ECF2FC7"/>
    <w:rsid w:val="7ED62DD2"/>
    <w:rsid w:val="7F0B7D77"/>
    <w:rsid w:val="7F475253"/>
    <w:rsid w:val="7F533BF8"/>
    <w:rsid w:val="7F7C055A"/>
    <w:rsid w:val="7F912972"/>
    <w:rsid w:val="7FDD2E6E"/>
    <w:rsid w:val="7FF30F37"/>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99" w:semiHidden="0" w:name="Normal Indent"/>
    <w:lsdException w:uiPriority="99" w:name="footnote text"/>
    <w:lsdException w:qFormat="1" w:uiPriority="0" w:semiHidden="0" w:name="annotation text"/>
    <w:lsdException w:qFormat="1" w:uiPriority="99"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qFormat="1" w:uiPriority="99" w:semiHidden="0"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46"/>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49"/>
    <w:qFormat/>
    <w:uiPriority w:val="9"/>
    <w:pPr>
      <w:keepNext/>
      <w:keepLines/>
      <w:spacing w:before="260" w:after="260" w:line="416" w:lineRule="auto"/>
      <w:outlineLvl w:val="1"/>
    </w:pPr>
    <w:rPr>
      <w:rFonts w:ascii="Arial" w:hAnsi="Arial" w:eastAsia="黑体"/>
      <w:b/>
      <w:bCs/>
      <w:sz w:val="32"/>
      <w:szCs w:val="32"/>
    </w:rPr>
  </w:style>
  <w:style w:type="paragraph" w:styleId="5">
    <w:name w:val="heading 3"/>
    <w:basedOn w:val="1"/>
    <w:next w:val="6"/>
    <w:link w:val="50"/>
    <w:qFormat/>
    <w:uiPriority w:val="0"/>
    <w:pPr>
      <w:keepNext/>
      <w:keepLines/>
      <w:autoSpaceDE w:val="0"/>
      <w:autoSpaceDN w:val="0"/>
      <w:adjustRightInd w:val="0"/>
      <w:spacing w:before="120" w:after="120" w:line="416" w:lineRule="atLeast"/>
      <w:outlineLvl w:val="2"/>
    </w:pPr>
    <w:rPr>
      <w:rFonts w:ascii="黑体" w:eastAsia="黑体"/>
      <w:kern w:val="0"/>
      <w:sz w:val="28"/>
      <w:szCs w:val="20"/>
    </w:rPr>
  </w:style>
  <w:style w:type="paragraph" w:styleId="7">
    <w:name w:val="heading 4"/>
    <w:basedOn w:val="1"/>
    <w:next w:val="1"/>
    <w:link w:val="51"/>
    <w:qFormat/>
    <w:uiPriority w:val="0"/>
    <w:pPr>
      <w:keepNext/>
      <w:outlineLvl w:val="3"/>
    </w:pPr>
    <w:rPr>
      <w:sz w:val="28"/>
      <w:szCs w:val="20"/>
    </w:rPr>
  </w:style>
  <w:style w:type="paragraph" w:styleId="8">
    <w:name w:val="heading 5"/>
    <w:basedOn w:val="1"/>
    <w:next w:val="1"/>
    <w:link w:val="52"/>
    <w:qFormat/>
    <w:uiPriority w:val="0"/>
    <w:pPr>
      <w:keepNext/>
      <w:keepLines/>
      <w:spacing w:before="280" w:after="290" w:line="376" w:lineRule="auto"/>
      <w:outlineLvl w:val="4"/>
    </w:pPr>
    <w:rPr>
      <w:b/>
      <w:bCs/>
      <w:sz w:val="28"/>
      <w:szCs w:val="28"/>
    </w:rPr>
  </w:style>
  <w:style w:type="paragraph" w:styleId="9">
    <w:name w:val="heading 6"/>
    <w:basedOn w:val="1"/>
    <w:next w:val="1"/>
    <w:link w:val="53"/>
    <w:qFormat/>
    <w:uiPriority w:val="0"/>
    <w:pPr>
      <w:keepNext/>
      <w:keepLines/>
      <w:spacing w:before="240" w:after="64" w:line="320" w:lineRule="auto"/>
      <w:outlineLvl w:val="5"/>
    </w:pPr>
    <w:rPr>
      <w:rFonts w:ascii="Arial" w:hAnsi="Arial" w:eastAsia="黑体"/>
      <w:b/>
      <w:bCs/>
      <w:sz w:val="24"/>
    </w:rPr>
  </w:style>
  <w:style w:type="paragraph" w:styleId="10">
    <w:name w:val="heading 7"/>
    <w:basedOn w:val="1"/>
    <w:next w:val="1"/>
    <w:link w:val="54"/>
    <w:qFormat/>
    <w:uiPriority w:val="0"/>
    <w:pPr>
      <w:keepNext/>
      <w:keepLines/>
      <w:spacing w:before="240" w:after="64" w:line="320" w:lineRule="auto"/>
      <w:outlineLvl w:val="6"/>
    </w:pPr>
    <w:rPr>
      <w:b/>
      <w:bCs/>
      <w:sz w:val="24"/>
    </w:rPr>
  </w:style>
  <w:style w:type="paragraph" w:styleId="11">
    <w:name w:val="heading 8"/>
    <w:basedOn w:val="1"/>
    <w:next w:val="1"/>
    <w:link w:val="55"/>
    <w:qFormat/>
    <w:uiPriority w:val="0"/>
    <w:pPr>
      <w:keepNext/>
      <w:keepLines/>
      <w:spacing w:before="240" w:after="64" w:line="320" w:lineRule="auto"/>
      <w:outlineLvl w:val="7"/>
    </w:pPr>
    <w:rPr>
      <w:rFonts w:ascii="Arial" w:hAnsi="Arial" w:eastAsia="黑体"/>
      <w:sz w:val="24"/>
    </w:rPr>
  </w:style>
  <w:style w:type="paragraph" w:styleId="12">
    <w:name w:val="heading 9"/>
    <w:basedOn w:val="1"/>
    <w:next w:val="1"/>
    <w:link w:val="56"/>
    <w:qFormat/>
    <w:uiPriority w:val="0"/>
    <w:pPr>
      <w:keepNext/>
      <w:keepLines/>
      <w:spacing w:before="240" w:after="64" w:line="320" w:lineRule="auto"/>
      <w:outlineLvl w:val="8"/>
    </w:pPr>
    <w:rPr>
      <w:rFonts w:ascii="Arial" w:hAnsi="Arial" w:eastAsia="黑体"/>
      <w:szCs w:val="21"/>
    </w:rPr>
  </w:style>
  <w:style w:type="character" w:default="1" w:styleId="39">
    <w:name w:val="Default Paragraph Font"/>
    <w:unhideWhenUsed/>
    <w:qFormat/>
    <w:uiPriority w:val="1"/>
  </w:style>
  <w:style w:type="table" w:default="1" w:styleId="37">
    <w:name w:val="Normal Table"/>
    <w:unhideWhenUsed/>
    <w:qFormat/>
    <w:uiPriority w:val="99"/>
    <w:tblPr>
      <w:tblCellMar>
        <w:top w:w="0" w:type="dxa"/>
        <w:left w:w="108" w:type="dxa"/>
        <w:bottom w:w="0" w:type="dxa"/>
        <w:right w:w="108" w:type="dxa"/>
      </w:tblCellMar>
    </w:tblPr>
  </w:style>
  <w:style w:type="paragraph" w:styleId="2">
    <w:name w:val="Body Text"/>
    <w:basedOn w:val="1"/>
    <w:link w:val="62"/>
    <w:qFormat/>
    <w:uiPriority w:val="0"/>
    <w:rPr>
      <w:sz w:val="28"/>
      <w:szCs w:val="20"/>
    </w:rPr>
  </w:style>
  <w:style w:type="paragraph" w:styleId="6">
    <w:name w:val="Normal Indent"/>
    <w:basedOn w:val="1"/>
    <w:qFormat/>
    <w:uiPriority w:val="99"/>
    <w:pPr>
      <w:autoSpaceDE w:val="0"/>
      <w:autoSpaceDN w:val="0"/>
      <w:adjustRightInd w:val="0"/>
      <w:spacing w:line="315" w:lineRule="atLeast"/>
      <w:ind w:firstLine="420"/>
      <w:jc w:val="left"/>
    </w:pPr>
    <w:rPr>
      <w:rFonts w:ascii="楷体_GB2312" w:eastAsia="楷体_GB2312"/>
      <w:kern w:val="0"/>
      <w:sz w:val="28"/>
      <w:szCs w:val="20"/>
    </w:rPr>
  </w:style>
  <w:style w:type="paragraph" w:styleId="13">
    <w:name w:val="toc 7"/>
    <w:basedOn w:val="1"/>
    <w:next w:val="1"/>
    <w:unhideWhenUsed/>
    <w:qFormat/>
    <w:uiPriority w:val="39"/>
    <w:pPr>
      <w:ind w:left="2520" w:leftChars="1200"/>
    </w:pPr>
    <w:rPr>
      <w:rFonts w:ascii="Calibri" w:hAnsi="Calibri"/>
      <w:szCs w:val="22"/>
    </w:rPr>
  </w:style>
  <w:style w:type="paragraph" w:styleId="14">
    <w:name w:val="Document Map"/>
    <w:basedOn w:val="1"/>
    <w:link w:val="61"/>
    <w:semiHidden/>
    <w:qFormat/>
    <w:uiPriority w:val="0"/>
    <w:rPr>
      <w:rFonts w:ascii="宋体"/>
      <w:sz w:val="18"/>
      <w:szCs w:val="18"/>
    </w:rPr>
  </w:style>
  <w:style w:type="paragraph" w:styleId="15">
    <w:name w:val="annotation text"/>
    <w:basedOn w:val="1"/>
    <w:link w:val="59"/>
    <w:unhideWhenUsed/>
    <w:qFormat/>
    <w:uiPriority w:val="0"/>
    <w:pPr>
      <w:jc w:val="left"/>
    </w:pPr>
  </w:style>
  <w:style w:type="paragraph" w:styleId="16">
    <w:name w:val="Body Text 3"/>
    <w:basedOn w:val="1"/>
    <w:link w:val="85"/>
    <w:unhideWhenUsed/>
    <w:qFormat/>
    <w:uiPriority w:val="99"/>
    <w:pPr>
      <w:spacing w:after="120"/>
    </w:pPr>
    <w:rPr>
      <w:sz w:val="16"/>
      <w:szCs w:val="16"/>
    </w:rPr>
  </w:style>
  <w:style w:type="paragraph" w:styleId="17">
    <w:name w:val="Body Text Indent"/>
    <w:basedOn w:val="1"/>
    <w:link w:val="63"/>
    <w:qFormat/>
    <w:uiPriority w:val="0"/>
    <w:pPr>
      <w:autoSpaceDE w:val="0"/>
      <w:autoSpaceDN w:val="0"/>
      <w:adjustRightInd w:val="0"/>
      <w:spacing w:after="120" w:line="360" w:lineRule="atLeast"/>
      <w:ind w:left="900"/>
    </w:pPr>
    <w:rPr>
      <w:rFonts w:ascii="楷体_GB2312" w:eastAsia="楷体_GB2312"/>
      <w:kern w:val="0"/>
      <w:sz w:val="28"/>
      <w:szCs w:val="20"/>
    </w:rPr>
  </w:style>
  <w:style w:type="paragraph" w:styleId="18">
    <w:name w:val="List 2"/>
    <w:basedOn w:val="1"/>
    <w:qFormat/>
    <w:uiPriority w:val="0"/>
    <w:pPr>
      <w:ind w:left="100" w:leftChars="200" w:hanging="200" w:hangingChars="200"/>
    </w:pPr>
  </w:style>
  <w:style w:type="paragraph" w:styleId="19">
    <w:name w:val="toc 5"/>
    <w:basedOn w:val="1"/>
    <w:next w:val="1"/>
    <w:unhideWhenUsed/>
    <w:qFormat/>
    <w:uiPriority w:val="39"/>
    <w:pPr>
      <w:ind w:left="1680" w:leftChars="800"/>
    </w:pPr>
    <w:rPr>
      <w:rFonts w:ascii="Calibri" w:hAnsi="Calibri"/>
      <w:szCs w:val="22"/>
    </w:rPr>
  </w:style>
  <w:style w:type="paragraph" w:styleId="20">
    <w:name w:val="toc 3"/>
    <w:basedOn w:val="1"/>
    <w:next w:val="1"/>
    <w:unhideWhenUsed/>
    <w:qFormat/>
    <w:uiPriority w:val="39"/>
    <w:pPr>
      <w:widowControl/>
      <w:snapToGrid w:val="0"/>
      <w:spacing w:line="440" w:lineRule="exact"/>
      <w:ind w:left="442"/>
      <w:jc w:val="left"/>
    </w:pPr>
    <w:rPr>
      <w:rFonts w:asciiTheme="minorHAnsi" w:hAnsiTheme="minorHAnsi" w:cstheme="minorBidi"/>
      <w:kern w:val="0"/>
      <w:szCs w:val="22"/>
    </w:rPr>
  </w:style>
  <w:style w:type="paragraph" w:styleId="21">
    <w:name w:val="Plain Text"/>
    <w:basedOn w:val="1"/>
    <w:link w:val="64"/>
    <w:qFormat/>
    <w:uiPriority w:val="0"/>
    <w:rPr>
      <w:rFonts w:ascii="宋体" w:hAnsi="Courier New"/>
      <w:szCs w:val="20"/>
    </w:rPr>
  </w:style>
  <w:style w:type="paragraph" w:styleId="22">
    <w:name w:val="toc 8"/>
    <w:basedOn w:val="1"/>
    <w:next w:val="1"/>
    <w:unhideWhenUsed/>
    <w:qFormat/>
    <w:uiPriority w:val="39"/>
    <w:pPr>
      <w:ind w:left="2940" w:leftChars="1400"/>
    </w:pPr>
    <w:rPr>
      <w:rFonts w:ascii="Calibri" w:hAnsi="Calibri"/>
      <w:szCs w:val="22"/>
    </w:rPr>
  </w:style>
  <w:style w:type="paragraph" w:styleId="23">
    <w:name w:val="Date"/>
    <w:basedOn w:val="1"/>
    <w:next w:val="1"/>
    <w:link w:val="65"/>
    <w:qFormat/>
    <w:uiPriority w:val="0"/>
    <w:pPr>
      <w:ind w:left="100" w:leftChars="2500"/>
    </w:pPr>
    <w:rPr>
      <w:szCs w:val="20"/>
    </w:rPr>
  </w:style>
  <w:style w:type="paragraph" w:styleId="24">
    <w:name w:val="Body Text Indent 2"/>
    <w:basedOn w:val="1"/>
    <w:link w:val="66"/>
    <w:qFormat/>
    <w:uiPriority w:val="0"/>
    <w:pPr>
      <w:spacing w:line="480" w:lineRule="auto"/>
      <w:ind w:firstLine="480" w:firstLineChars="200"/>
    </w:pPr>
    <w:rPr>
      <w:rFonts w:ascii="仿宋_GB2312" w:hAnsi="宋体" w:eastAsia="仿宋_GB2312"/>
      <w:sz w:val="24"/>
    </w:rPr>
  </w:style>
  <w:style w:type="paragraph" w:styleId="25">
    <w:name w:val="Balloon Text"/>
    <w:basedOn w:val="1"/>
    <w:link w:val="47"/>
    <w:unhideWhenUsed/>
    <w:qFormat/>
    <w:uiPriority w:val="0"/>
    <w:rPr>
      <w:sz w:val="18"/>
      <w:szCs w:val="18"/>
    </w:rPr>
  </w:style>
  <w:style w:type="paragraph" w:styleId="26">
    <w:name w:val="footer"/>
    <w:basedOn w:val="1"/>
    <w:link w:val="58"/>
    <w:unhideWhenUsed/>
    <w:qFormat/>
    <w:uiPriority w:val="0"/>
    <w:pPr>
      <w:tabs>
        <w:tab w:val="center" w:pos="4153"/>
        <w:tab w:val="right" w:pos="8306"/>
      </w:tabs>
      <w:snapToGrid w:val="0"/>
      <w:jc w:val="left"/>
    </w:pPr>
    <w:rPr>
      <w:sz w:val="18"/>
      <w:szCs w:val="18"/>
    </w:rPr>
  </w:style>
  <w:style w:type="paragraph" w:styleId="27">
    <w:name w:val="header"/>
    <w:basedOn w:val="1"/>
    <w:link w:val="57"/>
    <w:unhideWhenUsed/>
    <w:qFormat/>
    <w:uiPriority w:val="99"/>
    <w:pPr>
      <w:pBdr>
        <w:bottom w:val="single" w:color="auto" w:sz="6" w:space="1"/>
      </w:pBdr>
      <w:tabs>
        <w:tab w:val="center" w:pos="4153"/>
        <w:tab w:val="right" w:pos="8306"/>
      </w:tabs>
      <w:snapToGrid w:val="0"/>
      <w:jc w:val="center"/>
    </w:pPr>
    <w:rPr>
      <w:sz w:val="18"/>
      <w:szCs w:val="18"/>
    </w:rPr>
  </w:style>
  <w:style w:type="paragraph" w:styleId="28">
    <w:name w:val="toc 1"/>
    <w:basedOn w:val="1"/>
    <w:next w:val="1"/>
    <w:qFormat/>
    <w:uiPriority w:val="39"/>
    <w:pPr>
      <w:tabs>
        <w:tab w:val="left" w:pos="0"/>
        <w:tab w:val="right" w:leader="dot" w:pos="8505"/>
      </w:tabs>
      <w:snapToGrid w:val="0"/>
      <w:spacing w:line="440" w:lineRule="exact"/>
      <w:jc w:val="left"/>
    </w:pPr>
    <w:rPr>
      <w:rFonts w:ascii="宋体" w:hAnsi="宋体"/>
    </w:rPr>
  </w:style>
  <w:style w:type="paragraph" w:styleId="29">
    <w:name w:val="toc 4"/>
    <w:basedOn w:val="1"/>
    <w:next w:val="1"/>
    <w:unhideWhenUsed/>
    <w:qFormat/>
    <w:uiPriority w:val="39"/>
    <w:pPr>
      <w:ind w:left="1260" w:leftChars="600"/>
    </w:pPr>
    <w:rPr>
      <w:rFonts w:ascii="Calibri" w:hAnsi="Calibri"/>
      <w:szCs w:val="22"/>
    </w:rPr>
  </w:style>
  <w:style w:type="paragraph" w:styleId="30">
    <w:name w:val="Subtitle"/>
    <w:basedOn w:val="1"/>
    <w:next w:val="1"/>
    <w:link w:val="67"/>
    <w:qFormat/>
    <w:uiPriority w:val="0"/>
    <w:pPr>
      <w:spacing w:before="240" w:after="60" w:line="312" w:lineRule="auto"/>
      <w:jc w:val="center"/>
      <w:outlineLvl w:val="1"/>
    </w:pPr>
    <w:rPr>
      <w:rFonts w:ascii="Cambria" w:hAnsi="Cambria" w:cs="黑体"/>
      <w:b/>
      <w:bCs/>
      <w:kern w:val="28"/>
      <w:sz w:val="32"/>
      <w:szCs w:val="32"/>
    </w:rPr>
  </w:style>
  <w:style w:type="paragraph" w:styleId="31">
    <w:name w:val="toc 6"/>
    <w:basedOn w:val="1"/>
    <w:next w:val="1"/>
    <w:unhideWhenUsed/>
    <w:qFormat/>
    <w:uiPriority w:val="39"/>
    <w:pPr>
      <w:ind w:left="2100" w:leftChars="1000"/>
    </w:pPr>
    <w:rPr>
      <w:rFonts w:ascii="Calibri" w:hAnsi="Calibri"/>
      <w:szCs w:val="22"/>
    </w:rPr>
  </w:style>
  <w:style w:type="paragraph" w:styleId="32">
    <w:name w:val="Body Text Indent 3"/>
    <w:basedOn w:val="1"/>
    <w:link w:val="68"/>
    <w:qFormat/>
    <w:uiPriority w:val="0"/>
    <w:pPr>
      <w:spacing w:after="120" w:line="360" w:lineRule="atLeast"/>
      <w:ind w:firstLine="720" w:firstLineChars="300"/>
    </w:pPr>
    <w:rPr>
      <w:sz w:val="24"/>
      <w:szCs w:val="20"/>
    </w:rPr>
  </w:style>
  <w:style w:type="paragraph" w:styleId="33">
    <w:name w:val="toc 2"/>
    <w:basedOn w:val="1"/>
    <w:next w:val="1"/>
    <w:qFormat/>
    <w:uiPriority w:val="39"/>
    <w:pPr>
      <w:tabs>
        <w:tab w:val="left" w:pos="567"/>
        <w:tab w:val="right" w:leader="dot" w:pos="8505"/>
        <w:tab w:val="right" w:leader="dot" w:pos="9628"/>
      </w:tabs>
      <w:spacing w:line="440" w:lineRule="exact"/>
    </w:pPr>
  </w:style>
  <w:style w:type="paragraph" w:styleId="34">
    <w:name w:val="toc 9"/>
    <w:basedOn w:val="1"/>
    <w:next w:val="1"/>
    <w:unhideWhenUsed/>
    <w:qFormat/>
    <w:uiPriority w:val="39"/>
    <w:pPr>
      <w:ind w:left="3360" w:leftChars="1600"/>
    </w:pPr>
    <w:rPr>
      <w:rFonts w:ascii="Calibri" w:hAnsi="Calibri"/>
      <w:szCs w:val="22"/>
    </w:rPr>
  </w:style>
  <w:style w:type="paragraph" w:styleId="35">
    <w:name w:val="Title"/>
    <w:basedOn w:val="1"/>
    <w:next w:val="1"/>
    <w:link w:val="69"/>
    <w:qFormat/>
    <w:uiPriority w:val="10"/>
    <w:pPr>
      <w:spacing w:before="240" w:after="60"/>
      <w:jc w:val="center"/>
      <w:outlineLvl w:val="0"/>
    </w:pPr>
    <w:rPr>
      <w:rFonts w:ascii="Cambria" w:hAnsi="Cambria"/>
      <w:b/>
      <w:bCs/>
      <w:sz w:val="32"/>
      <w:szCs w:val="32"/>
    </w:rPr>
  </w:style>
  <w:style w:type="paragraph" w:styleId="36">
    <w:name w:val="annotation subject"/>
    <w:basedOn w:val="15"/>
    <w:next w:val="15"/>
    <w:link w:val="60"/>
    <w:semiHidden/>
    <w:qFormat/>
    <w:uiPriority w:val="0"/>
    <w:rPr>
      <w:b/>
      <w:bCs/>
      <w:szCs w:val="20"/>
    </w:rPr>
  </w:style>
  <w:style w:type="table" w:styleId="38">
    <w:name w:val="Table Grid"/>
    <w:basedOn w:val="37"/>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0">
    <w:name w:val="page number"/>
    <w:basedOn w:val="39"/>
    <w:qFormat/>
    <w:uiPriority w:val="0"/>
  </w:style>
  <w:style w:type="character" w:styleId="41">
    <w:name w:val="FollowedHyperlink"/>
    <w:qFormat/>
    <w:uiPriority w:val="0"/>
    <w:rPr>
      <w:color w:val="800080"/>
      <w:u w:val="single"/>
    </w:rPr>
  </w:style>
  <w:style w:type="character" w:styleId="42">
    <w:name w:val="Hyperlink"/>
    <w:qFormat/>
    <w:uiPriority w:val="99"/>
    <w:rPr>
      <w:color w:val="0000FF"/>
      <w:u w:val="single"/>
    </w:rPr>
  </w:style>
  <w:style w:type="character" w:styleId="43">
    <w:name w:val="annotation reference"/>
    <w:qFormat/>
    <w:uiPriority w:val="99"/>
    <w:rPr>
      <w:sz w:val="21"/>
      <w:szCs w:val="21"/>
    </w:rPr>
  </w:style>
  <w:style w:type="paragraph" w:customStyle="1" w:styleId="44">
    <w:name w:val="bt1bt1"/>
    <w:basedOn w:val="3"/>
    <w:qFormat/>
    <w:uiPriority w:val="0"/>
    <w:pPr>
      <w:spacing w:line="240" w:lineRule="auto"/>
      <w:jc w:val="center"/>
    </w:pPr>
    <w:rPr>
      <w:rFonts w:ascii="黑体" w:eastAsia="黑体"/>
      <w:b w:val="0"/>
      <w:sz w:val="36"/>
      <w:szCs w:val="36"/>
    </w:rPr>
  </w:style>
  <w:style w:type="paragraph" w:customStyle="1" w:styleId="45">
    <w:name w:val="List Paragraph"/>
    <w:basedOn w:val="1"/>
    <w:unhideWhenUsed/>
    <w:qFormat/>
    <w:uiPriority w:val="34"/>
    <w:pPr>
      <w:ind w:firstLine="420" w:firstLineChars="200"/>
    </w:pPr>
  </w:style>
  <w:style w:type="character" w:customStyle="1" w:styleId="46">
    <w:name w:val="标题 1 字符"/>
    <w:basedOn w:val="39"/>
    <w:link w:val="3"/>
    <w:qFormat/>
    <w:uiPriority w:val="0"/>
    <w:rPr>
      <w:rFonts w:ascii="Times New Roman" w:hAnsi="Times New Roman" w:eastAsia="宋体" w:cs="Times New Roman"/>
      <w:b/>
      <w:bCs/>
      <w:kern w:val="44"/>
      <w:sz w:val="44"/>
      <w:szCs w:val="44"/>
    </w:rPr>
  </w:style>
  <w:style w:type="character" w:customStyle="1" w:styleId="47">
    <w:name w:val="批注框文本 字符"/>
    <w:basedOn w:val="39"/>
    <w:link w:val="25"/>
    <w:semiHidden/>
    <w:qFormat/>
    <w:uiPriority w:val="0"/>
    <w:rPr>
      <w:rFonts w:ascii="Times New Roman" w:hAnsi="Times New Roman" w:eastAsia="宋体" w:cs="Times New Roman"/>
      <w:sz w:val="18"/>
      <w:szCs w:val="18"/>
    </w:rPr>
  </w:style>
  <w:style w:type="paragraph" w:customStyle="1" w:styleId="48">
    <w:name w:val="TOC Heading"/>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character" w:customStyle="1" w:styleId="49">
    <w:name w:val="标题 2 字符"/>
    <w:basedOn w:val="39"/>
    <w:link w:val="4"/>
    <w:qFormat/>
    <w:uiPriority w:val="9"/>
    <w:rPr>
      <w:rFonts w:ascii="Arial" w:hAnsi="Arial" w:eastAsia="黑体" w:cs="Times New Roman"/>
      <w:b/>
      <w:bCs/>
      <w:sz w:val="32"/>
      <w:szCs w:val="32"/>
    </w:rPr>
  </w:style>
  <w:style w:type="character" w:customStyle="1" w:styleId="50">
    <w:name w:val="标题 3 字符"/>
    <w:basedOn w:val="39"/>
    <w:link w:val="5"/>
    <w:qFormat/>
    <w:uiPriority w:val="0"/>
    <w:rPr>
      <w:rFonts w:ascii="黑体" w:hAnsi="Times New Roman" w:eastAsia="黑体" w:cs="Times New Roman"/>
      <w:kern w:val="0"/>
      <w:sz w:val="28"/>
      <w:szCs w:val="20"/>
    </w:rPr>
  </w:style>
  <w:style w:type="character" w:customStyle="1" w:styleId="51">
    <w:name w:val="标题 4 字符"/>
    <w:basedOn w:val="39"/>
    <w:link w:val="7"/>
    <w:qFormat/>
    <w:uiPriority w:val="0"/>
    <w:rPr>
      <w:rFonts w:ascii="Times New Roman" w:hAnsi="Times New Roman" w:eastAsia="宋体" w:cs="Times New Roman"/>
      <w:sz w:val="28"/>
      <w:szCs w:val="20"/>
    </w:rPr>
  </w:style>
  <w:style w:type="character" w:customStyle="1" w:styleId="52">
    <w:name w:val="标题 5 字符"/>
    <w:basedOn w:val="39"/>
    <w:link w:val="8"/>
    <w:qFormat/>
    <w:uiPriority w:val="0"/>
    <w:rPr>
      <w:rFonts w:ascii="Times New Roman" w:hAnsi="Times New Roman" w:eastAsia="宋体" w:cs="Times New Roman"/>
      <w:b/>
      <w:bCs/>
      <w:sz w:val="28"/>
      <w:szCs w:val="28"/>
    </w:rPr>
  </w:style>
  <w:style w:type="character" w:customStyle="1" w:styleId="53">
    <w:name w:val="标题 6 字符"/>
    <w:basedOn w:val="39"/>
    <w:link w:val="9"/>
    <w:qFormat/>
    <w:uiPriority w:val="0"/>
    <w:rPr>
      <w:rFonts w:ascii="Arial" w:hAnsi="Arial" w:eastAsia="黑体" w:cs="Times New Roman"/>
      <w:b/>
      <w:bCs/>
      <w:sz w:val="24"/>
      <w:szCs w:val="24"/>
    </w:rPr>
  </w:style>
  <w:style w:type="character" w:customStyle="1" w:styleId="54">
    <w:name w:val="标题 7 字符"/>
    <w:basedOn w:val="39"/>
    <w:link w:val="10"/>
    <w:qFormat/>
    <w:uiPriority w:val="0"/>
    <w:rPr>
      <w:rFonts w:ascii="Times New Roman" w:hAnsi="Times New Roman" w:eastAsia="宋体" w:cs="Times New Roman"/>
      <w:b/>
      <w:bCs/>
      <w:sz w:val="24"/>
      <w:szCs w:val="24"/>
    </w:rPr>
  </w:style>
  <w:style w:type="character" w:customStyle="1" w:styleId="55">
    <w:name w:val="标题 8 字符"/>
    <w:basedOn w:val="39"/>
    <w:link w:val="11"/>
    <w:qFormat/>
    <w:uiPriority w:val="0"/>
    <w:rPr>
      <w:rFonts w:ascii="Arial" w:hAnsi="Arial" w:eastAsia="黑体" w:cs="Times New Roman"/>
      <w:sz w:val="24"/>
      <w:szCs w:val="24"/>
    </w:rPr>
  </w:style>
  <w:style w:type="character" w:customStyle="1" w:styleId="56">
    <w:name w:val="标题 9 字符"/>
    <w:basedOn w:val="39"/>
    <w:link w:val="12"/>
    <w:qFormat/>
    <w:uiPriority w:val="0"/>
    <w:rPr>
      <w:rFonts w:ascii="Arial" w:hAnsi="Arial" w:eastAsia="黑体" w:cs="Times New Roman"/>
      <w:szCs w:val="21"/>
    </w:rPr>
  </w:style>
  <w:style w:type="character" w:customStyle="1" w:styleId="57">
    <w:name w:val="页眉 字符"/>
    <w:basedOn w:val="39"/>
    <w:link w:val="27"/>
    <w:qFormat/>
    <w:uiPriority w:val="99"/>
    <w:rPr>
      <w:rFonts w:ascii="Times New Roman" w:hAnsi="Times New Roman" w:eastAsia="宋体" w:cs="Times New Roman"/>
      <w:sz w:val="18"/>
      <w:szCs w:val="18"/>
    </w:rPr>
  </w:style>
  <w:style w:type="character" w:customStyle="1" w:styleId="58">
    <w:name w:val="页脚 字符"/>
    <w:basedOn w:val="39"/>
    <w:link w:val="26"/>
    <w:qFormat/>
    <w:uiPriority w:val="99"/>
    <w:rPr>
      <w:rFonts w:ascii="Times New Roman" w:hAnsi="Times New Roman" w:eastAsia="宋体" w:cs="Times New Roman"/>
      <w:sz w:val="18"/>
      <w:szCs w:val="18"/>
    </w:rPr>
  </w:style>
  <w:style w:type="character" w:customStyle="1" w:styleId="59">
    <w:name w:val="批注文字 字符1"/>
    <w:basedOn w:val="39"/>
    <w:link w:val="15"/>
    <w:qFormat/>
    <w:uiPriority w:val="0"/>
    <w:rPr>
      <w:rFonts w:ascii="Times New Roman" w:hAnsi="Times New Roman" w:eastAsia="宋体" w:cs="Times New Roman"/>
      <w:szCs w:val="24"/>
    </w:rPr>
  </w:style>
  <w:style w:type="character" w:customStyle="1" w:styleId="60">
    <w:name w:val="批注主题 字符"/>
    <w:basedOn w:val="59"/>
    <w:link w:val="36"/>
    <w:semiHidden/>
    <w:qFormat/>
    <w:uiPriority w:val="0"/>
    <w:rPr>
      <w:rFonts w:ascii="Times New Roman" w:hAnsi="Times New Roman" w:eastAsia="宋体" w:cs="Times New Roman"/>
      <w:b/>
      <w:bCs/>
      <w:szCs w:val="20"/>
    </w:rPr>
  </w:style>
  <w:style w:type="character" w:customStyle="1" w:styleId="61">
    <w:name w:val="文档结构图 字符"/>
    <w:basedOn w:val="39"/>
    <w:link w:val="14"/>
    <w:semiHidden/>
    <w:qFormat/>
    <w:uiPriority w:val="0"/>
    <w:rPr>
      <w:rFonts w:ascii="宋体" w:hAnsi="Times New Roman" w:eastAsia="宋体" w:cs="Times New Roman"/>
      <w:sz w:val="18"/>
      <w:szCs w:val="18"/>
    </w:rPr>
  </w:style>
  <w:style w:type="character" w:customStyle="1" w:styleId="62">
    <w:name w:val="正文文本 字符"/>
    <w:basedOn w:val="39"/>
    <w:link w:val="2"/>
    <w:qFormat/>
    <w:uiPriority w:val="0"/>
    <w:rPr>
      <w:rFonts w:ascii="Times New Roman" w:hAnsi="Times New Roman" w:eastAsia="宋体" w:cs="Times New Roman"/>
      <w:sz w:val="28"/>
      <w:szCs w:val="20"/>
    </w:rPr>
  </w:style>
  <w:style w:type="character" w:customStyle="1" w:styleId="63">
    <w:name w:val="正文文本缩进 字符"/>
    <w:basedOn w:val="39"/>
    <w:link w:val="17"/>
    <w:qFormat/>
    <w:uiPriority w:val="0"/>
    <w:rPr>
      <w:rFonts w:ascii="楷体_GB2312" w:hAnsi="Times New Roman" w:eastAsia="楷体_GB2312" w:cs="Times New Roman"/>
      <w:kern w:val="0"/>
      <w:sz w:val="28"/>
      <w:szCs w:val="20"/>
    </w:rPr>
  </w:style>
  <w:style w:type="character" w:customStyle="1" w:styleId="64">
    <w:name w:val="纯文本 字符"/>
    <w:basedOn w:val="39"/>
    <w:link w:val="21"/>
    <w:qFormat/>
    <w:uiPriority w:val="0"/>
    <w:rPr>
      <w:rFonts w:ascii="宋体" w:hAnsi="Courier New" w:eastAsia="宋体" w:cs="Times New Roman"/>
      <w:szCs w:val="20"/>
    </w:rPr>
  </w:style>
  <w:style w:type="character" w:customStyle="1" w:styleId="65">
    <w:name w:val="日期 字符"/>
    <w:basedOn w:val="39"/>
    <w:link w:val="23"/>
    <w:qFormat/>
    <w:uiPriority w:val="0"/>
    <w:rPr>
      <w:rFonts w:ascii="Times New Roman" w:hAnsi="Times New Roman" w:eastAsia="宋体" w:cs="Times New Roman"/>
      <w:szCs w:val="20"/>
    </w:rPr>
  </w:style>
  <w:style w:type="character" w:customStyle="1" w:styleId="66">
    <w:name w:val="正文文本缩进 2 字符"/>
    <w:basedOn w:val="39"/>
    <w:link w:val="24"/>
    <w:qFormat/>
    <w:uiPriority w:val="0"/>
    <w:rPr>
      <w:rFonts w:ascii="仿宋_GB2312" w:hAnsi="宋体" w:eastAsia="仿宋_GB2312" w:cs="Times New Roman"/>
      <w:sz w:val="24"/>
      <w:szCs w:val="24"/>
    </w:rPr>
  </w:style>
  <w:style w:type="character" w:customStyle="1" w:styleId="67">
    <w:name w:val="副标题 字符"/>
    <w:basedOn w:val="39"/>
    <w:link w:val="30"/>
    <w:qFormat/>
    <w:uiPriority w:val="0"/>
    <w:rPr>
      <w:rFonts w:ascii="Cambria" w:hAnsi="Cambria" w:eastAsia="宋体" w:cs="黑体"/>
      <w:b/>
      <w:bCs/>
      <w:kern w:val="28"/>
      <w:sz w:val="32"/>
      <w:szCs w:val="32"/>
    </w:rPr>
  </w:style>
  <w:style w:type="character" w:customStyle="1" w:styleId="68">
    <w:name w:val="正文文本缩进 3 字符"/>
    <w:basedOn w:val="39"/>
    <w:link w:val="32"/>
    <w:qFormat/>
    <w:uiPriority w:val="0"/>
    <w:rPr>
      <w:rFonts w:ascii="Times New Roman" w:hAnsi="Times New Roman" w:eastAsia="宋体" w:cs="Times New Roman"/>
      <w:sz w:val="24"/>
      <w:szCs w:val="20"/>
    </w:rPr>
  </w:style>
  <w:style w:type="character" w:customStyle="1" w:styleId="69">
    <w:name w:val="标题 字符"/>
    <w:basedOn w:val="39"/>
    <w:link w:val="35"/>
    <w:qFormat/>
    <w:uiPriority w:val="10"/>
    <w:rPr>
      <w:rFonts w:ascii="Cambria" w:hAnsi="Cambria" w:eastAsia="宋体" w:cs="Times New Roman"/>
      <w:b/>
      <w:bCs/>
      <w:sz w:val="32"/>
      <w:szCs w:val="32"/>
    </w:rPr>
  </w:style>
  <w:style w:type="paragraph" w:customStyle="1" w:styleId="70">
    <w:name w:val="TOC 标题1"/>
    <w:basedOn w:val="3"/>
    <w:next w:val="1"/>
    <w:qFormat/>
    <w:uiPriority w:val="0"/>
    <w:pPr>
      <w:widowControl/>
      <w:spacing w:before="480" w:after="0" w:line="276" w:lineRule="auto"/>
      <w:jc w:val="left"/>
      <w:outlineLvl w:val="9"/>
    </w:pPr>
    <w:rPr>
      <w:rFonts w:ascii="Cambria" w:hAnsi="Cambria"/>
      <w:color w:val="365F91"/>
      <w:kern w:val="0"/>
      <w:sz w:val="28"/>
      <w:szCs w:val="28"/>
    </w:rPr>
  </w:style>
  <w:style w:type="paragraph" w:customStyle="1" w:styleId="71">
    <w:name w:val="_Style 36"/>
    <w:basedOn w:val="1"/>
    <w:qFormat/>
    <w:uiPriority w:val="34"/>
    <w:pPr>
      <w:ind w:firstLine="420" w:firstLineChars="200"/>
    </w:pPr>
    <w:rPr>
      <w:szCs w:val="20"/>
    </w:rPr>
  </w:style>
  <w:style w:type="paragraph" w:customStyle="1" w:styleId="72">
    <w:name w:val="Char Char Char Char Char Char Char Char Char Char Char Char Char"/>
    <w:basedOn w:val="14"/>
    <w:qFormat/>
    <w:uiPriority w:val="0"/>
    <w:pPr>
      <w:shd w:val="clear" w:color="auto" w:fill="000080"/>
    </w:pPr>
    <w:rPr>
      <w:rFonts w:ascii="Tahoma" w:hAnsi="Tahoma"/>
      <w:sz w:val="24"/>
      <w:szCs w:val="24"/>
    </w:rPr>
  </w:style>
  <w:style w:type="paragraph" w:customStyle="1" w:styleId="73">
    <w:name w:val="Default"/>
    <w:qFormat/>
    <w:uiPriority w:val="0"/>
    <w:pPr>
      <w:widowControl w:val="0"/>
      <w:autoSpaceDE w:val="0"/>
      <w:autoSpaceDN w:val="0"/>
      <w:adjustRightInd w:val="0"/>
    </w:pPr>
    <w:rPr>
      <w:rFonts w:ascii="Times New Roman" w:hAnsi="Times New Roman" w:eastAsia="宋体" w:cs="Times New Roman"/>
      <w:color w:val="000000"/>
      <w:kern w:val="0"/>
      <w:sz w:val="24"/>
      <w:szCs w:val="24"/>
      <w:lang w:val="en-US" w:eastAsia="zh-CN" w:bidi="ar-SA"/>
    </w:rPr>
  </w:style>
  <w:style w:type="paragraph" w:customStyle="1" w:styleId="74">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75">
    <w:name w:val="新定义正文"/>
    <w:basedOn w:val="1"/>
    <w:qFormat/>
    <w:uiPriority w:val="0"/>
    <w:pPr>
      <w:widowControl/>
    </w:pPr>
    <w:rPr>
      <w:color w:val="000000"/>
      <w:szCs w:val="21"/>
    </w:rPr>
  </w:style>
  <w:style w:type="paragraph" w:customStyle="1" w:styleId="76">
    <w:name w:val="节"/>
    <w:basedOn w:val="4"/>
    <w:qFormat/>
    <w:uiPriority w:val="0"/>
    <w:pPr>
      <w:numPr>
        <w:ilvl w:val="1"/>
        <w:numId w:val="1"/>
      </w:numPr>
      <w:tabs>
        <w:tab w:val="left" w:pos="432"/>
      </w:tabs>
      <w:spacing w:line="240" w:lineRule="auto"/>
    </w:pPr>
    <w:rPr>
      <w:rFonts w:ascii="黑体"/>
      <w:b w:val="0"/>
      <w:sz w:val="28"/>
      <w:szCs w:val="28"/>
    </w:rPr>
  </w:style>
  <w:style w:type="paragraph" w:customStyle="1" w:styleId="77">
    <w:name w:val="TOC 标题2"/>
    <w:basedOn w:val="3"/>
    <w:next w:val="1"/>
    <w:unhideWhenUsed/>
    <w:qFormat/>
    <w:uiPriority w:val="39"/>
    <w:pPr>
      <w:widowControl/>
      <w:spacing w:before="480" w:after="0" w:line="276" w:lineRule="auto"/>
      <w:jc w:val="left"/>
      <w:outlineLvl w:val="9"/>
    </w:pPr>
    <w:rPr>
      <w:rFonts w:ascii="Cambria" w:hAnsi="Cambria" w:cs="黑体"/>
      <w:color w:val="365F90"/>
      <w:kern w:val="0"/>
      <w:sz w:val="28"/>
      <w:szCs w:val="28"/>
    </w:rPr>
  </w:style>
  <w:style w:type="paragraph" w:customStyle="1" w:styleId="78">
    <w:name w:val="列出段落1"/>
    <w:basedOn w:val="1"/>
    <w:qFormat/>
    <w:uiPriority w:val="34"/>
    <w:pPr>
      <w:ind w:firstLine="420" w:firstLineChars="200"/>
    </w:pPr>
    <w:rPr>
      <w:szCs w:val="20"/>
    </w:rPr>
  </w:style>
  <w:style w:type="paragraph" w:customStyle="1" w:styleId="79">
    <w:name w:val="修订1"/>
    <w:hidden/>
    <w:unhideWhenUsed/>
    <w:qFormat/>
    <w:uiPriority w:val="99"/>
    <w:rPr>
      <w:rFonts w:ascii="Times New Roman" w:hAnsi="Times New Roman" w:eastAsia="宋体" w:cs="Times New Roman"/>
      <w:kern w:val="2"/>
      <w:sz w:val="21"/>
      <w:szCs w:val="24"/>
      <w:lang w:val="en-US" w:eastAsia="zh-CN" w:bidi="ar-SA"/>
    </w:rPr>
  </w:style>
  <w:style w:type="character" w:customStyle="1" w:styleId="80">
    <w:name w:val="Char Char1"/>
    <w:qFormat/>
    <w:uiPriority w:val="0"/>
    <w:rPr>
      <w:rFonts w:ascii="楷体_GB2312" w:eastAsia="楷体_GB2312"/>
      <w:sz w:val="28"/>
    </w:rPr>
  </w:style>
  <w:style w:type="character" w:customStyle="1" w:styleId="81">
    <w:name w:val="Char Char"/>
    <w:qFormat/>
    <w:uiPriority w:val="0"/>
    <w:rPr>
      <w:rFonts w:ascii="宋体"/>
      <w:kern w:val="2"/>
      <w:sz w:val="18"/>
      <w:szCs w:val="18"/>
    </w:rPr>
  </w:style>
  <w:style w:type="paragraph" w:customStyle="1" w:styleId="82">
    <w:name w:val="Revision"/>
    <w:hidden/>
    <w:unhideWhenUsed/>
    <w:qFormat/>
    <w:uiPriority w:val="99"/>
    <w:rPr>
      <w:rFonts w:ascii="Times New Roman" w:hAnsi="Times New Roman" w:eastAsia="宋体" w:cs="Times New Roman"/>
      <w:kern w:val="2"/>
      <w:sz w:val="21"/>
      <w:szCs w:val="24"/>
      <w:lang w:val="en-US" w:eastAsia="zh-CN" w:bidi="ar-SA"/>
    </w:rPr>
  </w:style>
  <w:style w:type="paragraph" w:customStyle="1" w:styleId="83">
    <w:name w:val="样式 标题 3 + (中文) 黑体 小四 非加粗 段前: 7.8 磅 段后: 0 磅 行距: 固定值 20 磅"/>
    <w:basedOn w:val="5"/>
    <w:qFormat/>
    <w:uiPriority w:val="0"/>
    <w:pPr>
      <w:autoSpaceDE/>
      <w:autoSpaceDN/>
      <w:adjustRightInd/>
      <w:spacing w:before="0" w:after="0" w:line="400" w:lineRule="exact"/>
    </w:pPr>
    <w:rPr>
      <w:rFonts w:ascii="Times New Roman" w:cs="宋体"/>
      <w:kern w:val="2"/>
      <w:sz w:val="24"/>
    </w:rPr>
  </w:style>
  <w:style w:type="character" w:customStyle="1" w:styleId="84">
    <w:name w:val="批注文字 Char1"/>
    <w:qFormat/>
    <w:uiPriority w:val="99"/>
    <w:rPr>
      <w:kern w:val="2"/>
      <w:sz w:val="21"/>
    </w:rPr>
  </w:style>
  <w:style w:type="character" w:customStyle="1" w:styleId="85">
    <w:name w:val="正文文本 3 字符"/>
    <w:basedOn w:val="39"/>
    <w:link w:val="16"/>
    <w:qFormat/>
    <w:uiPriority w:val="99"/>
    <w:rPr>
      <w:rFonts w:ascii="Times New Roman" w:hAnsi="Times New Roman" w:eastAsia="宋体" w:cs="Times New Roman"/>
      <w:sz w:val="16"/>
      <w:szCs w:val="16"/>
    </w:rPr>
  </w:style>
  <w:style w:type="paragraph" w:customStyle="1" w:styleId="86">
    <w:name w:val="样式 标题 2 + Times New Roman 四号 非加粗 段前: 5 磅 段后: 0 磅 行距: 固定值 20..."/>
    <w:basedOn w:val="4"/>
    <w:qFormat/>
    <w:uiPriority w:val="0"/>
    <w:pPr>
      <w:spacing w:before="100" w:after="0" w:line="400" w:lineRule="exact"/>
    </w:pPr>
    <w:rPr>
      <w:rFonts w:ascii="Times New Roman" w:hAnsi="Times New Roman" w:cs="宋体"/>
      <w:b w:val="0"/>
      <w:bCs w:val="0"/>
      <w:sz w:val="28"/>
      <w:szCs w:val="20"/>
    </w:rPr>
  </w:style>
  <w:style w:type="character" w:customStyle="1" w:styleId="87">
    <w:name w:val="editmail"/>
    <w:qFormat/>
    <w:uiPriority w:val="0"/>
  </w:style>
  <w:style w:type="character" w:customStyle="1" w:styleId="88">
    <w:name w:val="标题 2 字符1"/>
    <w:qFormat/>
    <w:uiPriority w:val="9"/>
    <w:rPr>
      <w:rFonts w:ascii="Arial" w:hAnsi="Arial" w:eastAsia="黑体"/>
      <w:b/>
      <w:bCs/>
      <w:kern w:val="2"/>
      <w:sz w:val="32"/>
      <w:szCs w:val="32"/>
    </w:rPr>
  </w:style>
  <w:style w:type="paragraph" w:customStyle="1" w:styleId="89">
    <w:name w:val="正文00"/>
    <w:basedOn w:val="1"/>
    <w:qFormat/>
    <w:uiPriority w:val="0"/>
    <w:pPr>
      <w:topLinePunct/>
      <w:spacing w:line="360" w:lineRule="auto"/>
      <w:ind w:firstLine="200" w:firstLineChars="200"/>
    </w:pPr>
    <w:rPr>
      <w:sz w:val="24"/>
      <w:szCs w:val="21"/>
    </w:rPr>
  </w:style>
  <w:style w:type="paragraph" w:customStyle="1" w:styleId="90">
    <w:name w:val="正文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91">
    <w:name w:val="修订2"/>
    <w:hidden/>
    <w:unhideWhenUsed/>
    <w:qFormat/>
    <w:uiPriority w:val="99"/>
    <w:rPr>
      <w:rFonts w:ascii="Times New Roman" w:hAnsi="Times New Roman" w:eastAsia="宋体" w:cs="Times New Roman"/>
      <w:kern w:val="2"/>
      <w:sz w:val="21"/>
      <w:szCs w:val="24"/>
      <w:lang w:val="en-US" w:eastAsia="zh-CN" w:bidi="ar-SA"/>
    </w:rPr>
  </w:style>
  <w:style w:type="character" w:customStyle="1" w:styleId="92">
    <w:name w:val="批注文字 字符"/>
    <w:qFormat/>
    <w:uiPriority w:val="0"/>
    <w:rPr>
      <w:kern w:val="2"/>
      <w:sz w:val="21"/>
    </w:rPr>
  </w:style>
  <w:style w:type="paragraph" w:customStyle="1" w:styleId="93">
    <w:name w:val="Table Paragraph"/>
    <w:basedOn w:val="1"/>
    <w:qFormat/>
    <w:uiPriority w:val="1"/>
    <w:pPr>
      <w:jc w:val="left"/>
    </w:pPr>
    <w:rPr>
      <w:rFonts w:ascii="宋体" w:hAnsi="宋体" w:cs="宋体"/>
      <w:kern w:val="0"/>
      <w:sz w:val="22"/>
      <w:szCs w:val="22"/>
      <w:lang w:eastAsia="en-US"/>
    </w:rPr>
  </w:style>
  <w:style w:type="character" w:customStyle="1" w:styleId="94">
    <w:name w:val="批注文字 Char2"/>
    <w:basedOn w:val="39"/>
    <w:qFormat/>
    <w:uiPriority w:val="0"/>
    <w:rPr>
      <w:rFonts w:ascii="宋体" w:hAnsi="宋体" w:eastAsia="宋体" w:cs="宋体"/>
    </w:rPr>
  </w:style>
  <w:style w:type="character" w:customStyle="1" w:styleId="95">
    <w:name w:val="font11"/>
    <w:basedOn w:val="39"/>
    <w:qFormat/>
    <w:uiPriority w:val="0"/>
    <w:rPr>
      <w:rFonts w:hint="default" w:ascii="Times New Roman" w:hAnsi="Times New Roman" w:cs="Times New Roman"/>
      <w:color w:val="000000"/>
      <w:sz w:val="18"/>
      <w:szCs w:val="18"/>
      <w:u w:val="none"/>
    </w:rPr>
  </w:style>
  <w:style w:type="character" w:customStyle="1" w:styleId="96">
    <w:name w:val="font01"/>
    <w:basedOn w:val="39"/>
    <w:qFormat/>
    <w:uiPriority w:val="0"/>
    <w:rPr>
      <w:rFonts w:hint="eastAsia" w:ascii="宋体" w:hAnsi="宋体" w:eastAsia="宋体" w:cs="宋体"/>
      <w:color w:val="000000"/>
      <w:sz w:val="18"/>
      <w:szCs w:val="18"/>
      <w:u w:val="none"/>
    </w:rPr>
  </w:style>
  <w:style w:type="character" w:customStyle="1" w:styleId="97">
    <w:name w:val="font21"/>
    <w:basedOn w:val="39"/>
    <w:qFormat/>
    <w:uiPriority w:val="0"/>
    <w:rPr>
      <w:rFonts w:hint="default" w:ascii="Times New Roman" w:hAnsi="Times New Roman" w:cs="Times New Roman"/>
      <w:color w:val="000000"/>
      <w:sz w:val="21"/>
      <w:szCs w:val="21"/>
      <w:u w:val="none"/>
    </w:rPr>
  </w:style>
  <w:style w:type="character" w:customStyle="1" w:styleId="98">
    <w:name w:val="font31"/>
    <w:basedOn w:val="39"/>
    <w:qFormat/>
    <w:uiPriority w:val="0"/>
    <w:rPr>
      <w:rFonts w:hint="eastAsia" w:ascii="宋体" w:hAnsi="宋体" w:eastAsia="宋体" w:cs="宋体"/>
      <w:b/>
      <w:color w:val="000000"/>
      <w:sz w:val="21"/>
      <w:szCs w:val="21"/>
      <w:u w:val="none"/>
    </w:rPr>
  </w:style>
  <w:style w:type="table" w:customStyle="1" w:styleId="99">
    <w:name w:val="网格型1"/>
    <w:basedOn w:val="37"/>
    <w:qFormat/>
    <w:uiPriority w:val="5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00">
    <w:name w:val="font41"/>
    <w:basedOn w:val="39"/>
    <w:qFormat/>
    <w:uiPriority w:val="0"/>
    <w:rPr>
      <w:rFonts w:hint="default" w:ascii="Times New Roman" w:hAnsi="Times New Roman" w:cs="Times New Roman"/>
      <w:color w:val="000000"/>
      <w:sz w:val="21"/>
      <w:szCs w:val="21"/>
      <w:u w:val="none"/>
    </w:rPr>
  </w:style>
  <w:style w:type="paragraph" w:customStyle="1" w:styleId="101">
    <w:name w:val="列表段落3"/>
    <w:basedOn w:val="1"/>
    <w:qFormat/>
    <w:uiPriority w:val="99"/>
    <w:pPr>
      <w:ind w:firstLine="420" w:firstLineChars="200"/>
    </w:pPr>
  </w:style>
  <w:style w:type="paragraph" w:customStyle="1" w:styleId="102">
    <w:name w:val="正文2"/>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03">
    <w:name w:val="列出段落"/>
    <w:basedOn w:val="102"/>
    <w:qFormat/>
    <w:uiPriority w:val="34"/>
    <w:pPr>
      <w:ind w:firstLine="420" w:firstLineChars="200"/>
    </w:pPr>
  </w:style>
  <w:style w:type="paragraph" w:customStyle="1" w:styleId="104">
    <w:name w:val="列出段落2"/>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32"/>
    <customShpInfo spid="_x0000_s1026"/>
    <customShpInfo spid="_x0000_s1027"/>
    <customShpInfo spid="_x0000_s1028"/>
    <customShpInfo spid="_x0000_s1029"/>
    <customShpInfo spid="_x0000_s1030"/>
    <customShpInfo spid="_x0000_s1034"/>
    <customShpInfo spid="_x0000_s1036"/>
    <customShpInfo spid="_x0000_s1037"/>
    <customShpInfo spid="_x0000_s1038"/>
    <customShpInfo spid="_x0000_s1040"/>
    <customShpInfo spid="_x0000_s1041"/>
    <customShpInfo spid="_x0000_s1039"/>
    <customShpInfo spid="_x0000_s1042"/>
    <customShpInfo spid="_x0000_s1043"/>
    <customShpInfo spid="_x0000_s1044"/>
    <customShpInfo spid="_x0000_s1035"/>
    <customShpInfo spid="_x0000_s105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397CA56-02BE-4153-83E2-B84841EFF6F7}">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158</Pages>
  <Words>87813</Words>
  <Characters>92014</Characters>
  <Lines>642</Lines>
  <Paragraphs>180</Paragraphs>
  <TotalTime>0</TotalTime>
  <ScaleCrop>false</ScaleCrop>
  <LinksUpToDate>false</LinksUpToDate>
  <CharactersWithSpaces>94636</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2017-11-01T03:28:00Z</dcterms:created>
  <dc:creator>MIIT</dc:creator>
  <cp:lastModifiedBy>L·Jian</cp:lastModifiedBy>
  <cp:lastPrinted>2017-10-30T01:31:00Z</cp:lastPrinted>
  <dcterms:modified xsi:type="dcterms:W3CDTF">2022-10-14T09:48:58Z</dcterms:modified>
  <cp:revision>624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05A01232424E4137AF6E864273A83E9D</vt:lpwstr>
  </property>
</Properties>
</file>