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auto"/>
          <w:sz w:val="36"/>
          <w:szCs w:val="36"/>
          <w:highlight w:val="none"/>
          <w:lang w:eastAsia="zh-CN"/>
        </w:rPr>
      </w:pPr>
      <w:r>
        <w:rPr>
          <w:rFonts w:hint="eastAsia" w:ascii="仿宋" w:hAnsi="仿宋" w:eastAsia="仿宋" w:cs="仿宋"/>
          <w:b/>
          <w:bCs/>
          <w:color w:val="auto"/>
          <w:sz w:val="40"/>
          <w:szCs w:val="40"/>
          <w:highlight w:val="none"/>
          <w:lang w:val="en-US" w:eastAsia="zh-CN"/>
        </w:rPr>
        <w:t>项目实施要求</w:t>
      </w:r>
    </w:p>
    <w:p>
      <w:pPr>
        <w:pStyle w:val="2"/>
        <w:ind w:firstLine="602" w:firstLineChars="200"/>
        <w:rPr>
          <w:rFonts w:hint="eastAsia" w:ascii="仿宋" w:hAnsi="仿宋" w:eastAsia="仿宋" w:cs="仿宋"/>
          <w:color w:val="auto"/>
          <w:lang w:val="en-US" w:eastAsia="zh-CN"/>
        </w:rPr>
      </w:pPr>
      <w:r>
        <w:rPr>
          <w:rFonts w:hint="eastAsia" w:ascii="仿宋" w:hAnsi="仿宋" w:eastAsia="仿宋" w:cs="仿宋"/>
          <w:b/>
          <w:bCs/>
          <w:color w:val="auto"/>
          <w:sz w:val="30"/>
          <w:szCs w:val="30"/>
          <w:lang w:val="en-US" w:eastAsia="zh-CN"/>
        </w:rPr>
        <w:t>一、项目概况</w:t>
      </w:r>
    </w:p>
    <w:p>
      <w:pPr>
        <w:spacing w:line="360" w:lineRule="auto"/>
        <w:ind w:firstLine="560" w:firstLineChars="200"/>
        <w:rPr>
          <w:rFonts w:hint="eastAsia" w:ascii="仿宋" w:hAnsi="仿宋" w:eastAsia="仿宋" w:cs="仿宋"/>
          <w:color w:val="auto"/>
          <w:lang w:val="en-US" w:eastAsia="zh-CN"/>
        </w:rPr>
      </w:pPr>
      <w:r>
        <w:rPr>
          <w:rFonts w:hint="eastAsia" w:ascii="仿宋" w:hAnsi="仿宋" w:eastAsia="仿宋" w:cs="仿宋"/>
          <w:color w:val="auto"/>
          <w:sz w:val="28"/>
          <w:szCs w:val="28"/>
          <w:highlight w:val="none"/>
          <w:lang w:val="en-US" w:eastAsia="zh-CN"/>
        </w:rPr>
        <w:t>我司目前有仓配业务10个、客户现场驻点6个、上门揽件客户8个，客户类型包括都美妆、小家电、药品、食品、饰品、服饰等，具体的业务量及大小件情况如下：</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（一）日常业务量及大小件占比情况</w:t>
      </w:r>
    </w:p>
    <w:tbl>
      <w:tblPr>
        <w:tblStyle w:val="6"/>
        <w:tblW w:w="95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85"/>
        <w:gridCol w:w="1200"/>
        <w:gridCol w:w="901"/>
        <w:gridCol w:w="870"/>
        <w:gridCol w:w="886"/>
        <w:gridCol w:w="763"/>
        <w:gridCol w:w="1282"/>
        <w:gridCol w:w="885"/>
        <w:gridCol w:w="1007"/>
        <w:gridCol w:w="1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76" w:hRule="atLeast"/>
          <w:jc w:val="center"/>
        </w:trPr>
        <w:tc>
          <w:tcPr>
            <w:tcW w:w="785"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仓库</w:t>
            </w:r>
          </w:p>
        </w:tc>
        <w:tc>
          <w:tcPr>
            <w:tcW w:w="1200"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客户</w:t>
            </w:r>
          </w:p>
        </w:tc>
        <w:tc>
          <w:tcPr>
            <w:tcW w:w="901"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日均量（件）</w:t>
            </w:r>
          </w:p>
        </w:tc>
        <w:tc>
          <w:tcPr>
            <w:tcW w:w="1756" w:type="dxa"/>
            <w:gridSpan w:val="2"/>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重量占比</w:t>
            </w:r>
          </w:p>
        </w:tc>
        <w:tc>
          <w:tcPr>
            <w:tcW w:w="763"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仓库</w:t>
            </w:r>
          </w:p>
        </w:tc>
        <w:tc>
          <w:tcPr>
            <w:tcW w:w="1282"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客户</w:t>
            </w:r>
          </w:p>
        </w:tc>
        <w:tc>
          <w:tcPr>
            <w:tcW w:w="885" w:type="dxa"/>
            <w:vMerge w:val="restart"/>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日均量（件）</w:t>
            </w:r>
          </w:p>
        </w:tc>
        <w:tc>
          <w:tcPr>
            <w:tcW w:w="2026" w:type="dxa"/>
            <w:gridSpan w:val="2"/>
            <w:shd w:val="clear" w:color="auto" w:fill="auto"/>
            <w:vAlign w:val="center"/>
          </w:tcPr>
          <w:p>
            <w:pPr>
              <w:pStyle w:val="2"/>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重量占比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8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0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90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＞1.5KG</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≤1.5KG</w:t>
            </w:r>
          </w:p>
        </w:tc>
        <w:tc>
          <w:tcPr>
            <w:tcW w:w="763"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82"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88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＞1.5KG</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78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菜鸟</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3021</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53%</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47%</w:t>
            </w:r>
          </w:p>
        </w:tc>
        <w:tc>
          <w:tcPr>
            <w:tcW w:w="7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w:t>
            </w: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菜鸟</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16837</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79%</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78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科捷</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89%</w:t>
            </w:r>
          </w:p>
        </w:tc>
        <w:tc>
          <w:tcPr>
            <w:tcW w:w="763"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安得</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1479</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44%</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176" w:hRule="atLeast"/>
          <w:jc w:val="center"/>
        </w:trPr>
        <w:tc>
          <w:tcPr>
            <w:tcW w:w="78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心怡</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54%</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46%</w:t>
            </w:r>
          </w:p>
        </w:tc>
        <w:tc>
          <w:tcPr>
            <w:tcW w:w="76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肇庆</w:t>
            </w: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松鼠</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10224</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83%</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夕尔</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18439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37%</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63%</w:t>
            </w:r>
          </w:p>
        </w:tc>
        <w:tc>
          <w:tcPr>
            <w:tcW w:w="7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小家电</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9378</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21%</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虎门</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丽迅</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1759</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63%</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37%</w:t>
            </w:r>
          </w:p>
        </w:tc>
        <w:tc>
          <w:tcPr>
            <w:tcW w:w="763"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百草味</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8653</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78%</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5" w:hRule="atLeast"/>
          <w:jc w:val="center"/>
        </w:trPr>
        <w:tc>
          <w:tcPr>
            <w:tcW w:w="7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万江仓</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5985</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58%</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42%</w:t>
            </w:r>
          </w:p>
        </w:tc>
        <w:tc>
          <w:tcPr>
            <w:tcW w:w="763"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其他业务</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9001</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97%</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trPr>
        <w:tc>
          <w:tcPr>
            <w:tcW w:w="7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常平</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宇浪</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1340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80%</w:t>
            </w:r>
          </w:p>
        </w:tc>
        <w:tc>
          <w:tcPr>
            <w:tcW w:w="7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零散客户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15560</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47%</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w:t>
            </w:r>
          </w:p>
        </w:tc>
        <w:tc>
          <w:tcPr>
            <w:tcW w:w="12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良品铺子</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15490</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60%</w:t>
            </w:r>
          </w:p>
        </w:tc>
        <w:tc>
          <w:tcPr>
            <w:tcW w:w="763" w:type="dxa"/>
            <w:vMerge w:val="continue"/>
            <w:shd w:val="clear" w:color="auto" w:fill="auto"/>
            <w:vAlign w:val="center"/>
          </w:tcPr>
          <w:p>
            <w:pPr>
              <w:rPr>
                <w:rFonts w:hint="eastAsia" w:ascii="仿宋" w:hAnsi="仿宋" w:eastAsia="仿宋" w:cs="仿宋"/>
                <w:i w:val="0"/>
                <w:iCs w:val="0"/>
                <w:color w:val="auto"/>
                <w:sz w:val="24"/>
                <w:szCs w:val="24"/>
                <w:u w:val="none"/>
              </w:rPr>
            </w:pPr>
          </w:p>
        </w:tc>
        <w:tc>
          <w:tcPr>
            <w:tcW w:w="128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处理中心</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15560</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47%</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 w:hRule="atLeast"/>
          <w:jc w:val="center"/>
        </w:trPr>
        <w:tc>
          <w:tcPr>
            <w:tcW w:w="1985"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90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46434</w:t>
            </w:r>
          </w:p>
        </w:tc>
        <w:tc>
          <w:tcPr>
            <w:tcW w:w="87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42%</w:t>
            </w:r>
          </w:p>
        </w:tc>
        <w:tc>
          <w:tcPr>
            <w:tcW w:w="88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58%</w:t>
            </w:r>
          </w:p>
        </w:tc>
        <w:tc>
          <w:tcPr>
            <w:tcW w:w="2045"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86692</w:t>
            </w:r>
          </w:p>
        </w:tc>
        <w:tc>
          <w:tcPr>
            <w:tcW w:w="10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64%</w:t>
            </w:r>
          </w:p>
        </w:tc>
        <w:tc>
          <w:tcPr>
            <w:tcW w:w="10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注：上表为2022年3月21日至4月20日均货量，业务量及大小件占比情况仅作为参考，不作为履约保证。</w:t>
      </w:r>
    </w:p>
    <w:p>
      <w:pPr>
        <w:pStyle w:val="2"/>
        <w:ind w:firstLine="560" w:firstLineChars="200"/>
        <w:rPr>
          <w:rFonts w:hint="eastAsia" w:ascii="仿宋" w:hAnsi="仿宋" w:eastAsia="仿宋" w:cs="仿宋"/>
          <w:color w:val="auto"/>
          <w:lang w:val="en-US" w:eastAsia="zh-CN"/>
        </w:rPr>
      </w:pPr>
      <w:r>
        <w:rPr>
          <w:rFonts w:hint="eastAsia" w:ascii="仿宋" w:hAnsi="仿宋" w:eastAsia="仿宋" w:cs="仿宋"/>
          <w:color w:val="auto"/>
          <w:sz w:val="28"/>
          <w:szCs w:val="28"/>
          <w:highlight w:val="none"/>
          <w:lang w:val="en-US" w:eastAsia="zh-CN"/>
        </w:rPr>
        <w:t>（二）旺季业务量及大小件占比情况</w:t>
      </w:r>
    </w:p>
    <w:tbl>
      <w:tblPr>
        <w:tblStyle w:val="6"/>
        <w:tblW w:w="87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15"/>
        <w:gridCol w:w="1388"/>
        <w:gridCol w:w="1764"/>
        <w:gridCol w:w="871"/>
        <w:gridCol w:w="1848"/>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PrEx>
        <w:trPr>
          <w:trHeight w:val="312" w:hRule="atLeast"/>
        </w:trPr>
        <w:tc>
          <w:tcPr>
            <w:tcW w:w="91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仓库</w:t>
            </w:r>
          </w:p>
        </w:tc>
        <w:tc>
          <w:tcPr>
            <w:tcW w:w="1388"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客户</w:t>
            </w:r>
          </w:p>
        </w:tc>
        <w:tc>
          <w:tcPr>
            <w:tcW w:w="176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日均量（件）</w:t>
            </w:r>
          </w:p>
        </w:tc>
        <w:tc>
          <w:tcPr>
            <w:tcW w:w="871"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仓库</w:t>
            </w:r>
          </w:p>
        </w:tc>
        <w:tc>
          <w:tcPr>
            <w:tcW w:w="1848"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客户</w:t>
            </w:r>
          </w:p>
        </w:tc>
        <w:tc>
          <w:tcPr>
            <w:tcW w:w="1951"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日均量（件）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91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88"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764"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87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848"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95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菜鸟</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10636</w:t>
            </w:r>
          </w:p>
        </w:tc>
        <w:tc>
          <w:tcPr>
            <w:tcW w:w="871"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w:t>
            </w: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菜鸟</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科捷</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87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安得</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心怡</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170</w:t>
            </w:r>
          </w:p>
        </w:tc>
        <w:tc>
          <w:tcPr>
            <w:tcW w:w="87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肇庆</w:t>
            </w: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三只松鼠</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夕尔</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23636</w:t>
            </w:r>
          </w:p>
        </w:tc>
        <w:tc>
          <w:tcPr>
            <w:tcW w:w="871"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菜鸟小电</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24775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trPr>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虎门</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丽迅</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9037</w:t>
            </w:r>
          </w:p>
        </w:tc>
        <w:tc>
          <w:tcPr>
            <w:tcW w:w="87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康爱多</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万江仓</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9666</w:t>
            </w:r>
          </w:p>
        </w:tc>
        <w:tc>
          <w:tcPr>
            <w:tcW w:w="871"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零散客户</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常平</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宇浪</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1473</w:t>
            </w:r>
          </w:p>
        </w:tc>
        <w:tc>
          <w:tcPr>
            <w:tcW w:w="87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84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处理中心</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65176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w:t>
            </w:r>
          </w:p>
        </w:tc>
        <w:tc>
          <w:tcPr>
            <w:tcW w:w="138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良品铺子</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w:t>
            </w:r>
          </w:p>
        </w:tc>
        <w:tc>
          <w:tcPr>
            <w:tcW w:w="871" w:type="dxa"/>
            <w:shd w:val="clear" w:color="auto" w:fill="auto"/>
            <w:vAlign w:val="center"/>
          </w:tcPr>
          <w:p>
            <w:pPr>
              <w:rPr>
                <w:rFonts w:hint="eastAsia" w:ascii="仿宋" w:hAnsi="仿宋" w:eastAsia="仿宋" w:cs="仿宋"/>
                <w:i w:val="0"/>
                <w:iCs w:val="0"/>
                <w:color w:val="auto"/>
                <w:sz w:val="24"/>
                <w:szCs w:val="24"/>
                <w:u w:val="none"/>
              </w:rPr>
            </w:pPr>
          </w:p>
        </w:tc>
        <w:tc>
          <w:tcPr>
            <w:tcW w:w="1848" w:type="dxa"/>
            <w:shd w:val="clear" w:color="auto" w:fill="auto"/>
            <w:vAlign w:val="center"/>
          </w:tcPr>
          <w:p>
            <w:pPr>
              <w:jc w:val="both"/>
              <w:rPr>
                <w:rFonts w:hint="eastAsia" w:ascii="仿宋" w:hAnsi="仿宋" w:eastAsia="仿宋" w:cs="仿宋"/>
                <w:i w:val="0"/>
                <w:iCs w:val="0"/>
                <w:color w:val="auto"/>
                <w:sz w:val="24"/>
                <w:szCs w:val="24"/>
                <w:u w:val="none"/>
              </w:rPr>
            </w:pPr>
          </w:p>
        </w:tc>
        <w:tc>
          <w:tcPr>
            <w:tcW w:w="1951" w:type="dxa"/>
            <w:shd w:val="clear" w:color="auto" w:fill="auto"/>
            <w:vAlign w:val="center"/>
          </w:tcPr>
          <w:p>
            <w:pPr>
              <w:jc w:val="both"/>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2303"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1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54718</w:t>
            </w:r>
          </w:p>
        </w:tc>
        <w:tc>
          <w:tcPr>
            <w:tcW w:w="2719"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总计</w:t>
            </w:r>
          </w:p>
        </w:tc>
        <w:tc>
          <w:tcPr>
            <w:tcW w:w="195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148898</w:t>
            </w:r>
          </w:p>
        </w:tc>
      </w:tr>
    </w:tbl>
    <w:p>
      <w:pPr>
        <w:pStyle w:val="2"/>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注：上表为2021年11月日均货量，业务量仅作为参考，不作为履约保证。</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二、采购内容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现就省物流业务分公司存量客户及后续新增客户的上门揽收、现场驻点揽收、干线运输等环节进行采购，需求如下：</w:t>
      </w:r>
    </w:p>
    <w:p>
      <w:pPr>
        <w:pStyle w:val="2"/>
        <w:ind w:firstLine="560" w:firstLineChars="200"/>
        <w:rPr>
          <w:rFonts w:hint="eastAsia" w:ascii="仿宋" w:hAnsi="仿宋" w:eastAsia="仿宋" w:cs="仿宋"/>
          <w:color w:val="auto"/>
          <w:lang w:val="en-US" w:eastAsia="zh-CN"/>
        </w:rPr>
      </w:pPr>
      <w:r>
        <w:rPr>
          <w:rFonts w:hint="eastAsia" w:ascii="仿宋" w:hAnsi="仿宋" w:eastAsia="仿宋" w:cs="仿宋"/>
          <w:color w:val="auto"/>
          <w:sz w:val="28"/>
          <w:szCs w:val="28"/>
          <w:highlight w:val="none"/>
          <w:lang w:val="en-US" w:eastAsia="zh-CN"/>
        </w:rPr>
        <w:t>（一）车型需求</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lang w:val="en-US" w:eastAsia="zh-CN"/>
        </w:rPr>
      </w:pPr>
      <w:r>
        <w:rPr>
          <w:rFonts w:hint="eastAsia" w:ascii="仿宋" w:hAnsi="仿宋" w:eastAsia="仿宋" w:cs="仿宋"/>
          <w:color w:val="auto"/>
          <w:sz w:val="28"/>
          <w:szCs w:val="28"/>
          <w:highlight w:val="none"/>
          <w:lang w:val="en-US" w:eastAsia="zh-CN"/>
        </w:rPr>
        <w:t>省物流业务分公司惠州、三水、肇庆、东莞、清远地区客户日常提货盘驳以9.6米（12吨）/13.5米（16吨）车型为主，旺季期间适当增加17.5米（18吨）的盘驳车型;广州零散客户提货日常以4.2米（3吨）为主，旺季期间需要用到7.6米及9.6米车型；处理中心日常以9.6（12吨）米车型为主，旺季省际以17.5米车型为主，省内以13.5米（16吨）为主。</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（二）车次需求</w:t>
      </w:r>
    </w:p>
    <w:tbl>
      <w:tblPr>
        <w:tblStyle w:val="6"/>
        <w:tblW w:w="88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960"/>
        <w:gridCol w:w="1030"/>
        <w:gridCol w:w="960"/>
        <w:gridCol w:w="960"/>
        <w:gridCol w:w="1030"/>
        <w:gridCol w:w="960"/>
        <w:gridCol w:w="960"/>
        <w:gridCol w:w="1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年用车数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年用车数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年用车数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867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清远小家电</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185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肇庆仓</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147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97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69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1106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2058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清远百草味</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778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211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234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1702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清远名创优品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虎门</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278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3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130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清远贝瑞</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11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819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15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2042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889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125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清远其他</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17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242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6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2561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揭阳</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188 </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367 </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汇总</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17446</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注：上表的日均总车次、促销总车次仅作为参考，不作为投标履约保证。</w:t>
      </w:r>
    </w:p>
    <w:p>
      <w:pPr>
        <w:pStyle w:val="2"/>
        <w:numPr>
          <w:ilvl w:val="0"/>
          <w:numId w:val="1"/>
        </w:numPr>
        <w:ind w:left="280" w:leftChars="0"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驻点人员需求</w:t>
      </w:r>
    </w:p>
    <w:p>
      <w:pPr>
        <w:pStyle w:val="2"/>
        <w:numPr>
          <w:ilvl w:val="0"/>
          <w:numId w:val="0"/>
        </w:numPr>
        <w:ind w:left="280" w:leftChars="0"/>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1、驻点人员情况</w:t>
      </w:r>
    </w:p>
    <w:tbl>
      <w:tblPr>
        <w:tblStyle w:val="6"/>
        <w:tblW w:w="93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0"/>
        <w:gridCol w:w="1110"/>
        <w:gridCol w:w="1143"/>
        <w:gridCol w:w="767"/>
        <w:gridCol w:w="750"/>
        <w:gridCol w:w="680"/>
        <w:gridCol w:w="1200"/>
        <w:gridCol w:w="1108"/>
        <w:gridCol w:w="880"/>
        <w:gridCol w:w="9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片区</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客户</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揽收点数(垛口数)</w:t>
            </w:r>
          </w:p>
        </w:tc>
        <w:tc>
          <w:tcPr>
            <w:tcW w:w="15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人员配备</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片区</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客户</w:t>
            </w:r>
          </w:p>
        </w:tc>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揽收点数(垛口数)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人员配备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自有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外包</w:t>
            </w: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自有</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外包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 w:hRule="atLeast"/>
          <w:jc w:val="center"/>
        </w:trPr>
        <w:tc>
          <w:tcPr>
            <w:tcW w:w="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惠州</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菜鸟</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三水</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菜鸟小电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6</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科捷</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w:t>
            </w: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安得</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6</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心怡</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w:t>
            </w: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肇庆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肇庆</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洪梅</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夕尔</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6</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清远</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清远仓</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9</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虎门</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丽迅</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花都</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康爱多</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万江</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万江仓</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广州</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零散客户</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6</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常平</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宇浪</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3</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广州</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处理中心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5</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麻涌</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良品铺子</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4</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 w:hRule="atLeast"/>
          <w:jc w:val="center"/>
        </w:trPr>
        <w:tc>
          <w:tcPr>
            <w:tcW w:w="1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总计</w:t>
            </w:r>
          </w:p>
        </w:tc>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2"/>
                <w:szCs w:val="22"/>
                <w:highlight w:val="none"/>
                <w:u w:val="none"/>
                <w:lang w:val="en-US"/>
              </w:rPr>
            </w:pPr>
            <w:r>
              <w:rPr>
                <w:rFonts w:hint="eastAsia" w:ascii="仿宋" w:hAnsi="仿宋" w:eastAsia="仿宋" w:cs="仿宋"/>
                <w:i w:val="0"/>
                <w:iCs w:val="0"/>
                <w:color w:val="auto"/>
                <w:kern w:val="0"/>
                <w:sz w:val="22"/>
                <w:szCs w:val="22"/>
                <w:highlight w:val="none"/>
                <w:u w:val="none"/>
                <w:lang w:val="en-US" w:eastAsia="zh-CN" w:bidi="ar"/>
              </w:rPr>
              <w:t>20</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总计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8</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2"/>
                <w:szCs w:val="22"/>
                <w:highlight w:val="none"/>
                <w:u w:val="none"/>
                <w:lang w:val="en-US"/>
              </w:rPr>
            </w:pPr>
            <w:r>
              <w:rPr>
                <w:rFonts w:hint="eastAsia" w:ascii="仿宋" w:hAnsi="仿宋" w:eastAsia="仿宋" w:cs="仿宋"/>
                <w:i w:val="0"/>
                <w:iCs w:val="0"/>
                <w:color w:val="auto"/>
                <w:kern w:val="0"/>
                <w:sz w:val="22"/>
                <w:szCs w:val="22"/>
                <w:highlight w:val="none"/>
                <w:u w:val="none"/>
                <w:lang w:val="en-US" w:eastAsia="zh-CN" w:bidi="ar"/>
              </w:rPr>
              <w:t>35</w:t>
            </w:r>
          </w:p>
        </w:tc>
      </w:tr>
    </w:tbl>
    <w:p>
      <w:pPr>
        <w:pStyle w:val="2"/>
        <w:numPr>
          <w:ilvl w:val="0"/>
          <w:numId w:val="0"/>
        </w:numPr>
        <w:ind w:left="280" w:leftChars="0"/>
        <w:rPr>
          <w:rFonts w:hint="eastAsia"/>
          <w:color w:val="auto"/>
          <w:highlight w:val="none"/>
          <w:lang w:val="en-US" w:eastAsia="zh-CN"/>
        </w:rPr>
      </w:pPr>
      <w:r>
        <w:rPr>
          <w:rFonts w:hint="eastAsia" w:ascii="仿宋" w:hAnsi="仿宋" w:eastAsia="仿宋" w:cs="仿宋"/>
          <w:b w:val="0"/>
          <w:bCs w:val="0"/>
          <w:color w:val="auto"/>
          <w:sz w:val="28"/>
          <w:szCs w:val="28"/>
          <w:highlight w:val="none"/>
          <w:lang w:val="en-US" w:eastAsia="zh-CN"/>
        </w:rPr>
        <w:t>2、驻点人员上班情况</w:t>
      </w:r>
    </w:p>
    <w:tbl>
      <w:tblPr>
        <w:tblStyle w:val="6"/>
        <w:tblW w:w="960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3"/>
        <w:gridCol w:w="1170"/>
        <w:gridCol w:w="1020"/>
        <w:gridCol w:w="899"/>
        <w:gridCol w:w="960"/>
        <w:gridCol w:w="960"/>
        <w:gridCol w:w="1096"/>
        <w:gridCol w:w="772"/>
        <w:gridCol w:w="96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片区</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客户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上班时间</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下班时间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时长</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片区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客户</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上班时间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下班时间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时长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惠州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菜鸟</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13:00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20:00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7</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三水</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菜鸟小电</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22:00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科捷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13:00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20:00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7</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安得</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心怡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13:00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20:00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sz w:val="22"/>
                <w:szCs w:val="22"/>
                <w:highlight w:val="none"/>
                <w:u w:val="none"/>
                <w:lang w:val="en-US" w:eastAsia="zh-CN"/>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肇庆</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肇庆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08:30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洪梅</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夕尔</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08:30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19:00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10.5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清远</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sz w:val="22"/>
                <w:szCs w:val="22"/>
                <w:highlight w:val="none"/>
                <w:u w:val="none"/>
                <w:lang w:val="en-US" w:eastAsia="zh-CN"/>
              </w:rPr>
              <w:t>清远仓</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22:00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虎门</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丽迅</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22:00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kern w:val="0"/>
                <w:sz w:val="22"/>
                <w:szCs w:val="22"/>
                <w:highlight w:val="none"/>
                <w:u w:val="none"/>
                <w:lang w:val="en-US" w:eastAsia="zh-CN" w:bidi="ar"/>
              </w:rPr>
              <w:t>广州</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kern w:val="0"/>
                <w:sz w:val="22"/>
                <w:szCs w:val="22"/>
                <w:highlight w:val="none"/>
                <w:u w:val="none"/>
                <w:lang w:val="en-US" w:eastAsia="zh-CN" w:bidi="ar"/>
              </w:rPr>
              <w:t>零散客户</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08:30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23:30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万江</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万江仓</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kern w:val="0"/>
                <w:sz w:val="22"/>
                <w:szCs w:val="22"/>
                <w:highlight w:val="none"/>
                <w:u w:val="none"/>
                <w:lang w:val="en-US" w:eastAsia="zh-CN" w:bidi="ar"/>
              </w:rPr>
              <w:t>广州</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i w:val="0"/>
                <w:iCs w:val="0"/>
                <w:color w:val="auto"/>
                <w:kern w:val="0"/>
                <w:sz w:val="22"/>
                <w:szCs w:val="22"/>
                <w:highlight w:val="none"/>
                <w:u w:val="none"/>
                <w:lang w:val="en-US" w:eastAsia="zh-CN" w:bidi="ar"/>
              </w:rPr>
              <w:t>处理中心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19:00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04:00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常平</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宇浪</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14:00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22:00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麻涌</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良品铺子</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08:30</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19:00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 w:hAnsi="仿宋" w:eastAsia="仿宋" w:cs="仿宋"/>
                <w:i w:val="0"/>
                <w:iCs w:val="0"/>
                <w:color w:val="auto"/>
                <w:sz w:val="22"/>
                <w:szCs w:val="22"/>
                <w:highlight w:val="none"/>
                <w:u w:val="none"/>
                <w:lang w:val="en-US" w:eastAsia="zh-CN"/>
              </w:rPr>
            </w:pPr>
            <w:r>
              <w:rPr>
                <w:rFonts w:hint="eastAsia" w:ascii="仿宋" w:hAnsi="仿宋" w:eastAsia="仿宋" w:cs="仿宋"/>
                <w:i w:val="0"/>
                <w:iCs w:val="0"/>
                <w:color w:val="auto"/>
                <w:sz w:val="22"/>
                <w:szCs w:val="22"/>
                <w:highlight w:val="none"/>
                <w:u w:val="none"/>
                <w:lang w:val="en-US" w:eastAsia="zh-CN"/>
              </w:rPr>
              <w:t>10.5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highlight w:val="none"/>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3、上表为2022年3月21日至4月20日，基于各驻点业务量所配备的驻点人员情况，仅作为参考，不作为投标保证，中标单位可以根据业务的实际情况，在不影响现场生产作业的情况下调整。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4、上述人员中，邮政自有人员主要负责客户沟通、车辆调度、运作质量检查及现场的生产作业安排；外包人员主要负责现场交接、揽收、分拣、封发、装车、退货及异常件的处理等。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0" w:leftChars="0"/>
        <w:jc w:val="both"/>
        <w:textAlignment w:val="auto"/>
        <w:rPr>
          <w:rFonts w:hint="eastAsia" w:ascii="仿宋" w:hAnsi="仿宋" w:eastAsia="仿宋" w:cs="仿宋"/>
          <w:b/>
          <w:bCs/>
          <w:i w:val="0"/>
          <w:iCs w:val="0"/>
          <w:color w:val="auto"/>
          <w:sz w:val="28"/>
          <w:szCs w:val="28"/>
          <w:highlight w:val="none"/>
          <w:lang w:val="en-US" w:eastAsia="zh-CN"/>
        </w:rPr>
      </w:pPr>
      <w:r>
        <w:rPr>
          <w:rFonts w:hint="eastAsia" w:ascii="仿宋" w:hAnsi="仿宋" w:eastAsia="仿宋" w:cs="仿宋"/>
          <w:b/>
          <w:bCs/>
          <w:i w:val="0"/>
          <w:iCs w:val="0"/>
          <w:color w:val="auto"/>
          <w:sz w:val="28"/>
          <w:szCs w:val="28"/>
          <w:highlight w:val="none"/>
          <w:lang w:val="en-US" w:eastAsia="zh-CN"/>
        </w:rPr>
        <w:t>三、采购预算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此次速递业务邮件揽收、干线运输按照2022年3月21日-4月20日业务量进行预测，总费用预计2508万元/年，其中邮件揽收707万元/年，运输1801万元/年。</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33"/>
        <w:gridCol w:w="1356"/>
        <w:gridCol w:w="1355"/>
        <w:gridCol w:w="1686"/>
        <w:gridCol w:w="1663"/>
        <w:gridCol w:w="12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jc w:val="center"/>
        </w:trPr>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仓库位置</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服务内容</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服务期限</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含税预算（万元）</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成交人数量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标包1</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肇庆</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77</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138</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标包2</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清远</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176</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211</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标包3</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麻涌</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103</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295</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标包4</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洪梅</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117</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146</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标包5</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三水</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119</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459</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标包6</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惠州</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标包7</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万江</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虎门</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标包8</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零散客户</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0" w:hRule="atLeast"/>
          <w:jc w:val="center"/>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89</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标包9</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处理中心</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合同签订有效期1年</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260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 w:hRule="atLeast"/>
          <w:jc w:val="center"/>
        </w:trPr>
        <w:tc>
          <w:tcPr>
            <w:tcW w:w="25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汇总</w:t>
            </w: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邮件揽收</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707</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0" w:hRule="atLeast"/>
          <w:jc w:val="center"/>
        </w:trPr>
        <w:tc>
          <w:tcPr>
            <w:tcW w:w="25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干线运输</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1801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r>
    </w:tbl>
    <w:p>
      <w:pPr>
        <w:pageBreakBefore w:val="0"/>
        <w:kinsoku/>
        <w:overflowPunct/>
        <w:topLinePunct w:val="0"/>
        <w:bidi w:val="0"/>
        <w:adjustRightInd/>
        <w:spacing w:line="440" w:lineRule="atLeas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本项目不允许</w:t>
      </w:r>
      <w:r>
        <w:rPr>
          <w:rFonts w:hint="eastAsia" w:ascii="仿宋" w:hAnsi="仿宋" w:eastAsia="仿宋" w:cs="仿宋"/>
          <w:color w:val="auto"/>
          <w:sz w:val="28"/>
          <w:szCs w:val="28"/>
          <w:highlight w:val="none"/>
          <w:lang w:eastAsia="zh-CN"/>
        </w:rPr>
        <w:t>分包、</w:t>
      </w:r>
      <w:r>
        <w:rPr>
          <w:rFonts w:hint="eastAsia" w:ascii="仿宋" w:hAnsi="仿宋" w:eastAsia="仿宋" w:cs="仿宋"/>
          <w:color w:val="auto"/>
          <w:sz w:val="28"/>
          <w:szCs w:val="28"/>
          <w:highlight w:val="none"/>
        </w:rPr>
        <w:t>转包</w:t>
      </w:r>
      <w:r>
        <w:rPr>
          <w:rFonts w:hint="eastAsia" w:ascii="仿宋" w:hAnsi="仿宋" w:eastAsia="仿宋" w:cs="仿宋"/>
          <w:color w:val="auto"/>
          <w:sz w:val="28"/>
          <w:szCs w:val="28"/>
          <w:highlight w:val="none"/>
          <w:lang w:eastAsia="zh-CN"/>
        </w:rPr>
        <w:t>，可兼投兼中，</w:t>
      </w:r>
      <w:r>
        <w:rPr>
          <w:rFonts w:hint="eastAsia" w:ascii="仿宋" w:hAnsi="仿宋" w:eastAsia="仿宋" w:cs="仿宋"/>
          <w:color w:val="auto"/>
          <w:sz w:val="28"/>
          <w:szCs w:val="28"/>
          <w:highlight w:val="none"/>
          <w:lang w:val="en-US" w:eastAsia="zh-CN"/>
        </w:rPr>
        <w:t>其中投标包4的必须兼投标包7</w:t>
      </w:r>
      <w:r>
        <w:rPr>
          <w:rFonts w:hint="eastAsia" w:ascii="仿宋" w:hAnsi="仿宋" w:eastAsia="仿宋" w:cs="仿宋"/>
          <w:color w:val="auto"/>
          <w:sz w:val="28"/>
          <w:szCs w:val="28"/>
          <w:highlight w:val="none"/>
          <w:lang w:eastAsia="zh-CN"/>
        </w:rPr>
        <w:t>。</w:t>
      </w:r>
    </w:p>
    <w:p>
      <w:pPr>
        <w:pStyle w:val="2"/>
        <w:numPr>
          <w:ilvl w:val="0"/>
          <w:numId w:val="2"/>
        </w:numPr>
        <w:ind w:left="838" w:leftChars="399" w:firstLine="0" w:firstLineChars="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各标包中标1名供应</w:t>
      </w:r>
      <w:r>
        <w:rPr>
          <w:rFonts w:hint="eastAsia" w:ascii="仿宋" w:hAnsi="仿宋" w:eastAsia="仿宋" w:cs="仿宋"/>
          <w:color w:val="auto"/>
          <w:sz w:val="28"/>
          <w:szCs w:val="28"/>
          <w:lang w:val="en-US" w:eastAsia="zh-CN"/>
        </w:rPr>
        <w:t>商。</w:t>
      </w:r>
      <w:r>
        <w:rPr>
          <w:rFonts w:hint="eastAsia" w:ascii="仿宋" w:hAnsi="仿宋" w:eastAsia="仿宋" w:cs="仿宋"/>
          <w:color w:val="auto"/>
          <w:sz w:val="28"/>
          <w:szCs w:val="28"/>
          <w:lang w:val="en-US" w:eastAsia="zh-CN"/>
        </w:rPr>
        <w:br w:type="textWrapping"/>
      </w:r>
      <w:r>
        <w:rPr>
          <w:rFonts w:hint="eastAsia" w:ascii="仿宋" w:hAnsi="仿宋" w:eastAsia="仿宋" w:cs="仿宋"/>
          <w:color w:val="auto"/>
          <w:sz w:val="28"/>
          <w:szCs w:val="28"/>
          <w:lang w:val="en-US" w:eastAsia="zh-CN"/>
        </w:rPr>
        <w:t>3、报价为含税价格</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四、标包划分及限价报价</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FF0000"/>
          <w:sz w:val="28"/>
          <w:szCs w:val="28"/>
          <w:highlight w:val="none"/>
          <w:lang w:val="en-US" w:eastAsia="zh-CN"/>
        </w:rPr>
        <w:t>（一）标包1（肇庆）——已成交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64"/>
        <w:gridCol w:w="1965"/>
        <w:gridCol w:w="780"/>
        <w:gridCol w:w="795"/>
        <w:gridCol w:w="2955"/>
      </w:tblGrid>
      <w:tr>
        <w:tblPrEx>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55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0.25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3"/>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pStyle w:val="2"/>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shd w:val="clear" w:color="auto" w:fill="auto"/>
          <w:tblLayout w:type="fixed"/>
          <w:tblCellMar>
            <w:top w:w="0" w:type="dxa"/>
            <w:left w:w="0" w:type="dxa"/>
            <w:bottom w:w="0" w:type="dxa"/>
            <w:right w:w="0" w:type="dxa"/>
          </w:tblCellMar>
        </w:tblPrEx>
        <w:trPr>
          <w:trHeight w:val="65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0.23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9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0.21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2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0.19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12"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0.15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62"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0.14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67"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0.13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64"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0.11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9"/>
        <w:gridCol w:w="1365"/>
        <w:gridCol w:w="1360"/>
        <w:gridCol w:w="1463"/>
        <w:gridCol w:w="1938"/>
        <w:gridCol w:w="1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1" w:hRule="atLeast"/>
          <w:jc w:val="center"/>
        </w:trPr>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始发</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终点</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里程（km）</w:t>
            </w:r>
          </w:p>
        </w:tc>
        <w:tc>
          <w:tcPr>
            <w:tcW w:w="146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核定装载件数</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2022年限价（元/车）</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46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12吨</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6" w:hRule="atLeast"/>
          <w:jc w:val="center"/>
        </w:trPr>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肇庆仓</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广州</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868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深圳</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1370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东莞</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1081</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三角</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1082</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槎头</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868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6" w:hRule="atLeast"/>
          <w:jc w:val="center"/>
        </w:trPr>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清远</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75</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3000</w:t>
            </w:r>
          </w:p>
        </w:tc>
        <w:tc>
          <w:tcPr>
            <w:tcW w:w="1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4"/>
                <w:szCs w:val="24"/>
                <w:highlight w:val="none"/>
                <w:u w:val="none"/>
                <w:lang w:val="en-US" w:eastAsia="zh-CN" w:bidi="ar"/>
              </w:rPr>
              <w:t>868</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highlight w:val="none"/>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标包2（清远）</w:t>
      </w:r>
    </w:p>
    <w:p>
      <w:pPr>
        <w:pStyle w:val="2"/>
        <w:numPr>
          <w:ilvl w:val="-1"/>
          <w:numId w:val="0"/>
        </w:numPr>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921"/>
        <w:gridCol w:w="1125"/>
        <w:gridCol w:w="930"/>
        <w:gridCol w:w="1965"/>
        <w:gridCol w:w="690"/>
        <w:gridCol w:w="615"/>
        <w:gridCol w:w="3225"/>
      </w:tblGrid>
      <w:tr>
        <w:tblPrEx>
          <w:shd w:val="clear" w:color="auto" w:fill="auto"/>
          <w:tblLayout w:type="fixed"/>
          <w:tblCellMar>
            <w:top w:w="0" w:type="dxa"/>
            <w:left w:w="0" w:type="dxa"/>
            <w:bottom w:w="0" w:type="dxa"/>
            <w:right w:w="0" w:type="dxa"/>
          </w:tblCellMar>
        </w:tblPrEx>
        <w:trPr>
          <w:trHeight w:val="440" w:hRule="atLeast"/>
          <w:jc w:val="center"/>
        </w:trPr>
        <w:tc>
          <w:tcPr>
            <w:tcW w:w="9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3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502" w:hRule="atLeast"/>
          <w:jc w:val="center"/>
        </w:trPr>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阶梯1</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0.26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pStyle w:val="2"/>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shd w:val="clear" w:color="auto" w:fill="auto"/>
          <w:tblLayout w:type="fixed"/>
          <w:tblCellMar>
            <w:top w:w="0" w:type="dxa"/>
            <w:left w:w="0" w:type="dxa"/>
            <w:bottom w:w="0" w:type="dxa"/>
            <w:right w:w="0" w:type="dxa"/>
          </w:tblCellMar>
        </w:tblPrEx>
        <w:trPr>
          <w:trHeight w:val="557"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阶梯2</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0.24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32"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阶梯3</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0.22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67"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阶梯4</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0.20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12"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阶梯1</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0.16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17"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阶梯2</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0.15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72"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阶梯3</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0.14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312" w:hRule="atLeast"/>
          <w:jc w:val="center"/>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阶梯4</w:t>
            </w:r>
          </w:p>
        </w:tc>
        <w:tc>
          <w:tcPr>
            <w:tcW w:w="19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0.12 </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pStyle w:val="2"/>
        <w:numPr>
          <w:ilvl w:val="-1"/>
          <w:numId w:val="0"/>
        </w:numPr>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8"/>
        <w:gridCol w:w="1197"/>
        <w:gridCol w:w="1253"/>
        <w:gridCol w:w="1492"/>
        <w:gridCol w:w="1870"/>
        <w:gridCol w:w="1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692"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2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2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清远小家电</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1680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1145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1680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1335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1680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1011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1680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lang w:val="en-US"/>
              </w:rPr>
            </w:pPr>
            <w:r>
              <w:rPr>
                <w:rFonts w:hint="eastAsia" w:ascii="仿宋" w:hAnsi="仿宋" w:eastAsia="仿宋" w:cs="仿宋"/>
                <w:i w:val="0"/>
                <w:iCs w:val="0"/>
                <w:color w:val="000000"/>
                <w:kern w:val="0"/>
                <w:sz w:val="22"/>
                <w:szCs w:val="22"/>
                <w:u w:val="none"/>
                <w:lang w:val="en-US" w:eastAsia="zh-CN" w:bidi="ar"/>
              </w:rPr>
              <w:t xml:space="preserve">945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1680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623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清远百草味</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4"/>
                <w:szCs w:val="24"/>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1145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4"/>
                <w:szCs w:val="24"/>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1335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4"/>
                <w:szCs w:val="24"/>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1011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4"/>
                <w:szCs w:val="24"/>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945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4"/>
                <w:szCs w:val="24"/>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623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清远名创优品</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1145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1335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1011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945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623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清远贝瑞</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1145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1335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1011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945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623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清远其他</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三角</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145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1145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深圳</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1335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东莞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125</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1011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佛山</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945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2" w:hRule="atLeast"/>
          <w:jc w:val="center"/>
        </w:trPr>
        <w:tc>
          <w:tcPr>
            <w:tcW w:w="11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广州</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50</w:t>
            </w:r>
          </w:p>
        </w:tc>
        <w:tc>
          <w:tcPr>
            <w:tcW w:w="1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3600</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000000"/>
                <w:kern w:val="0"/>
                <w:sz w:val="22"/>
                <w:szCs w:val="22"/>
                <w:u w:val="none"/>
                <w:lang w:val="en-US" w:eastAsia="zh-CN" w:bidi="ar"/>
              </w:rPr>
              <w:t xml:space="preserve">623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（三）标包3（麻涌）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56" w:type="dxa"/>
        <w:jc w:val="center"/>
        <w:tblInd w:w="0" w:type="dxa"/>
        <w:shd w:val="clear" w:color="auto" w:fill="auto"/>
        <w:tblLayout w:type="fixed"/>
        <w:tblCellMar>
          <w:top w:w="0" w:type="dxa"/>
          <w:left w:w="0" w:type="dxa"/>
          <w:bottom w:w="0" w:type="dxa"/>
          <w:right w:w="0" w:type="dxa"/>
        </w:tblCellMar>
      </w:tblPr>
      <w:tblGrid>
        <w:gridCol w:w="681"/>
        <w:gridCol w:w="937"/>
        <w:gridCol w:w="960"/>
        <w:gridCol w:w="2051"/>
        <w:gridCol w:w="1002"/>
        <w:gridCol w:w="811"/>
        <w:gridCol w:w="3014"/>
      </w:tblGrid>
      <w:tr>
        <w:tblPrEx>
          <w:tblLayout w:type="fixed"/>
          <w:tblCellMar>
            <w:top w:w="0" w:type="dxa"/>
            <w:left w:w="0" w:type="dxa"/>
            <w:bottom w:w="0" w:type="dxa"/>
            <w:right w:w="0" w:type="dxa"/>
          </w:tblCellMar>
        </w:tblPrEx>
        <w:trPr>
          <w:trHeight w:val="594" w:hRule="atLeast"/>
          <w:jc w:val="center"/>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30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499" w:hRule="atLeast"/>
          <w:jc w:val="center"/>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邮件</w:t>
            </w:r>
          </w:p>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处理</w:t>
            </w: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0.26</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lang w:val="en-US" w:eastAsia="zh-CN"/>
              </w:rPr>
            </w:pPr>
          </w:p>
        </w:tc>
        <w:tc>
          <w:tcPr>
            <w:tcW w:w="30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shd w:val="clear" w:color="auto" w:fill="auto"/>
          <w:tblLayout w:type="fixed"/>
          <w:tblCellMar>
            <w:top w:w="0" w:type="dxa"/>
            <w:left w:w="0" w:type="dxa"/>
            <w:bottom w:w="0" w:type="dxa"/>
            <w:right w:w="0" w:type="dxa"/>
          </w:tblCellMar>
        </w:tblPrEx>
        <w:trPr>
          <w:trHeight w:val="654"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0.24</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690"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0.22</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94"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49"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0.16</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838"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0.15</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850"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0.14</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78" w:hRule="atLeast"/>
          <w:jc w:val="center"/>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10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0.12</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30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5"/>
        <w:gridCol w:w="1175"/>
        <w:gridCol w:w="1501"/>
        <w:gridCol w:w="1456"/>
        <w:gridCol w:w="1747"/>
        <w:gridCol w:w="1468"/>
      </w:tblGrid>
      <w:tr>
        <w:tblPrEx>
          <w:shd w:val="clear" w:color="auto" w:fill="auto"/>
          <w:tblLayout w:type="fixed"/>
          <w:tblCellMar>
            <w:top w:w="0" w:type="dxa"/>
            <w:left w:w="108" w:type="dxa"/>
            <w:bottom w:w="0" w:type="dxa"/>
            <w:right w:w="108" w:type="dxa"/>
          </w:tblCellMar>
        </w:tblPrEx>
        <w:trPr>
          <w:trHeight w:val="337" w:hRule="atLeast"/>
          <w:jc w:val="center"/>
        </w:trPr>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5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5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7" w:hRule="atLeast"/>
          <w:jc w:val="center"/>
        </w:trPr>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80</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 xml:space="preserve">1139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60</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 xml:space="preserve">1008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792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55</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864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60</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 xml:space="preserve">1139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7" w:hRule="atLeast"/>
          <w:jc w:val="center"/>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106</w:t>
            </w:r>
          </w:p>
        </w:tc>
        <w:tc>
          <w:tcPr>
            <w:tcW w:w="1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3000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1317 </w:t>
            </w: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（四）标包4（洪梅）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49"/>
        <w:gridCol w:w="1980"/>
        <w:gridCol w:w="780"/>
        <w:gridCol w:w="795"/>
        <w:gridCol w:w="2955"/>
      </w:tblGrid>
      <w:tr>
        <w:tblPrEx>
          <w:shd w:val="clear" w:color="auto" w:fill="auto"/>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505"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pStyle w:val="2"/>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shd w:val="clear" w:color="auto" w:fill="auto"/>
          <w:tblLayout w:type="fixed"/>
          <w:tblCellMar>
            <w:top w:w="0" w:type="dxa"/>
            <w:left w:w="0" w:type="dxa"/>
            <w:bottom w:w="0" w:type="dxa"/>
            <w:right w:w="0" w:type="dxa"/>
          </w:tblCellMar>
        </w:tblPrEx>
        <w:trPr>
          <w:trHeight w:val="55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8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9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6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47"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0.15</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6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33"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8"/>
        <w:gridCol w:w="1188"/>
        <w:gridCol w:w="1519"/>
        <w:gridCol w:w="1333"/>
        <w:gridCol w:w="1897"/>
        <w:gridCol w:w="13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90</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998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65</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718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55</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792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776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998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0" w:hRule="atLeast"/>
          <w:jc w:val="center"/>
        </w:trPr>
        <w:tc>
          <w:tcPr>
            <w:tcW w:w="11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115</w:t>
            </w:r>
          </w:p>
        </w:tc>
        <w:tc>
          <w:tcPr>
            <w:tcW w:w="1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4000</w:t>
            </w:r>
          </w:p>
        </w:tc>
        <w:tc>
          <w:tcPr>
            <w:tcW w:w="1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1317 </w:t>
            </w:r>
          </w:p>
        </w:tc>
        <w:tc>
          <w:tcPr>
            <w:tcW w:w="13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FF0000"/>
          <w:sz w:val="28"/>
          <w:szCs w:val="28"/>
          <w:highlight w:val="none"/>
          <w:lang w:val="en-US" w:eastAsia="zh-CN"/>
        </w:rPr>
        <w:t>（五）标包5（三水）——已成交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19"/>
        <w:gridCol w:w="1980"/>
        <w:gridCol w:w="810"/>
        <w:gridCol w:w="795"/>
        <w:gridCol w:w="2955"/>
      </w:tblGrid>
      <w:tr>
        <w:tblPrEx>
          <w:shd w:val="clear" w:color="auto" w:fill="auto"/>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44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0.25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pStyle w:val="2"/>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tblLayout w:type="fixed"/>
          <w:tblCellMar>
            <w:top w:w="0" w:type="dxa"/>
            <w:left w:w="0" w:type="dxa"/>
            <w:bottom w:w="0" w:type="dxa"/>
            <w:right w:w="0" w:type="dxa"/>
          </w:tblCellMar>
        </w:tblPrEx>
        <w:trPr>
          <w:trHeight w:val="61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0.23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72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0.21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9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0.19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3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0.15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82"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0.14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0.13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 xml:space="preserve">0.11 </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6"/>
        <w:gridCol w:w="1166"/>
        <w:gridCol w:w="1490"/>
        <w:gridCol w:w="1404"/>
        <w:gridCol w:w="1928"/>
        <w:gridCol w:w="1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86" w:hRule="atLeast"/>
          <w:jc w:val="center"/>
        </w:trPr>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822</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160</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1153</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1009</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343</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135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1040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5"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822</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6" w:hRule="atLeast"/>
          <w:jc w:val="center"/>
        </w:trPr>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4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1500</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822</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（六）标包6（惠州）</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19"/>
        <w:gridCol w:w="1980"/>
        <w:gridCol w:w="810"/>
        <w:gridCol w:w="795"/>
        <w:gridCol w:w="2955"/>
      </w:tblGrid>
      <w:tr>
        <w:tblPrEx>
          <w:shd w:val="clear" w:color="auto" w:fill="auto"/>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535"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keepNext w:val="0"/>
              <w:keepLines w:val="0"/>
              <w:widowControl/>
              <w:suppressLineNumbers w:val="0"/>
              <w:jc w:val="left"/>
              <w:textAlignment w:val="center"/>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tblLayout w:type="fixed"/>
          <w:tblCellMar>
            <w:top w:w="0" w:type="dxa"/>
            <w:left w:w="0" w:type="dxa"/>
            <w:bottom w:w="0" w:type="dxa"/>
            <w:right w:w="0" w:type="dxa"/>
          </w:tblCellMar>
        </w:tblPrEx>
        <w:trPr>
          <w:trHeight w:val="58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5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8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61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02"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0.15</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70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1"/>
        <w:gridCol w:w="1170"/>
        <w:gridCol w:w="1497"/>
        <w:gridCol w:w="1790"/>
        <w:gridCol w:w="1723"/>
        <w:gridCol w:w="1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1" w:hRule="atLeast"/>
          <w:jc w:val="center"/>
        </w:trPr>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7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4" w:hRule="atLeast"/>
          <w:jc w:val="center"/>
        </w:trPr>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1016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834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95</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966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45</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649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1016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4" w:hRule="atLeast"/>
          <w:jc w:val="center"/>
        </w:trPr>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115</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1234 </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标包7（万江、虎门）</w:t>
      </w:r>
    </w:p>
    <w:p>
      <w:pPr>
        <w:pStyle w:val="2"/>
        <w:numPr>
          <w:ilvl w:val="-1"/>
          <w:numId w:val="0"/>
        </w:numPr>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19"/>
        <w:gridCol w:w="1980"/>
        <w:gridCol w:w="810"/>
        <w:gridCol w:w="795"/>
        <w:gridCol w:w="2955"/>
      </w:tblGrid>
      <w:tr>
        <w:tblPrEx>
          <w:shd w:val="clear" w:color="auto" w:fill="auto"/>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392"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keepNext w:val="0"/>
              <w:keepLines w:val="0"/>
              <w:widowControl/>
              <w:suppressLineNumbers w:val="0"/>
              <w:jc w:val="left"/>
              <w:textAlignment w:val="center"/>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shd w:val="clear" w:color="auto" w:fill="auto"/>
          <w:tblLayout w:type="fixed"/>
          <w:tblCellMar>
            <w:top w:w="0" w:type="dxa"/>
            <w:left w:w="0" w:type="dxa"/>
            <w:bottom w:w="0" w:type="dxa"/>
            <w:right w:w="0" w:type="dxa"/>
          </w:tblCellMar>
        </w:tblPrEx>
        <w:trPr>
          <w:trHeight w:val="9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2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9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87"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0.15</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73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4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pStyle w:val="2"/>
        <w:numPr>
          <w:ilvl w:val="-1"/>
          <w:numId w:val="0"/>
        </w:numPr>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2、干线运输</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3"/>
        <w:gridCol w:w="1182"/>
        <w:gridCol w:w="1244"/>
        <w:gridCol w:w="1506"/>
        <w:gridCol w:w="1953"/>
        <w:gridCol w:w="1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55" w:hRule="atLeast"/>
          <w:jc w:val="center"/>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834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65</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660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56</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806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37</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533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834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122</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1317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jc w:val="center"/>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虎门</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115</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870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864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433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36</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520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870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000000"/>
                <w:kern w:val="0"/>
                <w:sz w:val="24"/>
                <w:szCs w:val="24"/>
                <w:u w:val="none"/>
                <w:lang w:val="en-US" w:eastAsia="zh-CN" w:bidi="ar"/>
              </w:rPr>
              <w:t xml:space="preserve">1050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1" w:hRule="atLeast"/>
          <w:jc w:val="center"/>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2600</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 xml:space="preserve">520 </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（八）标包8（零散客户）</w:t>
      </w:r>
    </w:p>
    <w:p>
      <w:pPr>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1、邮件揽收</w:t>
      </w:r>
    </w:p>
    <w:tbl>
      <w:tblPr>
        <w:tblStyle w:val="6"/>
        <w:tblW w:w="9471" w:type="dxa"/>
        <w:jc w:val="center"/>
        <w:tblInd w:w="0" w:type="dxa"/>
        <w:shd w:val="clear" w:color="auto" w:fill="auto"/>
        <w:tblLayout w:type="fixed"/>
        <w:tblCellMar>
          <w:top w:w="0" w:type="dxa"/>
          <w:left w:w="0" w:type="dxa"/>
          <w:bottom w:w="0" w:type="dxa"/>
          <w:right w:w="0" w:type="dxa"/>
        </w:tblCellMar>
      </w:tblPr>
      <w:tblGrid>
        <w:gridCol w:w="1062"/>
        <w:gridCol w:w="1050"/>
        <w:gridCol w:w="879"/>
        <w:gridCol w:w="1995"/>
        <w:gridCol w:w="735"/>
        <w:gridCol w:w="795"/>
        <w:gridCol w:w="2955"/>
      </w:tblGrid>
      <w:tr>
        <w:tblPrEx>
          <w:shd w:val="clear" w:color="auto" w:fill="auto"/>
          <w:tblLayout w:type="fixed"/>
          <w:tblCellMar>
            <w:top w:w="0" w:type="dxa"/>
            <w:left w:w="0" w:type="dxa"/>
            <w:bottom w:w="0" w:type="dxa"/>
            <w:right w:w="0" w:type="dxa"/>
          </w:tblCellMar>
        </w:tblPrEx>
        <w:trPr>
          <w:trHeight w:val="440" w:hRule="atLeast"/>
          <w:jc w:val="center"/>
        </w:trPr>
        <w:tc>
          <w:tcPr>
            <w:tcW w:w="10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邮件规格</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月业务量</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限价</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报价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u w:val="none"/>
              </w:rPr>
            </w:pPr>
            <w:r>
              <w:rPr>
                <w:rFonts w:hint="eastAsia" w:ascii="仿宋" w:hAnsi="仿宋" w:eastAsia="仿宋" w:cs="仿宋"/>
                <w:i w:val="0"/>
                <w:color w:val="auto"/>
                <w:kern w:val="0"/>
                <w:sz w:val="24"/>
                <w:szCs w:val="24"/>
                <w:u w:val="none"/>
                <w:lang w:val="en-US" w:eastAsia="zh-CN" w:bidi="ar"/>
              </w:rPr>
              <w:t>备注</w:t>
            </w:r>
          </w:p>
        </w:tc>
      </w:tr>
      <w:tr>
        <w:tblPrEx>
          <w:shd w:val="clear" w:color="auto" w:fill="auto"/>
          <w:tblLayout w:type="fixed"/>
          <w:tblCellMar>
            <w:top w:w="0" w:type="dxa"/>
            <w:left w:w="0" w:type="dxa"/>
            <w:bottom w:w="0" w:type="dxa"/>
            <w:right w:w="0" w:type="dxa"/>
          </w:tblCellMar>
        </w:tblPrEx>
        <w:trPr>
          <w:trHeight w:val="550" w:hRule="atLeast"/>
          <w:jc w:val="center"/>
        </w:trPr>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邮件揽收</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numPr>
                <w:ilvl w:val="0"/>
                <w:numId w:val="0"/>
              </w:numPr>
              <w:suppressLineNumbers w:val="0"/>
              <w:jc w:val="left"/>
              <w:textAlignment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1、以上价格为全成本价，作业标准含：揽收扫描、称重/计泡、路向分拣、发运、小件装袋、装车、卸车（退件）等环节。</w:t>
            </w:r>
            <w:r>
              <w:rPr>
                <w:rFonts w:hint="eastAsia" w:ascii="仿宋" w:hAnsi="仿宋" w:eastAsia="仿宋" w:cs="仿宋"/>
                <w:color w:val="auto"/>
                <w:sz w:val="24"/>
                <w:szCs w:val="24"/>
                <w:lang w:val="en-US" w:eastAsia="zh-CN"/>
              </w:rPr>
              <w:br w:type="textWrapping"/>
            </w:r>
            <w:r>
              <w:rPr>
                <w:rFonts w:hint="eastAsia" w:ascii="仿宋" w:hAnsi="仿宋" w:eastAsia="仿宋" w:cs="仿宋"/>
                <w:color w:val="auto"/>
                <w:sz w:val="24"/>
                <w:szCs w:val="24"/>
                <w:lang w:val="en-US" w:eastAsia="zh-CN"/>
              </w:rPr>
              <w:t>2、结算方式：结算款=当月对应的业务量*对应单价-考核款</w:t>
            </w:r>
          </w:p>
          <w:p>
            <w:pPr>
              <w:keepNext w:val="0"/>
              <w:keepLines w:val="0"/>
              <w:widowControl/>
              <w:suppressLineNumbers w:val="0"/>
              <w:jc w:val="left"/>
              <w:textAlignment w:val="center"/>
              <w:rPr>
                <w:rFonts w:hint="eastAsia" w:ascii="仿宋" w:hAnsi="仿宋" w:eastAsia="仿宋" w:cs="仿宋"/>
                <w:i w:val="0"/>
                <w:color w:val="auto"/>
                <w:sz w:val="24"/>
                <w:szCs w:val="24"/>
                <w:u w:val="none"/>
              </w:rPr>
            </w:pPr>
            <w:r>
              <w:rPr>
                <w:rFonts w:hint="eastAsia" w:ascii="仿宋" w:hAnsi="仿宋" w:eastAsia="仿宋" w:cs="仿宋"/>
                <w:color w:val="auto"/>
                <w:sz w:val="24"/>
                <w:szCs w:val="24"/>
                <w:lang w:val="en-US" w:eastAsia="zh-CN"/>
              </w:rPr>
              <w:t>3、邮件路向分拣正常为3个路向，由于各驻点/项目作业流程优化、生产环节调整等因素，如增加或减少1个路向，根据实际操作每增减1个环节增减0.02元/件。</w:t>
            </w:r>
          </w:p>
        </w:tc>
      </w:tr>
      <w:tr>
        <w:tblPrEx>
          <w:tblLayout w:type="fixed"/>
          <w:tblCellMar>
            <w:top w:w="0" w:type="dxa"/>
            <w:left w:w="0" w:type="dxa"/>
            <w:bottom w:w="0" w:type="dxa"/>
            <w:right w:w="0" w:type="dxa"/>
          </w:tblCellMar>
        </w:tblPrEx>
        <w:trPr>
          <w:trHeight w:val="607"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（150000-250000]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61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(250000-400000]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6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0.20</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55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≤1.5KG</w:t>
            </w: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阶梯1</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0.16</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542"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阶梯2</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（20000-300000]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0.15</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shd w:val="clear" w:color="auto" w:fill="auto"/>
          <w:tblLayout w:type="fixed"/>
          <w:tblCellMar>
            <w:top w:w="0" w:type="dxa"/>
            <w:left w:w="0" w:type="dxa"/>
            <w:bottom w:w="0" w:type="dxa"/>
            <w:right w:w="0" w:type="dxa"/>
          </w:tblCellMar>
        </w:tblPrEx>
        <w:trPr>
          <w:trHeight w:val="715"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阶梯3</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（300000-400000]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0.14</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r>
        <w:tblPrEx>
          <w:tblLayout w:type="fixed"/>
          <w:tblCellMar>
            <w:top w:w="0" w:type="dxa"/>
            <w:left w:w="0" w:type="dxa"/>
            <w:bottom w:w="0" w:type="dxa"/>
            <w:right w:w="0" w:type="dxa"/>
          </w:tblCellMar>
        </w:tblPrEx>
        <w:trPr>
          <w:trHeight w:val="440" w:hRule="atLeast"/>
          <w:jc w:val="center"/>
        </w:trPr>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auto"/>
                <w:sz w:val="24"/>
                <w:szCs w:val="24"/>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阶梯4</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b w:val="0"/>
                <w:bCs/>
                <w:i w:val="0"/>
                <w:color w:val="auto"/>
                <w:kern w:val="0"/>
                <w:sz w:val="24"/>
                <w:szCs w:val="24"/>
                <w:u w:val="none"/>
                <w:lang w:val="en-US" w:eastAsia="zh-CN" w:bidi="ar"/>
              </w:rPr>
              <w:t>＞400000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0.12</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u w:val="none"/>
              </w:rPr>
            </w:pPr>
          </w:p>
        </w:tc>
        <w:tc>
          <w:tcPr>
            <w:tcW w:w="2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auto"/>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备注：以上报价包含投标方6%的装卸搬运增值税、员工的薪金及加班费（含节假日）、五险一金、服务费、管理费等。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2、按件运输（零散业务）</w:t>
      </w:r>
    </w:p>
    <w:tbl>
      <w:tblPr>
        <w:tblStyle w:val="6"/>
        <w:tblW w:w="8621"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
      <w:tblGrid>
        <w:gridCol w:w="1429"/>
        <w:gridCol w:w="983"/>
        <w:gridCol w:w="1205"/>
        <w:gridCol w:w="1282"/>
        <w:gridCol w:w="1268"/>
        <w:gridCol w:w="1104"/>
        <w:gridCol w:w="135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Ex>
        <w:trPr>
          <w:trHeight w:val="338" w:hRule="atLeast"/>
          <w:jc w:val="center"/>
        </w:trPr>
        <w:tc>
          <w:tcPr>
            <w:tcW w:w="1429"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上门揽收</w:t>
            </w:r>
          </w:p>
        </w:tc>
        <w:tc>
          <w:tcPr>
            <w:tcW w:w="983" w:type="dxa"/>
            <w:vMerge w:val="restart"/>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卸货点</w:t>
            </w:r>
          </w:p>
        </w:tc>
        <w:tc>
          <w:tcPr>
            <w:tcW w:w="1205" w:type="dxa"/>
            <w:vMerge w:val="restart"/>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日均量（件）</w:t>
            </w:r>
          </w:p>
        </w:tc>
        <w:tc>
          <w:tcPr>
            <w:tcW w:w="2550" w:type="dxa"/>
            <w:gridSpan w:val="2"/>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限价（元/件）</w:t>
            </w:r>
          </w:p>
        </w:tc>
        <w:tc>
          <w:tcPr>
            <w:tcW w:w="2454" w:type="dxa"/>
            <w:gridSpan w:val="2"/>
            <w:tcBorders>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报价（元/件）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Ex>
        <w:trPr>
          <w:trHeight w:val="644" w:hRule="atLeast"/>
          <w:jc w:val="center"/>
        </w:trPr>
        <w:tc>
          <w:tcPr>
            <w:tcW w:w="1429" w:type="dxa"/>
            <w:vMerge w:val="continue"/>
            <w:tcBorders>
              <w:top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98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2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单件重量＜3KG</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单件重量＞3KG</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单件重量 ＜3KG</w:t>
            </w:r>
          </w:p>
        </w:tc>
        <w:tc>
          <w:tcPr>
            <w:tcW w:w="135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单件重量 ＞3KG</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6" w:hRule="atLeast"/>
          <w:jc w:val="center"/>
        </w:trPr>
        <w:tc>
          <w:tcPr>
            <w:tcW w:w="1429" w:type="dxa"/>
            <w:tcBorders>
              <w:top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color w:val="auto"/>
                <w:sz w:val="24"/>
                <w:szCs w:val="24"/>
                <w:lang w:eastAsia="zh-CN" w:bidi="ar"/>
              </w:rPr>
              <w:t>广州</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广州</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4000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0.64 </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0.80 </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50" w:type="dxa"/>
            <w:tcBorders>
              <w:top w:val="single" w:color="000000" w:sz="4" w:space="0"/>
              <w:left w:val="single" w:color="000000" w:sz="4" w:space="0"/>
              <w:bottom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Ex>
        <w:trPr>
          <w:trHeight w:val="526" w:hRule="atLeast"/>
          <w:jc w:val="center"/>
        </w:trPr>
        <w:tc>
          <w:tcPr>
            <w:tcW w:w="1429" w:type="dxa"/>
            <w:tcBorders>
              <w:top w:val="single" w:color="auto" w:sz="4" w:space="0"/>
              <w:bottom w:val="single" w:color="auto" w:sz="4" w:space="0"/>
              <w:right w:val="single" w:color="000000" w:sz="4" w:space="0"/>
            </w:tcBorders>
            <w:shd w:val="clear" w:color="auto" w:fill="auto"/>
            <w:vAlign w:val="center"/>
          </w:tcPr>
          <w:p>
            <w:pPr>
              <w:jc w:val="center"/>
              <w:textAlignment w:val="center"/>
              <w:rPr>
                <w:rFonts w:hint="eastAsia" w:ascii="仿宋" w:hAnsi="仿宋" w:eastAsia="仿宋" w:cs="仿宋"/>
                <w:color w:val="auto"/>
                <w:sz w:val="24"/>
                <w:szCs w:val="24"/>
                <w:lang w:eastAsia="zh-CN" w:bidi="ar"/>
              </w:rPr>
            </w:pPr>
            <w:r>
              <w:rPr>
                <w:rFonts w:hint="eastAsia" w:ascii="仿宋" w:hAnsi="仿宋" w:eastAsia="仿宋" w:cs="仿宋"/>
                <w:color w:val="auto"/>
                <w:sz w:val="24"/>
                <w:szCs w:val="24"/>
                <w:lang w:eastAsia="zh-CN" w:bidi="ar"/>
              </w:rPr>
              <w:t>佛山</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广州</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400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0.80 </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1.00 </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50" w:type="dxa"/>
            <w:tcBorders>
              <w:top w:val="single" w:color="000000" w:sz="4" w:space="0"/>
              <w:left w:val="single" w:color="000000" w:sz="4" w:space="0"/>
              <w:bottom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Ex>
        <w:trPr>
          <w:trHeight w:val="526" w:hRule="atLeast"/>
          <w:jc w:val="center"/>
        </w:trPr>
        <w:tc>
          <w:tcPr>
            <w:tcW w:w="1429" w:type="dxa"/>
            <w:tcBorders>
              <w:top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 w:hAnsi="仿宋" w:eastAsia="仿宋" w:cs="仿宋"/>
                <w:color w:val="auto"/>
                <w:sz w:val="24"/>
                <w:szCs w:val="24"/>
                <w:lang w:eastAsia="zh-CN" w:bidi="ar"/>
              </w:rPr>
            </w:pPr>
            <w:r>
              <w:rPr>
                <w:rFonts w:hint="eastAsia" w:ascii="仿宋" w:hAnsi="仿宋" w:eastAsia="仿宋" w:cs="仿宋"/>
                <w:color w:val="auto"/>
                <w:sz w:val="24"/>
                <w:szCs w:val="24"/>
                <w:lang w:eastAsia="zh-CN" w:bidi="ar"/>
              </w:rPr>
              <w:t>东莞</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万江</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600</w:t>
            </w:r>
          </w:p>
        </w:tc>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1.00 </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lang w:val="en-US" w:eastAsia="zh-CN"/>
              </w:rPr>
            </w:pPr>
            <w:r>
              <w:rPr>
                <w:rFonts w:hint="eastAsia" w:ascii="仿宋" w:hAnsi="仿宋" w:eastAsia="仿宋" w:cs="仿宋"/>
                <w:i w:val="0"/>
                <w:iCs w:val="0"/>
                <w:color w:val="auto"/>
                <w:sz w:val="24"/>
                <w:szCs w:val="24"/>
                <w:highlight w:val="none"/>
                <w:u w:val="none"/>
                <w:lang w:val="en-US" w:eastAsia="zh-CN"/>
              </w:rPr>
              <w:t xml:space="preserve">1.47 </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c>
          <w:tcPr>
            <w:tcW w:w="1350" w:type="dxa"/>
            <w:tcBorders>
              <w:top w:val="single" w:color="000000" w:sz="4" w:space="0"/>
              <w:left w:val="single" w:color="000000" w:sz="4" w:space="0"/>
              <w:bottom w:val="single" w:color="000000" w:sz="4" w:space="0"/>
            </w:tcBorders>
            <w:shd w:val="clear" w:color="auto" w:fill="auto"/>
            <w:vAlign w:val="center"/>
          </w:tcPr>
          <w:p>
            <w:pPr>
              <w:jc w:val="center"/>
              <w:rPr>
                <w:rFonts w:hint="eastAsia" w:ascii="仿宋" w:hAnsi="仿宋" w:eastAsia="仿宋" w:cs="仿宋"/>
                <w:i w:val="0"/>
                <w:iCs w:val="0"/>
                <w:color w:val="auto"/>
                <w:sz w:val="24"/>
                <w:szCs w:val="24"/>
                <w:highlight w:val="none"/>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备注：1、以上卸货点均为处理中心（槎头、清远、万江）；</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840" w:firstLineChars="300"/>
        <w:jc w:val="left"/>
        <w:textAlignment w:val="auto"/>
        <w:rPr>
          <w:rFonts w:hint="eastAsia" w:ascii="仿宋" w:hAnsi="仿宋" w:eastAsia="仿宋" w:cs="仿宋"/>
          <w:color w:val="auto"/>
          <w:lang w:val="en-US" w:eastAsia="zh-CN"/>
        </w:rPr>
      </w:pPr>
      <w:r>
        <w:rPr>
          <w:rFonts w:hint="eastAsia" w:ascii="仿宋" w:hAnsi="仿宋" w:eastAsia="仿宋" w:cs="仿宋"/>
          <w:b w:val="0"/>
          <w:bCs w:val="0"/>
          <w:color w:val="auto"/>
          <w:sz w:val="28"/>
          <w:szCs w:val="28"/>
          <w:highlight w:val="none"/>
          <w:lang w:val="en-US" w:eastAsia="zh-CN"/>
        </w:rPr>
        <w:t>2、报价含9%的增值税、保险费、高速路费，无需卸车；</w:t>
      </w:r>
    </w:p>
    <w:p>
      <w:pPr>
        <w:pStyle w:val="2"/>
        <w:widowControl w:val="0"/>
        <w:numPr>
          <w:ilvl w:val="0"/>
          <w:numId w:val="0"/>
        </w:numPr>
        <w:spacing w:after="12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FF0000"/>
          <w:sz w:val="28"/>
          <w:szCs w:val="28"/>
          <w:highlight w:val="none"/>
          <w:lang w:val="en-US" w:eastAsia="zh-CN"/>
        </w:rPr>
        <w:t>（九）标包9（处理中心干线运输）——已成交</w:t>
      </w:r>
    </w:p>
    <w:tbl>
      <w:tblPr>
        <w:tblStyle w:val="6"/>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5"/>
        <w:gridCol w:w="1134"/>
        <w:gridCol w:w="1450"/>
        <w:gridCol w:w="1465"/>
        <w:gridCol w:w="1804"/>
        <w:gridCol w:w="15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始发</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终点</w:t>
            </w:r>
          </w:p>
        </w:tc>
        <w:tc>
          <w:tcPr>
            <w:tcW w:w="14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里程（km）</w:t>
            </w:r>
          </w:p>
        </w:tc>
        <w:tc>
          <w:tcPr>
            <w:tcW w:w="1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核定装载件数</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2022年限价（元/车）</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报价（元/车）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617</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901</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793</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412</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揭阳</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380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2069</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750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823</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清远</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593</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深圳</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1271</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963</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900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172</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1635</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江门</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1074</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揭阳</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380</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2280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jc w:val="center"/>
        </w:trPr>
        <w:tc>
          <w:tcPr>
            <w:tcW w:w="11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2"/>
                <w:szCs w:val="22"/>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三角</w:t>
            </w: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145</w:t>
            </w:r>
          </w:p>
        </w:tc>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2500</w:t>
            </w:r>
          </w:p>
        </w:tc>
        <w:tc>
          <w:tcPr>
            <w:tcW w:w="1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1090</w:t>
            </w:r>
          </w:p>
        </w:tc>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2"/>
                <w:szCs w:val="22"/>
                <w:u w:val="none"/>
              </w:rPr>
            </w:pPr>
          </w:p>
        </w:tc>
      </w:tr>
    </w:tbl>
    <w:p>
      <w:pPr>
        <w:numPr>
          <w:ilvl w:val="0"/>
          <w:numId w:val="0"/>
        </w:numPr>
        <w:spacing w:line="360" w:lineRule="auto"/>
        <w:ind w:firstLine="0" w:firstLineChars="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备注：1、报价含9%的增值税、保险费、高速路费，无需卸车；</w:t>
      </w:r>
    </w:p>
    <w:p>
      <w:pPr>
        <w:numPr>
          <w:ilvl w:val="0"/>
          <w:numId w:val="0"/>
        </w:numPr>
        <w:spacing w:line="360" w:lineRule="auto"/>
        <w:ind w:firstLine="840" w:firstLineChars="3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2、广州包含华集、江高、广航等处理中心。</w:t>
      </w:r>
    </w:p>
    <w:p>
      <w:pPr>
        <w:pStyle w:val="2"/>
        <w:rPr>
          <w:rFonts w:hint="eastAsia" w:ascii="仿宋" w:hAnsi="仿宋" w:eastAsia="仿宋" w:cs="仿宋"/>
          <w:color w:val="auto"/>
          <w:lang w:val="en-US" w:eastAsia="zh-CN"/>
        </w:rPr>
      </w:pPr>
      <w:r>
        <w:rPr>
          <w:rFonts w:hint="eastAsia" w:ascii="仿宋" w:hAnsi="仿宋" w:eastAsia="仿宋" w:cs="仿宋"/>
          <w:b w:val="0"/>
          <w:bCs w:val="0"/>
          <w:color w:val="auto"/>
          <w:sz w:val="28"/>
          <w:szCs w:val="28"/>
          <w:highlight w:val="none"/>
          <w:lang w:val="en-US" w:eastAsia="zh-CN"/>
        </w:rPr>
        <w:t xml:space="preserve">      3、处理中心地址搬迁，处理中心始发到各省、市处理中心邮路价格则按槎头始发价格折算成元/吨公里再乘以公里数；如临时新增路线，则按同路向邮路价格折算成元/吨公里再乘以公里数（新处理中心始发的公里数以百度、高德地图的最短线路为准）。</w:t>
      </w:r>
    </w:p>
    <w:p>
      <w:pPr>
        <w:keepNext w:val="0"/>
        <w:keepLines w:val="0"/>
        <w:pageBreakBefore w:val="0"/>
        <w:widowControl w:val="0"/>
        <w:kinsoku/>
        <w:wordWrap/>
        <w:overflowPunct/>
        <w:topLinePunct w:val="0"/>
        <w:autoSpaceDE/>
        <w:autoSpaceDN/>
        <w:bidi w:val="0"/>
        <w:adjustRightInd/>
        <w:snapToGrid/>
        <w:spacing w:line="360" w:lineRule="auto"/>
        <w:ind w:firstLine="281" w:firstLineChars="1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五、采购要求</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280" w:firstLineChars="1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资质要求</w:t>
      </w:r>
    </w:p>
    <w:p>
      <w:pP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提供合法</w:t>
      </w:r>
      <w:r>
        <w:rPr>
          <w:rFonts w:hint="eastAsia" w:ascii="仿宋" w:hAnsi="仿宋" w:eastAsia="仿宋" w:cs="仿宋"/>
          <w:color w:val="auto"/>
          <w:sz w:val="28"/>
          <w:szCs w:val="28"/>
          <w:highlight w:val="none"/>
          <w:lang w:val="en-US" w:eastAsia="zh-CN"/>
        </w:rPr>
        <w:t>有效</w:t>
      </w:r>
      <w:r>
        <w:rPr>
          <w:rFonts w:hint="eastAsia" w:ascii="仿宋" w:hAnsi="仿宋" w:eastAsia="仿宋" w:cs="仿宋"/>
          <w:color w:val="auto"/>
          <w:sz w:val="28"/>
          <w:szCs w:val="28"/>
          <w:highlight w:val="none"/>
        </w:rPr>
        <w:t>的工商营业执照、开户许可证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道路运输许可证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营业执照范围应包含运输、装卸搬运、业务流程外包等服务</w:t>
      </w:r>
      <w:r>
        <w:rPr>
          <w:rFonts w:hint="eastAsia" w:ascii="仿宋" w:hAnsi="仿宋" w:eastAsia="仿宋" w:cs="仿宋"/>
          <w:color w:val="auto"/>
          <w:sz w:val="28"/>
          <w:szCs w:val="28"/>
          <w:highlight w:val="none"/>
        </w:rPr>
        <w:t>。</w:t>
      </w:r>
    </w:p>
    <w:p>
      <w:pPr>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具备良好的应急处理能力，及时、合理进行人员车辆调度和生产作业组织，确保客户提出的各项要求完成</w:t>
      </w:r>
      <w:r>
        <w:rPr>
          <w:rFonts w:hint="eastAsia" w:ascii="仿宋" w:hAnsi="仿宋" w:eastAsia="仿宋" w:cs="仿宋"/>
          <w:color w:val="auto"/>
          <w:sz w:val="28"/>
          <w:szCs w:val="28"/>
          <w:highlight w:val="none"/>
          <w:lang w:eastAsia="zh-CN"/>
        </w:rPr>
        <w:t>。</w:t>
      </w:r>
    </w:p>
    <w:p>
      <w:pP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实力及信誉良好，资金规模、管理能力、业务技术及经验水平能够满足邮政速递物流业务外包的要求。</w:t>
      </w:r>
    </w:p>
    <w:p>
      <w:p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4、具体开具6%的装卸搬运增值税以及9%的货物运输业增值税。</w:t>
      </w:r>
    </w:p>
    <w:p>
      <w:p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安全技术性能良好，并配备消防器材（以邮政安全方面相关规定为准）；车辆手续齐全、车况良好，符合国家相关规定（包括但不限于不得擅自改装）；符合防火、防盗、防腐、防潮的配备要求，能够保证邮件运输安全；不允许使用累计行驶里程达到60万公里以上或者使用年限达到5年以上的车辆承担邮件干线运输任务；提供符合要求的车辆监控设备，需配备部标固定式卫星定位设备，并配合采购人接入中国邮政车辆运行管控平台（以下简称车管平台），必须严格落实车管平台基础数据采集与审核工作，规范生产和信息操作，确保北斗/GPS进出围栏采集率达到99%以上。</w:t>
      </w:r>
    </w:p>
    <w:p>
      <w:p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6、需具备全国各地市运输地限行时段的通行证办理能力。</w:t>
      </w:r>
    </w:p>
    <w:p>
      <w:p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7、服务商在承运具体线路时，邮件全程运输以高速公路为主，平均运行时速原则上应不低于65公里/小时（个别重点线路需要提升至70公里/小时）。</w:t>
      </w:r>
    </w:p>
    <w:p>
      <w:pPr>
        <w:pStyle w:val="2"/>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8、所有委办司机均要注册及使用司机帮APP。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（二）现场揽收要求</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1、点数和揽收。先进行实物点数，和交接单数量一致时，PDA登录对应工号，对再逐件扫描；</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2、称重计泡。PDA连接蓝牙电子秤，逐个邮件进行称重计费，对于符合计泡邮件（标准快递单边超60cm,快递包裹长宽高三边相加超100cm）要逐件进行计泡计费；</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3、分拣和装车。揽收称重（计泡）后，根据省物流业务分公司的要求（促销另通知）分路向，并按照发运路向装车，装车时应做到小件装袋、按照要求码放整齐，装车完成后封车、开路单、发车。</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4、平衡合拢。当天要对揽收数、客户出库数、交接单交接数进行平衡合拢并与客户签订有效的交接单凭证，交接凭证原件需保存，每月上交一次甲方；</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5、退件处理。对客户撤单、禁限寄邮件、停发区域邮件进行现场截留并与客户做好退仓交接；对客户发出后退客户邮件，卸车后按类别进行分类整理，完成后再与客户做好退货交接处理；</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6、现场管理。除遵守客户现场管理的相关规定外，还需要做到每日生产区域的工位、地面、消防设施、电器设备卫生清理，达到6S管理标准；</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人员安排。驻点、上门揽收人员需要根据货量情况安排适量的生产人员，不得影响客户出货，堵塞客户现场。</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（三）车辆安排</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干线运输中标人需要满足省物流业务分公通过电话、微信、电子邮件等方式通知的车辆需求，并根据需求做好车辆安排，确保车型符合规定、车辆准时到达。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（四）其他要求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1、盘驳车型。上门揽收客户根据客户业务量情况，安排对应车型车辆，客户每天交接的邮件必须全部提完。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2、干线运输。以厢式车为主，车厢需平整、干净、不得有异味，不渗水、漏水；不得私自配载其他货物。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3、车辆监控。提供符合要求的车辆监控设备，需配备部标固定式卫星定位设备，并配合采购人接入中国邮政车辆运行管控平台（以下简称车管平台），必须严格落实车管平台基础数据采集与审核工作，规范生产和信息操作，确保北斗/GPS进出围栏采集率达到99%以上。 </w:t>
      </w:r>
    </w:p>
    <w:p>
      <w:pPr>
        <w:pStyle w:val="2"/>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4、乙方如在生产过程中造成PDA、蓝牙电子秤、皮带机、手动叉车、地牛等设备的丢失、损坏、故障，需对丢失、损坏、故障的设备进行赔偿、维修。</w:t>
      </w:r>
    </w:p>
    <w:p>
      <w:pPr>
        <w:pStyle w:val="2"/>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5、旺季周期。</w:t>
      </w:r>
    </w:p>
    <w:tbl>
      <w:tblPr>
        <w:tblStyle w:val="6"/>
        <w:tblW w:w="8428" w:type="dxa"/>
        <w:tblInd w:w="93" w:type="dxa"/>
        <w:shd w:val="clear" w:color="auto" w:fill="auto"/>
        <w:tblLayout w:type="fixed"/>
        <w:tblCellMar>
          <w:top w:w="0" w:type="dxa"/>
          <w:left w:w="108" w:type="dxa"/>
          <w:bottom w:w="0" w:type="dxa"/>
          <w:right w:w="108" w:type="dxa"/>
        </w:tblCellMar>
      </w:tblPr>
      <w:tblGrid>
        <w:gridCol w:w="1190"/>
        <w:gridCol w:w="1648"/>
        <w:gridCol w:w="3342"/>
        <w:gridCol w:w="1124"/>
        <w:gridCol w:w="1124"/>
      </w:tblGrid>
      <w:tr>
        <w:tblPrEx>
          <w:shd w:val="clear" w:color="auto" w:fill="auto"/>
          <w:tblLayout w:type="fixed"/>
          <w:tblCellMar>
            <w:top w:w="0" w:type="dxa"/>
            <w:left w:w="108" w:type="dxa"/>
            <w:bottom w:w="0" w:type="dxa"/>
            <w:right w:w="108" w:type="dxa"/>
          </w:tblCellMar>
        </w:tblPrEx>
        <w:trPr>
          <w:trHeight w:val="418" w:hRule="atLeast"/>
        </w:trPr>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年份</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月份</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时间</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旺季</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备注</w:t>
            </w: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2022年</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1日至6日、11日至20日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双11</w:t>
            </w:r>
          </w:p>
        </w:tc>
        <w:tc>
          <w:tcPr>
            <w:tcW w:w="112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实际促销旺季时间段以促销公布时间为准</w:t>
            </w: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12日至16日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双12</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2023年</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1日至20日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年货节</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1月至2月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1月28日至2月5日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春节不打烊</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1日至4日、16日-21日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618</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1日至6日、11日至20日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双11</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12日至16日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双12</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2024年</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1月至2月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1月20日至2月8日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年货节</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289"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17日至24日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春节不打烊</w:t>
            </w:r>
          </w:p>
        </w:tc>
        <w:tc>
          <w:tcPr>
            <w:tcW w:w="112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r>
        <w:tblPrEx>
          <w:shd w:val="clear" w:color="auto" w:fill="auto"/>
          <w:tblLayout w:type="fixed"/>
          <w:tblCellMar>
            <w:top w:w="0" w:type="dxa"/>
            <w:left w:w="108" w:type="dxa"/>
            <w:bottom w:w="0" w:type="dxa"/>
            <w:right w:w="108" w:type="dxa"/>
          </w:tblCellMar>
        </w:tblPrEx>
        <w:trPr>
          <w:trHeight w:val="307" w:hRule="atLeast"/>
        </w:trPr>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auto"/>
                <w:sz w:val="24"/>
                <w:szCs w:val="24"/>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6月</w:t>
            </w:r>
          </w:p>
        </w:tc>
        <w:tc>
          <w:tcPr>
            <w:tcW w:w="3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1日至4日、16日-21日</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618</w:t>
            </w:r>
          </w:p>
        </w:tc>
        <w:tc>
          <w:tcPr>
            <w:tcW w:w="112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kern w:val="0"/>
                <w:sz w:val="24"/>
                <w:szCs w:val="24"/>
                <w:u w:val="none"/>
                <w:lang w:val="en-US" w:eastAsia="zh-CN" w:bidi="ar"/>
              </w:rPr>
            </w:pPr>
          </w:p>
        </w:tc>
      </w:tr>
    </w:tbl>
    <w:p>
      <w:pPr>
        <w:numPr>
          <w:ilvl w:val="0"/>
          <w:numId w:val="9"/>
        </w:numPr>
        <w:autoSpaceDE w:val="0"/>
        <w:autoSpaceDN w:val="0"/>
        <w:adjustRightInd w:val="0"/>
        <w:ind w:right="42" w:rightChars="2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本次招标不单独设置旺季价，旺季期间，邮件揽收结算单价根据业务量按阶梯报价的110%上浮计算，旺季仅限于双十一、年货节；</w:t>
      </w:r>
      <w:r>
        <w:rPr>
          <w:rFonts w:hint="eastAsia" w:ascii="仿宋" w:hAnsi="仿宋" w:eastAsia="仿宋" w:cs="仿宋"/>
          <w:color w:val="auto"/>
          <w:kern w:val="0"/>
          <w:sz w:val="28"/>
          <w:szCs w:val="28"/>
          <w:highlight w:val="none"/>
        </w:rPr>
        <w:t>旺季期间，乙方必须满足全部所有加车需求，</w:t>
      </w:r>
      <w:r>
        <w:rPr>
          <w:rFonts w:hint="eastAsia" w:ascii="仿宋" w:hAnsi="仿宋" w:eastAsia="仿宋" w:cs="仿宋"/>
          <w:color w:val="auto"/>
          <w:kern w:val="0"/>
          <w:sz w:val="28"/>
          <w:szCs w:val="28"/>
          <w:highlight w:val="none"/>
          <w:lang w:val="en-US" w:eastAsia="zh-CN"/>
        </w:rPr>
        <w:t>其中</w:t>
      </w:r>
      <w:r>
        <w:rPr>
          <w:rFonts w:hint="eastAsia" w:ascii="仿宋" w:hAnsi="仿宋" w:eastAsia="仿宋" w:cs="仿宋"/>
          <w:color w:val="auto"/>
          <w:sz w:val="28"/>
          <w:szCs w:val="28"/>
          <w:highlight w:val="none"/>
          <w:lang w:val="en-US" w:eastAsia="zh-CN"/>
        </w:rPr>
        <w:t>日常平均车次</w:t>
      </w:r>
      <w:r>
        <w:rPr>
          <w:rFonts w:hint="eastAsia" w:ascii="仿宋" w:hAnsi="仿宋" w:eastAsia="仿宋" w:cs="仿宋"/>
          <w:color w:val="auto"/>
          <w:kern w:val="0"/>
          <w:sz w:val="28"/>
          <w:szCs w:val="28"/>
          <w:highlight w:val="none"/>
        </w:rPr>
        <w:t>按照合同价格结算，</w:t>
      </w:r>
      <w:r>
        <w:rPr>
          <w:rFonts w:hint="eastAsia" w:ascii="仿宋" w:hAnsi="仿宋" w:eastAsia="仿宋" w:cs="仿宋"/>
          <w:color w:val="auto"/>
          <w:kern w:val="0"/>
          <w:sz w:val="28"/>
          <w:szCs w:val="28"/>
          <w:highlight w:val="none"/>
          <w:lang w:val="en-US" w:eastAsia="zh-CN"/>
        </w:rPr>
        <w:t>超出</w:t>
      </w:r>
      <w:r>
        <w:rPr>
          <w:rFonts w:hint="eastAsia" w:ascii="仿宋" w:hAnsi="仿宋" w:eastAsia="仿宋" w:cs="仿宋"/>
          <w:color w:val="auto"/>
          <w:sz w:val="28"/>
          <w:szCs w:val="28"/>
          <w:highlight w:val="none"/>
          <w:lang w:val="en-US" w:eastAsia="zh-CN"/>
        </w:rPr>
        <w:t>日常平均车次</w:t>
      </w:r>
      <w:r>
        <w:rPr>
          <w:rFonts w:hint="eastAsia" w:ascii="仿宋" w:hAnsi="仿宋" w:eastAsia="仿宋" w:cs="仿宋"/>
          <w:color w:val="auto"/>
          <w:kern w:val="0"/>
          <w:sz w:val="28"/>
          <w:szCs w:val="28"/>
          <w:highlight w:val="none"/>
          <w:lang w:val="en-US" w:eastAsia="zh-CN"/>
        </w:rPr>
        <w:t>的</w:t>
      </w:r>
      <w:r>
        <w:rPr>
          <w:rFonts w:hint="eastAsia" w:ascii="仿宋" w:hAnsi="仿宋" w:eastAsia="仿宋" w:cs="仿宋"/>
          <w:color w:val="auto"/>
          <w:kern w:val="0"/>
          <w:sz w:val="28"/>
          <w:szCs w:val="28"/>
          <w:highlight w:val="none"/>
        </w:rPr>
        <w:t>按照合同价格</w:t>
      </w:r>
      <w:r>
        <w:rPr>
          <w:rFonts w:hint="eastAsia" w:ascii="仿宋" w:hAnsi="仿宋" w:eastAsia="仿宋" w:cs="仿宋"/>
          <w:color w:val="auto"/>
          <w:kern w:val="0"/>
          <w:sz w:val="28"/>
          <w:szCs w:val="28"/>
          <w:highlight w:val="none"/>
          <w:lang w:val="en-US" w:eastAsia="zh-CN"/>
        </w:rPr>
        <w:t>上浮</w:t>
      </w:r>
      <w:r>
        <w:rPr>
          <w:rFonts w:hint="eastAsia" w:ascii="仿宋" w:hAnsi="仿宋" w:eastAsia="仿宋" w:cs="仿宋"/>
          <w:color w:val="auto"/>
          <w:kern w:val="0"/>
          <w:sz w:val="28"/>
          <w:szCs w:val="28"/>
          <w:highlight w:val="none"/>
        </w:rPr>
        <w:t>120%结算</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sz w:val="28"/>
          <w:szCs w:val="28"/>
          <w:highlight w:val="none"/>
          <w:lang w:val="en-US" w:eastAsia="zh-CN"/>
        </w:rPr>
        <w:t>为统一日常平均车次定义，原则上旺季前3个月各路线日常平均车次）。</w:t>
      </w:r>
    </w:p>
    <w:p>
      <w:pPr>
        <w:numPr>
          <w:ilvl w:val="0"/>
          <w:numId w:val="9"/>
        </w:numPr>
        <w:autoSpaceDE w:val="0"/>
        <w:autoSpaceDN w:val="0"/>
        <w:adjustRightInd w:val="0"/>
        <w:ind w:left="0" w:leftChars="0" w:right="42" w:rightChars="2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如某线路出现疫情等不受控风险（以有相关行政、监管单位发布通告、出具证明为准），导致某路向运能组织出现困难时，经服务商申请，采购人批准后该线路可临时启用旺季价运作。如服务商仍无法解决运能组织困难的，采购人将对该线路在现有二干服务商中进行临时询价，临时合同期一个月，续期原则上不超过2次（采购人可根据要求要求相关服务商提前恢复原有模式运作）。如临时合同到期或采购人要求恢复原有模式的情况下，原服务商仍无法承担该线路运作的，双方经协商一致后，采购人经将对该标段对该线路在现有服务商中进行临时询价重新招标，甲方不追究乙方违约责任。</w:t>
      </w:r>
    </w:p>
    <w:p>
      <w:pPr>
        <w:numPr>
          <w:ilvl w:val="0"/>
          <w:numId w:val="9"/>
        </w:numPr>
        <w:autoSpaceDE w:val="0"/>
        <w:autoSpaceDN w:val="0"/>
        <w:adjustRightInd w:val="0"/>
        <w:ind w:left="0" w:leftChars="0" w:right="42" w:rightChars="20"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现场时限要求。服务商应具有足够的车源和运输渠道确保运力，在接到采购人调令后应能及时响应，并原则上在4小时内组织车辆前往采购人指定的地点装载邮件。</w:t>
      </w:r>
    </w:p>
    <w:p>
      <w:pPr>
        <w:pStyle w:val="2"/>
        <w:numPr>
          <w:ilvl w:val="0"/>
          <w:numId w:val="9"/>
        </w:numPr>
        <w:ind w:left="0" w:leftChars="0"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供应商根据甲方提前发布的车辆需求运能（含旺季用车需求），供应商需对车辆需求运能给予响应并安排车辆；如供应商满足不了用车需求，其中淡季要求4小时内组织车辆前往采购人指定的地点装载邮件，旺季要求6小时内组织车辆前往采购人指定的地点装载邮件，否则甲方有权启用第二中标供应商，当启用第二中标供应商的费用差价由第一中标供应商支付，并且甲方有权对乙方追加考核；如第一中标供应商提出暂停履行合同且甲方同意的情况下，甲方应启用第二供应商，但第二供应商无法满足需求的情况下，甲方启用临时紧急采购供应商保证运作，其中差价由第一供应商承担。</w:t>
      </w:r>
    </w:p>
    <w:p>
      <w:pPr>
        <w:pStyle w:val="2"/>
        <w:numPr>
          <w:ilvl w:val="0"/>
          <w:numId w:val="9"/>
        </w:numPr>
        <w:ind w:left="0" w:leftChars="0"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结算单价。</w:t>
      </w:r>
    </w:p>
    <w:p>
      <w:pPr>
        <w:pStyle w:val="2"/>
        <w:keepNext w:val="0"/>
        <w:keepLines w:val="0"/>
        <w:pageBreakBefore w:val="0"/>
        <w:widowControl w:val="0"/>
        <w:numPr>
          <w:ilvl w:val="0"/>
          <w:numId w:val="1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各仓根据邮件大小情况设置车辆（9.6米、12吨）最低装载件数，以当天单量/核定装载量=车次，作为结算车次，尾量以对应车型价格结算（以9.6米车型为例，以每日为维度，当天满足9.6米车型装载件数最低要求的，按照9.6米车型运费给予结算；当天装载件数不满足9.6米车型的，装载件数按照车型容积折算系数标准进行折算，按照折算后的车型单价进行结算）。</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例子：如当天10000件，3车（9000件）按12吨价格结算，1车（1000件）按折算后5吨车价格结算：</w:t>
      </w:r>
    </w:p>
    <w:tbl>
      <w:tblPr>
        <w:tblStyle w:val="6"/>
        <w:tblW w:w="895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6"/>
        <w:gridCol w:w="1035"/>
        <w:gridCol w:w="1140"/>
        <w:gridCol w:w="1635"/>
        <w:gridCol w:w="1514"/>
        <w:gridCol w:w="2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5"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车厢长度（米）</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容积（立方）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载重标准（吨）</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车型件数折算系数</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装载件数（各仓不同）</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装载区域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95"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4.2-6.19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0.27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818 </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X≤818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0"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6.2-7.49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0.45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1364 </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1346≤x＞818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5"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7.5-9.59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0.73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2182 </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3000≤x＞1346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9.6-12.49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1.00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3000</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3818≤x＞3000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5"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12.5-15.9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1.27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3818 </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5727≤x＞3818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6"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16米及以上</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》=105</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18</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 xml:space="preserve">1.91 </w:t>
            </w: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 xml:space="preserve">5727 </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x＞5727</w:t>
            </w:r>
          </w:p>
        </w:tc>
      </w:tr>
    </w:tbl>
    <w:p>
      <w:pPr>
        <w:pStyle w:val="2"/>
        <w:keepNext w:val="0"/>
        <w:keepLines w:val="0"/>
        <w:pageBreakBefore w:val="0"/>
        <w:widowControl w:val="0"/>
        <w:numPr>
          <w:ilvl w:val="0"/>
          <w:numId w:val="1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因客户产品更改或包装更改导致邮件体积发生偏差，与上述装载件数要求偏差达20%以上，且偏差情况持续超过10天的，由省物流业务分公司及中标人共同现场重测，测算样本抽取该标包10天内随机7天的全部数据，测算完成后双方共同签字确认，日常按照最新的测算件数标准签订补签协议，以最新的测算结果数据为准，进行结算。</w:t>
      </w:r>
    </w:p>
    <w:p>
      <w:pPr>
        <w:pStyle w:val="2"/>
        <w:numPr>
          <w:ilvl w:val="0"/>
          <w:numId w:val="9"/>
        </w:numPr>
        <w:ind w:left="0" w:leftChars="0"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车等邮件。甲方因生产流程需要，采用“车等邮件”流水线作业，即在发车计划前上一部车辆驶离垛口后当前车辆要及时到位等待邮件流水装车，避免垛口</w:t>
      </w:r>
      <w:bookmarkStart w:id="0" w:name="_GoBack"/>
      <w:bookmarkEnd w:id="0"/>
      <w:r>
        <w:rPr>
          <w:rFonts w:hint="eastAsia" w:ascii="仿宋" w:hAnsi="仿宋" w:eastAsia="仿宋" w:cs="仿宋"/>
          <w:color w:val="auto"/>
          <w:sz w:val="28"/>
          <w:szCs w:val="28"/>
          <w:highlight w:val="none"/>
          <w:lang w:val="en-US" w:eastAsia="zh-CN"/>
        </w:rPr>
        <w:t>占空邮件停留生产场地内。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12、邮车载重标准。按照不同车型车厢长度，制定不同的载重标准，具体如下：</w:t>
      </w:r>
    </w:p>
    <w:tbl>
      <w:tblPr>
        <w:tblStyle w:val="6"/>
        <w:tblW w:w="8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2709"/>
        <w:gridCol w:w="2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车厢长度（米）</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容积（立方）</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载重标准（吨）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4.2-6.19</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6.2-7.</w:t>
            </w:r>
            <w:r>
              <w:rPr>
                <w:rFonts w:hint="eastAsia" w:ascii="仿宋" w:hAnsi="仿宋" w:eastAsia="仿宋" w:cs="仿宋"/>
                <w:bCs/>
                <w:color w:val="auto"/>
                <w:sz w:val="24"/>
                <w:szCs w:val="24"/>
                <w:highlight w:val="none"/>
                <w:lang w:val="en-US" w:eastAsia="zh-CN"/>
              </w:rPr>
              <w:t>49</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》=25</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7.5-9.59</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》=40</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9.6-12.49</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》=55</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 xml:space="preserve"> </w:t>
            </w:r>
            <w:r>
              <w:rPr>
                <w:rFonts w:hint="eastAsia" w:ascii="仿宋" w:hAnsi="仿宋" w:eastAsia="仿宋" w:cs="仿宋"/>
                <w:bCs/>
                <w:color w:val="auto"/>
                <w:sz w:val="24"/>
                <w:szCs w:val="24"/>
                <w:highlight w:val="none"/>
              </w:rPr>
              <w:t>12.5-15.9</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》=70</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trPr>
        <w:tc>
          <w:tcPr>
            <w:tcW w:w="2981"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16米及以上</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》=105</w:t>
            </w:r>
          </w:p>
        </w:tc>
        <w:tc>
          <w:tcPr>
            <w:tcW w:w="2709" w:type="dxa"/>
            <w:vAlign w:val="top"/>
          </w:tcPr>
          <w:p>
            <w:pPr>
              <w:tabs>
                <w:tab w:val="left" w:pos="0"/>
                <w:tab w:val="left" w:pos="420"/>
              </w:tabs>
              <w:spacing w:line="24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18</w:t>
            </w:r>
          </w:p>
        </w:tc>
      </w:tr>
    </w:tbl>
    <w:p>
      <w:pPr>
        <w:pStyle w:val="2"/>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13、旺季期间压车费用，因候装、候卸超24小时以上时，最大补贴为3天，各车型压车费用如下：</w:t>
      </w:r>
    </w:p>
    <w:tbl>
      <w:tblPr>
        <w:tblStyle w:val="6"/>
        <w:tblW w:w="8258" w:type="dxa"/>
        <w:tblInd w:w="0" w:type="dxa"/>
        <w:tblLayout w:type="fixed"/>
        <w:tblCellMar>
          <w:top w:w="0" w:type="dxa"/>
          <w:left w:w="0" w:type="dxa"/>
          <w:bottom w:w="0" w:type="dxa"/>
          <w:right w:w="0" w:type="dxa"/>
        </w:tblCellMar>
      </w:tblPr>
      <w:tblGrid>
        <w:gridCol w:w="3071"/>
        <w:gridCol w:w="2498"/>
        <w:gridCol w:w="2689"/>
      </w:tblGrid>
      <w:tr>
        <w:tblPrEx>
          <w:tblLayout w:type="fixed"/>
          <w:tblCellMar>
            <w:top w:w="0" w:type="dxa"/>
            <w:left w:w="0" w:type="dxa"/>
            <w:bottom w:w="0" w:type="dxa"/>
            <w:right w:w="0" w:type="dxa"/>
          </w:tblCellMar>
        </w:tblPrEx>
        <w:trPr>
          <w:trHeight w:val="739"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车型（以招标文件为准）</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干线压车费(元/台/天)上限</w:t>
            </w:r>
          </w:p>
        </w:tc>
        <w:tc>
          <w:tcPr>
            <w:tcW w:w="26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判断方法</w:t>
            </w:r>
          </w:p>
        </w:tc>
      </w:tr>
      <w:tr>
        <w:tblPrEx>
          <w:tblLayout w:type="fixed"/>
          <w:tblCellMar>
            <w:top w:w="0" w:type="dxa"/>
            <w:left w:w="0" w:type="dxa"/>
            <w:bottom w:w="0" w:type="dxa"/>
            <w:right w:w="0" w:type="dxa"/>
          </w:tblCellMar>
        </w:tblPrEx>
        <w:trPr>
          <w:trHeight w:val="402"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7.6米（8吨）以下</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150</w:t>
            </w:r>
          </w:p>
        </w:tc>
        <w:tc>
          <w:tcPr>
            <w:tcW w:w="268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包括不限于以GPS入围栏为准</w:t>
            </w:r>
          </w:p>
        </w:tc>
      </w:tr>
      <w:tr>
        <w:tblPrEx>
          <w:tblLayout w:type="fixed"/>
          <w:tblCellMar>
            <w:top w:w="0" w:type="dxa"/>
            <w:left w:w="0" w:type="dxa"/>
            <w:bottom w:w="0" w:type="dxa"/>
            <w:right w:w="0" w:type="dxa"/>
          </w:tblCellMar>
        </w:tblPrEx>
        <w:trPr>
          <w:trHeight w:val="402"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7.6-9.5米（8吨）(含7.6)</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300</w:t>
            </w:r>
          </w:p>
        </w:tc>
        <w:tc>
          <w:tcPr>
            <w:tcW w:w="268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仿宋" w:hAnsi="仿宋" w:eastAsia="仿宋" w:cs="仿宋"/>
                <w:i w:val="0"/>
                <w:color w:val="auto"/>
                <w:sz w:val="24"/>
                <w:szCs w:val="24"/>
                <w:highlight w:val="none"/>
                <w:u w:val="none"/>
              </w:rPr>
            </w:pPr>
          </w:p>
        </w:tc>
      </w:tr>
      <w:tr>
        <w:tblPrEx>
          <w:tblLayout w:type="fixed"/>
          <w:tblCellMar>
            <w:top w:w="0" w:type="dxa"/>
            <w:left w:w="0" w:type="dxa"/>
            <w:bottom w:w="0" w:type="dxa"/>
            <w:right w:w="0" w:type="dxa"/>
          </w:tblCellMar>
        </w:tblPrEx>
        <w:trPr>
          <w:trHeight w:val="402"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9.6-12.4米（12吨）</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500</w:t>
            </w:r>
          </w:p>
        </w:tc>
        <w:tc>
          <w:tcPr>
            <w:tcW w:w="268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仿宋" w:hAnsi="仿宋" w:eastAsia="仿宋" w:cs="仿宋"/>
                <w:i w:val="0"/>
                <w:color w:val="auto"/>
                <w:sz w:val="24"/>
                <w:szCs w:val="24"/>
                <w:highlight w:val="none"/>
                <w:u w:val="none"/>
              </w:rPr>
            </w:pPr>
          </w:p>
        </w:tc>
      </w:tr>
      <w:tr>
        <w:tblPrEx>
          <w:tblLayout w:type="fixed"/>
          <w:tblCellMar>
            <w:top w:w="0" w:type="dxa"/>
            <w:left w:w="0" w:type="dxa"/>
            <w:bottom w:w="0" w:type="dxa"/>
            <w:right w:w="0" w:type="dxa"/>
          </w:tblCellMar>
        </w:tblPrEx>
        <w:trPr>
          <w:trHeight w:val="402"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12.5-15.9米（16吨）</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700</w:t>
            </w:r>
          </w:p>
        </w:tc>
        <w:tc>
          <w:tcPr>
            <w:tcW w:w="268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仿宋" w:hAnsi="仿宋" w:eastAsia="仿宋" w:cs="仿宋"/>
                <w:i w:val="0"/>
                <w:color w:val="auto"/>
                <w:sz w:val="24"/>
                <w:szCs w:val="24"/>
                <w:highlight w:val="none"/>
                <w:u w:val="none"/>
              </w:rPr>
            </w:pPr>
          </w:p>
        </w:tc>
      </w:tr>
      <w:tr>
        <w:tblPrEx>
          <w:tblLayout w:type="fixed"/>
          <w:tblCellMar>
            <w:top w:w="0" w:type="dxa"/>
            <w:left w:w="0" w:type="dxa"/>
            <w:bottom w:w="0" w:type="dxa"/>
            <w:right w:w="0" w:type="dxa"/>
          </w:tblCellMar>
        </w:tblPrEx>
        <w:trPr>
          <w:trHeight w:val="433" w:hRule="atLeast"/>
        </w:trPr>
        <w:tc>
          <w:tcPr>
            <w:tcW w:w="307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16米（18吨）及以上</w:t>
            </w:r>
          </w:p>
        </w:tc>
        <w:tc>
          <w:tcPr>
            <w:tcW w:w="249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900</w:t>
            </w:r>
          </w:p>
        </w:tc>
        <w:tc>
          <w:tcPr>
            <w:tcW w:w="268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hint="eastAsia" w:ascii="仿宋" w:hAnsi="仿宋" w:eastAsia="仿宋" w:cs="仿宋"/>
                <w:i w:val="0"/>
                <w:color w:val="auto"/>
                <w:sz w:val="24"/>
                <w:szCs w:val="24"/>
                <w:highlight w:val="none"/>
                <w:u w:val="none"/>
              </w:rPr>
            </w:pPr>
          </w:p>
        </w:tc>
      </w:tr>
    </w:tbl>
    <w:p>
      <w:pPr>
        <w:spacing w:line="360" w:lineRule="auto"/>
        <w:ind w:firstLine="490" w:firstLineChars="175"/>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14、增加、调整装卸点：</w:t>
      </w:r>
    </w:p>
    <w:tbl>
      <w:tblPr>
        <w:tblStyle w:val="6"/>
        <w:tblW w:w="8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498"/>
        <w:gridCol w:w="1502"/>
        <w:gridCol w:w="2332"/>
        <w:gridCol w:w="1501"/>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6" w:hRule="atLeast"/>
        </w:trPr>
        <w:tc>
          <w:tcPr>
            <w:tcW w:w="3000" w:type="dxa"/>
            <w:gridSpan w:val="2"/>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费用调整</w:t>
            </w: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距离市处理中心</w:t>
            </w:r>
          </w:p>
        </w:tc>
        <w:tc>
          <w:tcPr>
            <w:tcW w:w="150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费用(元)</w:t>
            </w:r>
          </w:p>
        </w:tc>
        <w:tc>
          <w:tcPr>
            <w:tcW w:w="150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6" w:hRule="atLeast"/>
        </w:trPr>
        <w:tc>
          <w:tcPr>
            <w:tcW w:w="3000" w:type="dxa"/>
            <w:gridSpan w:val="2"/>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里程(公里)</w:t>
            </w:r>
          </w:p>
        </w:tc>
        <w:tc>
          <w:tcPr>
            <w:tcW w:w="150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1501"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476" w:hRule="atLeast"/>
        </w:trPr>
        <w:tc>
          <w:tcPr>
            <w:tcW w:w="1498"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增加/调整装卸点</w:t>
            </w:r>
          </w:p>
        </w:tc>
        <w:tc>
          <w:tcPr>
            <w:tcW w:w="150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相同地市</w:t>
            </w: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0-15(含15公里)</w:t>
            </w:r>
          </w:p>
        </w:tc>
        <w:tc>
          <w:tcPr>
            <w:tcW w:w="15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不加费用</w:t>
            </w:r>
          </w:p>
        </w:tc>
        <w:tc>
          <w:tcPr>
            <w:tcW w:w="1501"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里程（公里）以百度、高德地图最优方案里程为准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6" w:hRule="atLeast"/>
        </w:trPr>
        <w:tc>
          <w:tcPr>
            <w:tcW w:w="149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150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15-30(含30公里)</w:t>
            </w:r>
          </w:p>
        </w:tc>
        <w:tc>
          <w:tcPr>
            <w:tcW w:w="15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150</w:t>
            </w:r>
          </w:p>
        </w:tc>
        <w:tc>
          <w:tcPr>
            <w:tcW w:w="1501"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6" w:hRule="atLeast"/>
        </w:trPr>
        <w:tc>
          <w:tcPr>
            <w:tcW w:w="149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150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30公里以上</w:t>
            </w:r>
          </w:p>
        </w:tc>
        <w:tc>
          <w:tcPr>
            <w:tcW w:w="15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200</w:t>
            </w:r>
          </w:p>
        </w:tc>
        <w:tc>
          <w:tcPr>
            <w:tcW w:w="1501"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26" w:hRule="atLeast"/>
        </w:trPr>
        <w:tc>
          <w:tcPr>
            <w:tcW w:w="149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1502"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不同地市间</w:t>
            </w: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增加一个</w:t>
            </w:r>
          </w:p>
        </w:tc>
        <w:tc>
          <w:tcPr>
            <w:tcW w:w="15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300</w:t>
            </w:r>
          </w:p>
        </w:tc>
        <w:tc>
          <w:tcPr>
            <w:tcW w:w="1501"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343" w:hRule="atLeast"/>
        </w:trPr>
        <w:tc>
          <w:tcPr>
            <w:tcW w:w="1498"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1502" w:type="dxa"/>
            <w:vMerge w:val="continue"/>
            <w:shd w:val="clear" w:color="auto" w:fill="auto"/>
            <w:tcMar>
              <w:top w:w="15" w:type="dxa"/>
              <w:left w:w="15" w:type="dxa"/>
              <w:right w:w="15" w:type="dxa"/>
            </w:tcMar>
            <w:vAlign w:val="center"/>
          </w:tcPr>
          <w:p>
            <w:pPr>
              <w:jc w:val="center"/>
              <w:rPr>
                <w:rFonts w:hint="eastAsia" w:ascii="仿宋" w:hAnsi="仿宋" w:eastAsia="仿宋" w:cs="仿宋"/>
                <w:i w:val="0"/>
                <w:color w:val="auto"/>
                <w:sz w:val="24"/>
                <w:szCs w:val="24"/>
                <w:highlight w:val="none"/>
                <w:u w:val="none"/>
              </w:rPr>
            </w:pPr>
          </w:p>
        </w:tc>
        <w:tc>
          <w:tcPr>
            <w:tcW w:w="23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增加两个及以上</w:t>
            </w:r>
          </w:p>
        </w:tc>
        <w:tc>
          <w:tcPr>
            <w:tcW w:w="150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500</w:t>
            </w:r>
          </w:p>
        </w:tc>
        <w:tc>
          <w:tcPr>
            <w:tcW w:w="1501" w:type="dxa"/>
            <w:vMerge w:val="continue"/>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kern w:val="0"/>
                <w:sz w:val="24"/>
                <w:szCs w:val="24"/>
                <w:highlight w:val="none"/>
                <w:u w:val="none"/>
                <w:lang w:val="en-US" w:eastAsia="zh-CN" w:bidi="ar"/>
              </w:rPr>
            </w:pPr>
          </w:p>
        </w:tc>
      </w:tr>
    </w:tbl>
    <w:p>
      <w:pPr>
        <w:pStyle w:val="2"/>
        <w:numPr>
          <w:ilvl w:val="0"/>
          <w:numId w:val="11"/>
        </w:num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新增揽收点</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当采购人新增揽收点，且新增揽收点的业务不超过标的金额的30%时，按照标包中标人距离最短者为中标人，并由采购人及中标人双方按照上述里程、装载件的相关测算要求，双方共同参与核算，制定揽收及运输价格，签订补充协议。</w:t>
      </w:r>
    </w:p>
    <w:p>
      <w:pPr>
        <w:pStyle w:val="2"/>
        <w:numPr>
          <w:ilvl w:val="0"/>
          <w:numId w:val="0"/>
        </w:num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16、车型折算系数：</w:t>
      </w:r>
    </w:p>
    <w:tbl>
      <w:tblPr>
        <w:tblStyle w:val="6"/>
        <w:tblW w:w="8337" w:type="dxa"/>
        <w:tblInd w:w="0" w:type="dxa"/>
        <w:tblLayout w:type="fixed"/>
        <w:tblCellMar>
          <w:top w:w="0" w:type="dxa"/>
          <w:left w:w="0" w:type="dxa"/>
          <w:bottom w:w="0" w:type="dxa"/>
          <w:right w:w="0" w:type="dxa"/>
        </w:tblCellMar>
      </w:tblPr>
      <w:tblGrid>
        <w:gridCol w:w="1582"/>
        <w:gridCol w:w="1050"/>
        <w:gridCol w:w="1080"/>
        <w:gridCol w:w="1125"/>
        <w:gridCol w:w="1118"/>
        <w:gridCol w:w="1042"/>
        <w:gridCol w:w="1340"/>
      </w:tblGrid>
      <w:tr>
        <w:tblPrEx>
          <w:tblLayout w:type="fixed"/>
          <w:tblCellMar>
            <w:top w:w="0" w:type="dxa"/>
            <w:left w:w="0" w:type="dxa"/>
            <w:bottom w:w="0" w:type="dxa"/>
            <w:right w:w="0" w:type="dxa"/>
          </w:tblCellMar>
        </w:tblPrEx>
        <w:trPr>
          <w:trHeight w:val="342" w:hRule="atLeast"/>
        </w:trPr>
        <w:tc>
          <w:tcPr>
            <w:tcW w:w="1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车型</w:t>
            </w: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3吨</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5吨</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8吨</w:t>
            </w:r>
          </w:p>
        </w:tc>
        <w:tc>
          <w:tcPr>
            <w:tcW w:w="11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12吨</w:t>
            </w:r>
          </w:p>
        </w:tc>
        <w:tc>
          <w:tcPr>
            <w:tcW w:w="1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16吨</w:t>
            </w:r>
          </w:p>
        </w:tc>
        <w:tc>
          <w:tcPr>
            <w:tcW w:w="13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lang w:val="en-US"/>
              </w:rPr>
            </w:pPr>
            <w:r>
              <w:rPr>
                <w:rFonts w:hint="eastAsia" w:ascii="仿宋" w:hAnsi="仿宋" w:eastAsia="仿宋" w:cs="仿宋"/>
                <w:i w:val="0"/>
                <w:color w:val="auto"/>
                <w:kern w:val="0"/>
                <w:sz w:val="24"/>
                <w:szCs w:val="24"/>
                <w:highlight w:val="none"/>
                <w:u w:val="none"/>
                <w:lang w:val="en-US" w:eastAsia="zh-CN" w:bidi="ar"/>
              </w:rPr>
              <w:t>18吨及以上</w:t>
            </w:r>
          </w:p>
        </w:tc>
      </w:tr>
      <w:tr>
        <w:tblPrEx>
          <w:tblLayout w:type="fixed"/>
          <w:tblCellMar>
            <w:top w:w="0" w:type="dxa"/>
            <w:left w:w="0" w:type="dxa"/>
            <w:bottom w:w="0" w:type="dxa"/>
            <w:right w:w="0" w:type="dxa"/>
          </w:tblCellMar>
        </w:tblPrEx>
        <w:trPr>
          <w:trHeight w:val="668" w:hRule="atLeast"/>
        </w:trPr>
        <w:tc>
          <w:tcPr>
            <w:tcW w:w="15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bidi="ar"/>
              </w:rPr>
              <w:t>车型折算系数</w:t>
            </w:r>
          </w:p>
        </w:tc>
        <w:tc>
          <w:tcPr>
            <w:tcW w:w="10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iCs w:val="0"/>
                <w:color w:val="auto"/>
                <w:kern w:val="0"/>
                <w:sz w:val="22"/>
                <w:szCs w:val="22"/>
                <w:highlight w:val="none"/>
                <w:u w:val="none"/>
                <w:lang w:val="en-US" w:eastAsia="zh-CN" w:bidi="ar"/>
              </w:rPr>
              <w:t>0.65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iCs w:val="0"/>
                <w:color w:val="auto"/>
                <w:kern w:val="0"/>
                <w:sz w:val="22"/>
                <w:szCs w:val="22"/>
                <w:highlight w:val="none"/>
                <w:u w:val="none"/>
                <w:lang w:val="en-US" w:eastAsia="zh-CN" w:bidi="ar"/>
              </w:rPr>
              <w:t>0.75</w:t>
            </w:r>
          </w:p>
        </w:tc>
        <w:tc>
          <w:tcPr>
            <w:tcW w:w="11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iCs w:val="0"/>
                <w:color w:val="auto"/>
                <w:kern w:val="0"/>
                <w:sz w:val="22"/>
                <w:szCs w:val="22"/>
                <w:highlight w:val="none"/>
                <w:u w:val="none"/>
                <w:lang w:val="en-US" w:eastAsia="zh-CN" w:bidi="ar"/>
              </w:rPr>
              <w:t>0.85</w:t>
            </w:r>
          </w:p>
        </w:tc>
        <w:tc>
          <w:tcPr>
            <w:tcW w:w="11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lang w:val="en-US"/>
              </w:rPr>
            </w:pPr>
            <w:r>
              <w:rPr>
                <w:rFonts w:hint="eastAsia" w:ascii="仿宋" w:hAnsi="仿宋" w:eastAsia="仿宋" w:cs="仿宋"/>
                <w:i w:val="0"/>
                <w:iCs w:val="0"/>
                <w:color w:val="auto"/>
                <w:kern w:val="0"/>
                <w:sz w:val="22"/>
                <w:szCs w:val="22"/>
                <w:highlight w:val="none"/>
                <w:u w:val="none"/>
                <w:lang w:val="en-US" w:eastAsia="zh-CN" w:bidi="ar"/>
              </w:rPr>
              <w:t>1</w:t>
            </w:r>
          </w:p>
        </w:tc>
        <w:tc>
          <w:tcPr>
            <w:tcW w:w="10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iCs w:val="0"/>
                <w:color w:val="auto"/>
                <w:kern w:val="0"/>
                <w:sz w:val="22"/>
                <w:szCs w:val="22"/>
                <w:highlight w:val="none"/>
                <w:u w:val="none"/>
                <w:lang w:val="en-US" w:eastAsia="zh-CN" w:bidi="ar"/>
              </w:rPr>
              <w:t>1.3</w:t>
            </w:r>
          </w:p>
        </w:tc>
        <w:tc>
          <w:tcPr>
            <w:tcW w:w="13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iCs w:val="0"/>
                <w:color w:val="auto"/>
                <w:kern w:val="0"/>
                <w:sz w:val="22"/>
                <w:szCs w:val="22"/>
                <w:highlight w:val="none"/>
                <w:u w:val="none"/>
                <w:lang w:val="en-US" w:eastAsia="zh-CN" w:bidi="ar"/>
              </w:rPr>
              <w:t>1.4</w:t>
            </w:r>
          </w:p>
        </w:tc>
      </w:tr>
    </w:tbl>
    <w:p>
      <w:pPr>
        <w:pStyle w:val="2"/>
        <w:numPr>
          <w:ilvl w:val="0"/>
          <w:numId w:val="0"/>
        </w:num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结算单价全部保留到元，车型调大调小，车型折算价格保留到元（四舍五入）。</w:t>
      </w:r>
    </w:p>
    <w:p>
      <w:pPr>
        <w:pStyle w:val="2"/>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17、大客户分布情况及分拣要求（以下分拣要求则为参考），如遇促销情况，则按甲方要求增加/较少分拣路向：</w:t>
      </w:r>
    </w:p>
    <w:tbl>
      <w:tblPr>
        <w:tblStyle w:val="6"/>
        <w:tblW w:w="7998" w:type="dxa"/>
        <w:tblInd w:w="93" w:type="dxa"/>
        <w:shd w:val="clear" w:color="auto" w:fill="auto"/>
        <w:tblLayout w:type="fixed"/>
        <w:tblCellMar>
          <w:top w:w="0" w:type="dxa"/>
          <w:left w:w="108" w:type="dxa"/>
          <w:bottom w:w="0" w:type="dxa"/>
          <w:right w:w="108" w:type="dxa"/>
        </w:tblCellMar>
      </w:tblPr>
      <w:tblGrid>
        <w:gridCol w:w="1357"/>
        <w:gridCol w:w="1873"/>
        <w:gridCol w:w="1785"/>
        <w:gridCol w:w="2983"/>
      </w:tblGrid>
      <w:tr>
        <w:tblPrEx>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序号</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客户名称</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所在地市</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分拣要求</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三只松鼠</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肇庆大旺</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三水菜鸟</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佛山三水</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三水安得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佛山三水</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惠州菜鸟</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惠州博罗</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虎门丽迅</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东莞虎门</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混装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常平宇浪</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东莞常平</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混装</w:t>
            </w:r>
          </w:p>
        </w:tc>
      </w:tr>
      <w:tr>
        <w:tblPrEx>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万江仓</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东莞万江</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麻涌良品</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东莞麻涌</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9</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洪梅夕尔</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东莞洪梅</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清远仓</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清远源潭</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shd w:val="clear" w:color="auto" w:fill="auto"/>
          <w:tblLayout w:type="fixed"/>
          <w:tblCellMar>
            <w:top w:w="0" w:type="dxa"/>
            <w:left w:w="108" w:type="dxa"/>
            <w:bottom w:w="0" w:type="dxa"/>
            <w:right w:w="108" w:type="dxa"/>
          </w:tblCellMar>
        </w:tblPrEx>
        <w:trPr>
          <w:trHeight w:val="334"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槎头仓</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广州白云</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广州、省内、省际</w:t>
            </w:r>
          </w:p>
        </w:tc>
      </w:tr>
      <w:tr>
        <w:tblPrEx>
          <w:tblLayout w:type="fixed"/>
          <w:tblCellMar>
            <w:top w:w="0" w:type="dxa"/>
            <w:left w:w="108" w:type="dxa"/>
            <w:bottom w:w="0" w:type="dxa"/>
            <w:right w:w="108" w:type="dxa"/>
          </w:tblCellMar>
        </w:tblPrEx>
        <w:trPr>
          <w:trHeight w:val="363" w:hRule="atLeast"/>
        </w:trPr>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12</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广州市</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广州各区</w:t>
            </w:r>
          </w:p>
        </w:tc>
        <w:tc>
          <w:tcPr>
            <w:tcW w:w="2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混装</w:t>
            </w:r>
          </w:p>
        </w:tc>
      </w:tr>
    </w:tbl>
    <w:p>
      <w:pPr>
        <w:pStyle w:val="2"/>
        <w:numPr>
          <w:ilvl w:val="0"/>
          <w:numId w:val="0"/>
        </w:numPr>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18、如客户发货现场需安排甲方驻点人员，甲方驻点人员工资薪酬由乙方支付。</w:t>
      </w:r>
    </w:p>
    <w:p>
      <w:pPr>
        <w:pStyle w:val="2"/>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19、具体实施细则和KPI考核指标，详见合同签订条款。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（六）现场管理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1、现场管理：严格遵守客户现场、园区、货场的管理规章制度，根据省物流业务分公司操作流程对邮件进行操作；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2、司机管理：司机遵循园区要求、规章制度，进出园区配合安保检查，穿戴反光衣或者工衣。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六、采购合同期限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自合同签章之日起，有限期限一年（如合同期满后，双方无异议，且乙方运作质量良好，可视情况续约1年）。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七、履约保证金</w:t>
      </w:r>
    </w:p>
    <w:tbl>
      <w:tblPr>
        <w:tblStyle w:val="6"/>
        <w:tblW w:w="8522" w:type="dxa"/>
        <w:tblInd w:w="0" w:type="dxa"/>
        <w:shd w:val="clear" w:color="auto" w:fill="auto"/>
        <w:tblLayout w:type="fixed"/>
        <w:tblCellMar>
          <w:top w:w="0" w:type="dxa"/>
          <w:left w:w="108" w:type="dxa"/>
          <w:bottom w:w="0" w:type="dxa"/>
          <w:right w:w="108" w:type="dxa"/>
        </w:tblCellMar>
      </w:tblPr>
      <w:tblGrid>
        <w:gridCol w:w="2090"/>
        <w:gridCol w:w="4631"/>
        <w:gridCol w:w="1801"/>
      </w:tblGrid>
      <w:tr>
        <w:tblPrEx>
          <w:tblLayout w:type="fixed"/>
          <w:tblCellMar>
            <w:top w:w="0" w:type="dxa"/>
            <w:left w:w="108" w:type="dxa"/>
            <w:bottom w:w="0" w:type="dxa"/>
            <w:right w:w="108" w:type="dxa"/>
          </w:tblCellMar>
        </w:tblPrEx>
        <w:trPr>
          <w:trHeight w:val="535" w:hRule="atLeast"/>
        </w:trPr>
        <w:tc>
          <w:tcPr>
            <w:tcW w:w="20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w:t>
            </w:r>
          </w:p>
        </w:tc>
        <w:tc>
          <w:tcPr>
            <w:tcW w:w="46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采购内容</w:t>
            </w:r>
          </w:p>
        </w:tc>
        <w:tc>
          <w:tcPr>
            <w:tcW w:w="180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履约保证金</w:t>
            </w:r>
          </w:p>
        </w:tc>
      </w:tr>
      <w:tr>
        <w:tblPrEx>
          <w:tblLayout w:type="fixed"/>
          <w:tblCellMar>
            <w:top w:w="0" w:type="dxa"/>
            <w:left w:w="108" w:type="dxa"/>
            <w:bottom w:w="0" w:type="dxa"/>
            <w:right w:w="108" w:type="dxa"/>
          </w:tblCellMar>
        </w:tblPrEx>
        <w:trPr>
          <w:trHeight w:val="441"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标包1</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肇庆仓邮件揽收、干线运输采购项目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w:t>
            </w:r>
          </w:p>
        </w:tc>
      </w:tr>
      <w:tr>
        <w:tblPrEx>
          <w:tblLayout w:type="fixed"/>
          <w:tblCellMar>
            <w:top w:w="0" w:type="dxa"/>
            <w:left w:w="108" w:type="dxa"/>
            <w:bottom w:w="0" w:type="dxa"/>
            <w:right w:w="108" w:type="dxa"/>
          </w:tblCellMar>
        </w:tblPrEx>
        <w:trPr>
          <w:trHeight w:val="400"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标包2</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清远仓邮件揽收、干线运输采购项目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19.5万元</w:t>
            </w:r>
          </w:p>
        </w:tc>
      </w:tr>
      <w:tr>
        <w:tblPrEx>
          <w:tblLayout w:type="fixed"/>
          <w:tblCellMar>
            <w:top w:w="0" w:type="dxa"/>
            <w:left w:w="108" w:type="dxa"/>
            <w:bottom w:w="0" w:type="dxa"/>
            <w:right w:w="108" w:type="dxa"/>
          </w:tblCellMar>
        </w:tblPrEx>
        <w:trPr>
          <w:trHeight w:val="454"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标包3</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麻涌仓邮件揽收、干线运输采购项目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20万元</w:t>
            </w:r>
          </w:p>
        </w:tc>
      </w:tr>
      <w:tr>
        <w:tblPrEx>
          <w:tblLayout w:type="fixed"/>
          <w:tblCellMar>
            <w:top w:w="0" w:type="dxa"/>
            <w:left w:w="108" w:type="dxa"/>
            <w:bottom w:w="0" w:type="dxa"/>
            <w:right w:w="108" w:type="dxa"/>
          </w:tblCellMar>
        </w:tblPrEx>
        <w:trPr>
          <w:trHeight w:val="510"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标包4</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洪梅仓邮件揽收、干线运输采购项目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13.5万元</w:t>
            </w:r>
          </w:p>
        </w:tc>
      </w:tr>
      <w:tr>
        <w:tblPrEx>
          <w:shd w:val="clear" w:color="auto" w:fill="auto"/>
          <w:tblLayout w:type="fixed"/>
          <w:tblCellMar>
            <w:top w:w="0" w:type="dxa"/>
            <w:left w:w="108" w:type="dxa"/>
            <w:bottom w:w="0" w:type="dxa"/>
            <w:right w:w="108" w:type="dxa"/>
          </w:tblCellMar>
        </w:tblPrEx>
        <w:trPr>
          <w:trHeight w:val="389"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标包5</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三水仓邮件揽收、干线运输采购项目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w:t>
            </w:r>
          </w:p>
        </w:tc>
      </w:tr>
      <w:tr>
        <w:tblPrEx>
          <w:shd w:val="clear" w:color="auto" w:fill="auto"/>
          <w:tblLayout w:type="fixed"/>
          <w:tblCellMar>
            <w:top w:w="0" w:type="dxa"/>
            <w:left w:w="108" w:type="dxa"/>
            <w:bottom w:w="0" w:type="dxa"/>
            <w:right w:w="108" w:type="dxa"/>
          </w:tblCellMar>
        </w:tblPrEx>
        <w:trPr>
          <w:trHeight w:val="482"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标包6</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惠州仓邮件揽收、干线运输采购项目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6.5万元</w:t>
            </w:r>
          </w:p>
        </w:tc>
      </w:tr>
      <w:tr>
        <w:tblPrEx>
          <w:shd w:val="clear" w:color="auto" w:fill="auto"/>
          <w:tblLayout w:type="fixed"/>
          <w:tblCellMar>
            <w:top w:w="0" w:type="dxa"/>
            <w:left w:w="108" w:type="dxa"/>
            <w:bottom w:w="0" w:type="dxa"/>
            <w:right w:w="108" w:type="dxa"/>
          </w:tblCellMar>
        </w:tblPrEx>
        <w:trPr>
          <w:trHeight w:val="400"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标包7</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万江、虎门邮件揽收、干线运输采购项目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8.5万元</w:t>
            </w:r>
          </w:p>
        </w:tc>
      </w:tr>
      <w:tr>
        <w:tblPrEx>
          <w:tblLayout w:type="fixed"/>
          <w:tblCellMar>
            <w:top w:w="0" w:type="dxa"/>
            <w:left w:w="108" w:type="dxa"/>
            <w:bottom w:w="0" w:type="dxa"/>
            <w:right w:w="108" w:type="dxa"/>
          </w:tblCellMar>
        </w:tblPrEx>
        <w:trPr>
          <w:trHeight w:val="455"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标包8</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槎头零散邮件揽收、干线运输采购项目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6万元</w:t>
            </w:r>
          </w:p>
        </w:tc>
      </w:tr>
      <w:tr>
        <w:tblPrEx>
          <w:tblLayout w:type="fixed"/>
          <w:tblCellMar>
            <w:top w:w="0" w:type="dxa"/>
            <w:left w:w="108" w:type="dxa"/>
            <w:bottom w:w="0" w:type="dxa"/>
            <w:right w:w="108" w:type="dxa"/>
          </w:tblCellMar>
        </w:tblPrEx>
        <w:trPr>
          <w:trHeight w:val="413" w:hRule="atLeast"/>
        </w:trPr>
        <w:tc>
          <w:tcPr>
            <w:tcW w:w="20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lang w:val="en-US"/>
              </w:rPr>
            </w:pPr>
            <w:r>
              <w:rPr>
                <w:rFonts w:hint="eastAsia" w:ascii="仿宋" w:hAnsi="仿宋" w:eastAsia="仿宋" w:cs="仿宋"/>
                <w:i w:val="0"/>
                <w:iCs w:val="0"/>
                <w:color w:val="auto"/>
                <w:kern w:val="0"/>
                <w:sz w:val="24"/>
                <w:szCs w:val="24"/>
                <w:u w:val="none"/>
                <w:lang w:val="en-US" w:eastAsia="zh-CN" w:bidi="ar"/>
              </w:rPr>
              <w:t>标包9</w:t>
            </w:r>
          </w:p>
        </w:tc>
        <w:tc>
          <w:tcPr>
            <w:tcW w:w="463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处理中心干线运输采购项目</w:t>
            </w:r>
          </w:p>
        </w:tc>
        <w:tc>
          <w:tcPr>
            <w:tcW w:w="180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八、结算方式</w:t>
      </w:r>
    </w:p>
    <w:p>
      <w:pPr>
        <w:pStyle w:val="2"/>
        <w:numPr>
          <w:ilvl w:val="0"/>
          <w:numId w:val="0"/>
        </w:numPr>
        <w:ind w:firstLine="560" w:firstLineChars="200"/>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结算条款由我司与成交供应商签订，并负责具体实施、结算，详见合同签定条款。</w:t>
      </w:r>
    </w:p>
    <w:p>
      <w:pPr>
        <w:keepNext w:val="0"/>
        <w:keepLines w:val="0"/>
        <w:pageBreakBefore w:val="0"/>
        <w:widowControl w:val="0"/>
        <w:kinsoku/>
        <w:wordWrap/>
        <w:overflowPunct/>
        <w:topLinePunct w:val="0"/>
        <w:autoSpaceDE/>
        <w:autoSpaceDN/>
        <w:bidi w:val="0"/>
        <w:adjustRightInd/>
        <w:snapToGrid/>
        <w:spacing w:line="360" w:lineRule="auto"/>
        <w:ind w:firstLine="5320" w:firstLineChars="1900"/>
        <w:jc w:val="both"/>
        <w:textAlignment w:val="auto"/>
        <w:rPr>
          <w:rFonts w:hint="eastAsia" w:ascii="仿宋" w:hAnsi="仿宋" w:eastAsia="仿宋" w:cs="仿宋"/>
          <w:color w:val="auto"/>
          <w:sz w:val="28"/>
          <w:szCs w:val="28"/>
          <w:highlight w:val="none"/>
          <w:lang w:val="en-US" w:eastAsia="zh-CN"/>
        </w:rPr>
      </w:pPr>
    </w:p>
    <w:p>
      <w:pPr>
        <w:rPr>
          <w:rFonts w:hint="eastAsia" w:ascii="仿宋" w:hAnsi="仿宋" w:eastAsia="仿宋" w:cs="仿宋"/>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F5B83"/>
    <w:multiLevelType w:val="singleLevel"/>
    <w:tmpl w:val="914F5B83"/>
    <w:lvl w:ilvl="0" w:tentative="0">
      <w:start w:val="7"/>
      <w:numFmt w:val="chineseCounting"/>
      <w:suff w:val="nothing"/>
      <w:lvlText w:val="（%1）"/>
      <w:lvlJc w:val="left"/>
      <w:rPr>
        <w:rFonts w:hint="eastAsia"/>
      </w:rPr>
    </w:lvl>
  </w:abstractNum>
  <w:abstractNum w:abstractNumId="1">
    <w:nsid w:val="97D9AAAC"/>
    <w:multiLevelType w:val="singleLevel"/>
    <w:tmpl w:val="97D9AAAC"/>
    <w:lvl w:ilvl="0" w:tentative="0">
      <w:start w:val="2"/>
      <w:numFmt w:val="chineseCounting"/>
      <w:suff w:val="nothing"/>
      <w:lvlText w:val="（%1）"/>
      <w:lvlJc w:val="left"/>
      <w:rPr>
        <w:rFonts w:hint="eastAsia"/>
      </w:rPr>
    </w:lvl>
  </w:abstractNum>
  <w:abstractNum w:abstractNumId="2">
    <w:nsid w:val="A2E5C2DD"/>
    <w:multiLevelType w:val="singleLevel"/>
    <w:tmpl w:val="A2E5C2DD"/>
    <w:lvl w:ilvl="0" w:tentative="0">
      <w:start w:val="7"/>
      <w:numFmt w:val="decimal"/>
      <w:suff w:val="nothing"/>
      <w:lvlText w:val="%1、"/>
      <w:lvlJc w:val="left"/>
    </w:lvl>
  </w:abstractNum>
  <w:abstractNum w:abstractNumId="3">
    <w:nsid w:val="AD0FC01D"/>
    <w:multiLevelType w:val="singleLevel"/>
    <w:tmpl w:val="AD0FC01D"/>
    <w:lvl w:ilvl="0" w:tentative="0">
      <w:start w:val="6"/>
      <w:numFmt w:val="decimal"/>
      <w:suff w:val="nothing"/>
      <w:lvlText w:val="%1、"/>
      <w:lvlJc w:val="left"/>
    </w:lvl>
  </w:abstractNum>
  <w:abstractNum w:abstractNumId="4">
    <w:nsid w:val="BF846AF1"/>
    <w:multiLevelType w:val="singleLevel"/>
    <w:tmpl w:val="BF846AF1"/>
    <w:lvl w:ilvl="0" w:tentative="0">
      <w:start w:val="15"/>
      <w:numFmt w:val="decimal"/>
      <w:suff w:val="nothing"/>
      <w:lvlText w:val="%1、"/>
      <w:lvlJc w:val="left"/>
    </w:lvl>
  </w:abstractNum>
  <w:abstractNum w:abstractNumId="5">
    <w:nsid w:val="DC96334C"/>
    <w:multiLevelType w:val="singleLevel"/>
    <w:tmpl w:val="DC96334C"/>
    <w:lvl w:ilvl="0" w:tentative="0">
      <w:start w:val="1"/>
      <w:numFmt w:val="decimal"/>
      <w:lvlText w:val="(%1)"/>
      <w:lvlJc w:val="left"/>
      <w:pPr>
        <w:tabs>
          <w:tab w:val="left" w:pos="312"/>
        </w:tabs>
      </w:pPr>
    </w:lvl>
  </w:abstractNum>
  <w:abstractNum w:abstractNumId="6">
    <w:nsid w:val="FB8B4982"/>
    <w:multiLevelType w:val="singleLevel"/>
    <w:tmpl w:val="FB8B4982"/>
    <w:lvl w:ilvl="0" w:tentative="0">
      <w:start w:val="1"/>
      <w:numFmt w:val="decimal"/>
      <w:suff w:val="nothing"/>
      <w:lvlText w:val="%1、"/>
      <w:lvlJc w:val="left"/>
    </w:lvl>
  </w:abstractNum>
  <w:abstractNum w:abstractNumId="7">
    <w:nsid w:val="1F941186"/>
    <w:multiLevelType w:val="singleLevel"/>
    <w:tmpl w:val="1F941186"/>
    <w:lvl w:ilvl="0" w:tentative="0">
      <w:start w:val="1"/>
      <w:numFmt w:val="chineseCounting"/>
      <w:suff w:val="nothing"/>
      <w:lvlText w:val="（%1）"/>
      <w:lvlJc w:val="left"/>
      <w:rPr>
        <w:rFonts w:hint="eastAsia"/>
      </w:rPr>
    </w:lvl>
  </w:abstractNum>
  <w:abstractNum w:abstractNumId="8">
    <w:nsid w:val="349C9611"/>
    <w:multiLevelType w:val="singleLevel"/>
    <w:tmpl w:val="349C9611"/>
    <w:lvl w:ilvl="0" w:tentative="0">
      <w:start w:val="3"/>
      <w:numFmt w:val="chineseCounting"/>
      <w:suff w:val="nothing"/>
      <w:lvlText w:val="（%1）"/>
      <w:lvlJc w:val="left"/>
      <w:pPr>
        <w:ind w:left="280" w:leftChars="0" w:firstLine="0" w:firstLineChars="0"/>
      </w:pPr>
      <w:rPr>
        <w:rFonts w:hint="eastAsia"/>
      </w:rPr>
    </w:lvl>
  </w:abstractNum>
  <w:abstractNum w:abstractNumId="9">
    <w:nsid w:val="554057D7"/>
    <w:multiLevelType w:val="singleLevel"/>
    <w:tmpl w:val="554057D7"/>
    <w:lvl w:ilvl="0" w:tentative="0">
      <w:start w:val="2"/>
      <w:numFmt w:val="decimal"/>
      <w:suff w:val="nothing"/>
      <w:lvlText w:val="%1、"/>
      <w:lvlJc w:val="left"/>
    </w:lvl>
  </w:abstractNum>
  <w:abstractNum w:abstractNumId="10">
    <w:nsid w:val="78951B1A"/>
    <w:multiLevelType w:val="singleLevel"/>
    <w:tmpl w:val="78951B1A"/>
    <w:lvl w:ilvl="0" w:tentative="0">
      <w:start w:val="2"/>
      <w:numFmt w:val="decimal"/>
      <w:suff w:val="nothing"/>
      <w:lvlText w:val="%1、"/>
      <w:lvlJc w:val="left"/>
    </w:lvl>
  </w:abstractNum>
  <w:num w:numId="1">
    <w:abstractNumId w:val="8"/>
  </w:num>
  <w:num w:numId="2">
    <w:abstractNumId w:val="10"/>
  </w:num>
  <w:num w:numId="3">
    <w:abstractNumId w:val="6"/>
  </w:num>
  <w:num w:numId="4">
    <w:abstractNumId w:val="9"/>
  </w:num>
  <w:num w:numId="5">
    <w:abstractNumId w:val="1"/>
  </w:num>
  <w:num w:numId="6">
    <w:abstractNumId w:val="0"/>
  </w:num>
  <w:num w:numId="7">
    <w:abstractNumId w:val="7"/>
  </w:num>
  <w:num w:numId="8">
    <w:abstractNumId w:val="2"/>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N2I0MGVhNzliYTQ4ZjZkNmYzZjE0YTVhYmJkNDAifQ=="/>
  </w:docVars>
  <w:rsids>
    <w:rsidRoot w:val="00000000"/>
    <w:rsid w:val="005B487A"/>
    <w:rsid w:val="00A50D31"/>
    <w:rsid w:val="012344C4"/>
    <w:rsid w:val="013B2E12"/>
    <w:rsid w:val="017D3FB8"/>
    <w:rsid w:val="02CE4622"/>
    <w:rsid w:val="03095FA2"/>
    <w:rsid w:val="030B1061"/>
    <w:rsid w:val="036A62D9"/>
    <w:rsid w:val="038C239F"/>
    <w:rsid w:val="03A66F6E"/>
    <w:rsid w:val="04397D40"/>
    <w:rsid w:val="04EE6007"/>
    <w:rsid w:val="051C24F1"/>
    <w:rsid w:val="060705DD"/>
    <w:rsid w:val="080455EB"/>
    <w:rsid w:val="083C2873"/>
    <w:rsid w:val="089F58B8"/>
    <w:rsid w:val="0975745A"/>
    <w:rsid w:val="09B662EF"/>
    <w:rsid w:val="09D57378"/>
    <w:rsid w:val="0A020FA2"/>
    <w:rsid w:val="0A7F6DFC"/>
    <w:rsid w:val="0A9F1DCC"/>
    <w:rsid w:val="0AB6264F"/>
    <w:rsid w:val="0BBE2450"/>
    <w:rsid w:val="0C052CE8"/>
    <w:rsid w:val="0C7C1DF1"/>
    <w:rsid w:val="0E0007DD"/>
    <w:rsid w:val="0F280681"/>
    <w:rsid w:val="0F826CE5"/>
    <w:rsid w:val="0FC713F2"/>
    <w:rsid w:val="10B86F9D"/>
    <w:rsid w:val="10F62614"/>
    <w:rsid w:val="114069E0"/>
    <w:rsid w:val="11C3535D"/>
    <w:rsid w:val="11F45F67"/>
    <w:rsid w:val="12235F5D"/>
    <w:rsid w:val="12AA26E2"/>
    <w:rsid w:val="12D92554"/>
    <w:rsid w:val="12FA78BD"/>
    <w:rsid w:val="130A5CD9"/>
    <w:rsid w:val="1342074F"/>
    <w:rsid w:val="14401FEB"/>
    <w:rsid w:val="144E72DA"/>
    <w:rsid w:val="151D42C0"/>
    <w:rsid w:val="15AE3C9B"/>
    <w:rsid w:val="15DF4E13"/>
    <w:rsid w:val="15E6699F"/>
    <w:rsid w:val="163D25BD"/>
    <w:rsid w:val="16A1294E"/>
    <w:rsid w:val="17813971"/>
    <w:rsid w:val="17972AAE"/>
    <w:rsid w:val="18986FBE"/>
    <w:rsid w:val="18E72884"/>
    <w:rsid w:val="18EF611E"/>
    <w:rsid w:val="196C59EA"/>
    <w:rsid w:val="19F86881"/>
    <w:rsid w:val="1A5B5540"/>
    <w:rsid w:val="1BF2183D"/>
    <w:rsid w:val="1C0D77C6"/>
    <w:rsid w:val="1C1255F7"/>
    <w:rsid w:val="1CC72FAD"/>
    <w:rsid w:val="1CC8759F"/>
    <w:rsid w:val="1CE7540C"/>
    <w:rsid w:val="1D1034B2"/>
    <w:rsid w:val="1D987768"/>
    <w:rsid w:val="1DAB50E6"/>
    <w:rsid w:val="1DAF2235"/>
    <w:rsid w:val="1DC56F50"/>
    <w:rsid w:val="1E376996"/>
    <w:rsid w:val="1E8C6446"/>
    <w:rsid w:val="1ED0344C"/>
    <w:rsid w:val="1F433046"/>
    <w:rsid w:val="1F5E7560"/>
    <w:rsid w:val="1F8A2D68"/>
    <w:rsid w:val="1FC76C36"/>
    <w:rsid w:val="214D679B"/>
    <w:rsid w:val="21843D8C"/>
    <w:rsid w:val="21BB6B48"/>
    <w:rsid w:val="21F33D46"/>
    <w:rsid w:val="22902A2A"/>
    <w:rsid w:val="23B25EC2"/>
    <w:rsid w:val="24D7233F"/>
    <w:rsid w:val="260268FB"/>
    <w:rsid w:val="26815BBE"/>
    <w:rsid w:val="26C56B1F"/>
    <w:rsid w:val="26CE575B"/>
    <w:rsid w:val="26F40A8E"/>
    <w:rsid w:val="270A2A04"/>
    <w:rsid w:val="273E3FAB"/>
    <w:rsid w:val="274B09EC"/>
    <w:rsid w:val="27E56B08"/>
    <w:rsid w:val="28887B1D"/>
    <w:rsid w:val="28976286"/>
    <w:rsid w:val="294C3FA4"/>
    <w:rsid w:val="2A74102C"/>
    <w:rsid w:val="2C495B4B"/>
    <w:rsid w:val="2C561EB1"/>
    <w:rsid w:val="2CA10DFC"/>
    <w:rsid w:val="2CEF6D7C"/>
    <w:rsid w:val="2DE11014"/>
    <w:rsid w:val="2EB02C95"/>
    <w:rsid w:val="2EB4335E"/>
    <w:rsid w:val="2F0958CF"/>
    <w:rsid w:val="2F0A689E"/>
    <w:rsid w:val="2F720E0E"/>
    <w:rsid w:val="2FF71FBC"/>
    <w:rsid w:val="30835AD5"/>
    <w:rsid w:val="30914628"/>
    <w:rsid w:val="30D85B89"/>
    <w:rsid w:val="317223FB"/>
    <w:rsid w:val="31A66219"/>
    <w:rsid w:val="323F48E4"/>
    <w:rsid w:val="328F0E96"/>
    <w:rsid w:val="32E8369D"/>
    <w:rsid w:val="331A3C38"/>
    <w:rsid w:val="33486034"/>
    <w:rsid w:val="342B1D46"/>
    <w:rsid w:val="34866F4D"/>
    <w:rsid w:val="34D946F2"/>
    <w:rsid w:val="35600CCE"/>
    <w:rsid w:val="366E056D"/>
    <w:rsid w:val="368649BF"/>
    <w:rsid w:val="36885511"/>
    <w:rsid w:val="36A00D9C"/>
    <w:rsid w:val="36AF71EB"/>
    <w:rsid w:val="37B6158E"/>
    <w:rsid w:val="37CE3070"/>
    <w:rsid w:val="381B7AC3"/>
    <w:rsid w:val="38A554DB"/>
    <w:rsid w:val="3A333511"/>
    <w:rsid w:val="3B026524"/>
    <w:rsid w:val="3B8A1943"/>
    <w:rsid w:val="3BD56B2E"/>
    <w:rsid w:val="3C2060AC"/>
    <w:rsid w:val="3C306347"/>
    <w:rsid w:val="3CAC4A16"/>
    <w:rsid w:val="3D710BC3"/>
    <w:rsid w:val="3DCC3B17"/>
    <w:rsid w:val="3E04153C"/>
    <w:rsid w:val="3E4C0E0F"/>
    <w:rsid w:val="3E4C2FE0"/>
    <w:rsid w:val="40115A52"/>
    <w:rsid w:val="407767BB"/>
    <w:rsid w:val="40FF7F57"/>
    <w:rsid w:val="411815AC"/>
    <w:rsid w:val="414A2B7F"/>
    <w:rsid w:val="41B77F59"/>
    <w:rsid w:val="41D44305"/>
    <w:rsid w:val="420B5503"/>
    <w:rsid w:val="430A1E11"/>
    <w:rsid w:val="430E67FF"/>
    <w:rsid w:val="432345C5"/>
    <w:rsid w:val="437779C1"/>
    <w:rsid w:val="445F56B6"/>
    <w:rsid w:val="448B7AF1"/>
    <w:rsid w:val="44DB6670"/>
    <w:rsid w:val="45544FB9"/>
    <w:rsid w:val="458B4EDE"/>
    <w:rsid w:val="45AA70C3"/>
    <w:rsid w:val="460470AF"/>
    <w:rsid w:val="46263114"/>
    <w:rsid w:val="46E85D2E"/>
    <w:rsid w:val="472B259E"/>
    <w:rsid w:val="47B966A3"/>
    <w:rsid w:val="480A2E8B"/>
    <w:rsid w:val="4867755A"/>
    <w:rsid w:val="4A082602"/>
    <w:rsid w:val="4A9A78F3"/>
    <w:rsid w:val="4B5F7F4E"/>
    <w:rsid w:val="4BBC2587"/>
    <w:rsid w:val="4C04256D"/>
    <w:rsid w:val="4CDD677E"/>
    <w:rsid w:val="4D370D46"/>
    <w:rsid w:val="4D892346"/>
    <w:rsid w:val="4DBE1B65"/>
    <w:rsid w:val="4E0044BE"/>
    <w:rsid w:val="4EDC0694"/>
    <w:rsid w:val="4F7F6A4D"/>
    <w:rsid w:val="50407806"/>
    <w:rsid w:val="51DD3047"/>
    <w:rsid w:val="52040FA4"/>
    <w:rsid w:val="522C668F"/>
    <w:rsid w:val="52563D32"/>
    <w:rsid w:val="52700853"/>
    <w:rsid w:val="52EC0B36"/>
    <w:rsid w:val="52FD7EC5"/>
    <w:rsid w:val="53310062"/>
    <w:rsid w:val="53571E71"/>
    <w:rsid w:val="53B01427"/>
    <w:rsid w:val="54364E31"/>
    <w:rsid w:val="55030F83"/>
    <w:rsid w:val="552D7FD9"/>
    <w:rsid w:val="55327298"/>
    <w:rsid w:val="554669EC"/>
    <w:rsid w:val="554969A6"/>
    <w:rsid w:val="55625F16"/>
    <w:rsid w:val="56472521"/>
    <w:rsid w:val="56547FB8"/>
    <w:rsid w:val="57174590"/>
    <w:rsid w:val="578B20C5"/>
    <w:rsid w:val="580A06B4"/>
    <w:rsid w:val="58450C66"/>
    <w:rsid w:val="589D308C"/>
    <w:rsid w:val="59777369"/>
    <w:rsid w:val="59D27E9A"/>
    <w:rsid w:val="59D45224"/>
    <w:rsid w:val="5A417F3C"/>
    <w:rsid w:val="5AB43F07"/>
    <w:rsid w:val="5AD66F8F"/>
    <w:rsid w:val="5B2E3A27"/>
    <w:rsid w:val="5B760475"/>
    <w:rsid w:val="5BD607FF"/>
    <w:rsid w:val="5BEC5D63"/>
    <w:rsid w:val="5CA55ED8"/>
    <w:rsid w:val="5D1D3357"/>
    <w:rsid w:val="5D950043"/>
    <w:rsid w:val="5DC929AD"/>
    <w:rsid w:val="5E21779A"/>
    <w:rsid w:val="5E4C07F0"/>
    <w:rsid w:val="5ECD5C92"/>
    <w:rsid w:val="5ED72750"/>
    <w:rsid w:val="5EEB3568"/>
    <w:rsid w:val="60884546"/>
    <w:rsid w:val="60B86890"/>
    <w:rsid w:val="60C64AEE"/>
    <w:rsid w:val="62195C96"/>
    <w:rsid w:val="624D4A4B"/>
    <w:rsid w:val="62930449"/>
    <w:rsid w:val="632F2C8D"/>
    <w:rsid w:val="638D4B21"/>
    <w:rsid w:val="640F20B5"/>
    <w:rsid w:val="64745DF7"/>
    <w:rsid w:val="649A16F0"/>
    <w:rsid w:val="649B6C7F"/>
    <w:rsid w:val="651D7E25"/>
    <w:rsid w:val="674438EA"/>
    <w:rsid w:val="67554614"/>
    <w:rsid w:val="67B2593B"/>
    <w:rsid w:val="67CF3816"/>
    <w:rsid w:val="6974366D"/>
    <w:rsid w:val="69756C3D"/>
    <w:rsid w:val="69B669C3"/>
    <w:rsid w:val="69B91714"/>
    <w:rsid w:val="69F376EE"/>
    <w:rsid w:val="6CF35777"/>
    <w:rsid w:val="6DDE2382"/>
    <w:rsid w:val="6E0B776F"/>
    <w:rsid w:val="6F890EC0"/>
    <w:rsid w:val="701143CF"/>
    <w:rsid w:val="70CF535C"/>
    <w:rsid w:val="71D7414D"/>
    <w:rsid w:val="71D771D5"/>
    <w:rsid w:val="71EF5546"/>
    <w:rsid w:val="72121CCE"/>
    <w:rsid w:val="73F4448A"/>
    <w:rsid w:val="751764A0"/>
    <w:rsid w:val="753A562D"/>
    <w:rsid w:val="753D3FD9"/>
    <w:rsid w:val="761E1607"/>
    <w:rsid w:val="76613564"/>
    <w:rsid w:val="76BE3ADB"/>
    <w:rsid w:val="76D374AE"/>
    <w:rsid w:val="772F18B4"/>
    <w:rsid w:val="77BA4443"/>
    <w:rsid w:val="78541485"/>
    <w:rsid w:val="78603E07"/>
    <w:rsid w:val="790F6A21"/>
    <w:rsid w:val="79866D64"/>
    <w:rsid w:val="7987357E"/>
    <w:rsid w:val="79C5617D"/>
    <w:rsid w:val="7B44783C"/>
    <w:rsid w:val="7B4862D5"/>
    <w:rsid w:val="7CCC6BE2"/>
    <w:rsid w:val="7CE13DEB"/>
    <w:rsid w:val="7CE15DC5"/>
    <w:rsid w:val="7D126EE8"/>
    <w:rsid w:val="7D4F0380"/>
    <w:rsid w:val="7DAD10E4"/>
    <w:rsid w:val="7DD43DAB"/>
    <w:rsid w:val="7DD8762D"/>
    <w:rsid w:val="7E341036"/>
    <w:rsid w:val="7E3A69B6"/>
    <w:rsid w:val="7E6C1525"/>
    <w:rsid w:val="7EB10567"/>
    <w:rsid w:val="7F3B1062"/>
    <w:rsid w:val="7F5F2168"/>
    <w:rsid w:val="7F6C72B0"/>
    <w:rsid w:val="7FEB2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eastAsia="Cambri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41"/>
    <w:basedOn w:val="5"/>
    <w:qFormat/>
    <w:uiPriority w:val="0"/>
    <w:rPr>
      <w:rFonts w:hint="eastAsia" w:ascii="仿宋" w:hAnsi="仿宋" w:eastAsia="仿宋" w:cs="仿宋"/>
      <w:color w:val="000000"/>
      <w:sz w:val="22"/>
      <w:szCs w:val="22"/>
      <w:u w:val="none"/>
    </w:rPr>
  </w:style>
  <w:style w:type="character" w:customStyle="1" w:styleId="8">
    <w:name w:val="font1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10190</Words>
  <Characters>12985</Characters>
  <Lines>0</Lines>
  <Paragraphs>0</Paragraphs>
  <TotalTime>7</TotalTime>
  <ScaleCrop>false</ScaleCrop>
  <LinksUpToDate>false</LinksUpToDate>
  <CharactersWithSpaces>13257</CharactersWithSpaces>
  <Application>WPS Office_10.8.2.7058_F1E327BC-269C-435d-A152-05C5408002CA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2021-01-08T07:27:00Z</dcterms:created>
  <dc:creator>Administrator</dc:creator>
  <cp:lastModifiedBy>施远</cp:lastModifiedBy>
  <cp:lastPrinted>2022-07-18T06:12:00Z</cp:lastPrinted>
  <dcterms:modified xsi:type="dcterms:W3CDTF">2022-09-15T09:02:18Z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2052-10.8.2.7058</vt:lpwstr>
  </property>
  <property fmtid="{D5CDD505-2E9C-101B-9397-08002B2CF9AE}" pid="3" name="ICV">
    <vt:lpwstr>77F20B8421674DC2BB3700BABB809E1E</vt:lpwstr>
  </property>
</Properties>
</file>