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89C1" w14:textId="77777777" w:rsidR="00295C86" w:rsidRPr="0053549C" w:rsidRDefault="00295C86" w:rsidP="00295C86">
      <w:pPr>
        <w:pStyle w:val="1"/>
        <w:tabs>
          <w:tab w:val="left" w:pos="1800"/>
        </w:tabs>
        <w:adjustRightInd w:val="0"/>
        <w:snapToGrid w:val="0"/>
        <w:spacing w:line="360" w:lineRule="auto"/>
        <w:ind w:firstLineChars="400" w:firstLine="1280"/>
        <w:textAlignment w:val="baseline"/>
        <w:rPr>
          <w:rFonts w:ascii="仿宋_GB2312" w:hAnsi="宋体" w:hint="default"/>
          <w:szCs w:val="32"/>
        </w:rPr>
      </w:pPr>
      <w:r w:rsidRPr="0053549C">
        <w:rPr>
          <w:rFonts w:ascii="仿宋_GB2312" w:hAnsi="宋体"/>
          <w:szCs w:val="32"/>
        </w:rPr>
        <w:t xml:space="preserve">中国移动湖北公司供应商负面行为处理规则   </w:t>
      </w:r>
    </w:p>
    <w:p w14:paraId="278C9BF6" w14:textId="77777777" w:rsidR="00295C86" w:rsidRDefault="00295C86" w:rsidP="00295C86">
      <w:pPr>
        <w:pStyle w:val="1"/>
        <w:tabs>
          <w:tab w:val="left" w:pos="1800"/>
        </w:tabs>
        <w:adjustRightInd w:val="0"/>
        <w:snapToGrid w:val="0"/>
        <w:spacing w:line="360" w:lineRule="auto"/>
        <w:ind w:firstLineChars="400" w:firstLine="1200"/>
        <w:textAlignment w:val="baseline"/>
        <w:rPr>
          <w:rFonts w:ascii="仿宋_GB2312" w:hAnsi="方正仿宋_GBK" w:hint="default"/>
          <w:sz w:val="30"/>
          <w:szCs w:val="30"/>
        </w:rPr>
      </w:pPr>
      <w:r>
        <w:rPr>
          <w:rFonts w:ascii="仿宋_GB2312" w:hAnsi="宋体"/>
          <w:sz w:val="30"/>
          <w:szCs w:val="30"/>
        </w:rPr>
        <w:t xml:space="preserve"> </w:t>
      </w:r>
    </w:p>
    <w:p w14:paraId="584806F4" w14:textId="442B7062" w:rsidR="00295C86" w:rsidRDefault="00295C86" w:rsidP="00295C86">
      <w:pPr>
        <w:pStyle w:val="1"/>
        <w:tabs>
          <w:tab w:val="left" w:pos="1620"/>
        </w:tabs>
        <w:adjustRightInd w:val="0"/>
        <w:snapToGrid w:val="0"/>
        <w:spacing w:line="360" w:lineRule="auto"/>
        <w:ind w:firstLineChars="0" w:firstLine="0"/>
        <w:textAlignment w:val="baseline"/>
        <w:rPr>
          <w:rFonts w:ascii="仿宋_GB2312" w:hAnsi="宋体" w:hint="default"/>
          <w:sz w:val="30"/>
          <w:szCs w:val="30"/>
        </w:rPr>
      </w:pPr>
      <w:r>
        <w:rPr>
          <w:rFonts w:ascii="仿宋_GB2312" w:hAnsi="宋体"/>
          <w:sz w:val="30"/>
          <w:szCs w:val="30"/>
        </w:rPr>
        <w:t xml:space="preserve">    </w:t>
      </w:r>
      <w:r>
        <w:rPr>
          <w:rFonts w:ascii="仿宋_GB2312" w:hAnsi="宋体"/>
          <w:b/>
          <w:sz w:val="30"/>
          <w:szCs w:val="30"/>
        </w:rPr>
        <w:t>第一条</w:t>
      </w:r>
      <w:r>
        <w:rPr>
          <w:rFonts w:ascii="仿宋_GB2312" w:hAnsi="宋体"/>
          <w:sz w:val="30"/>
          <w:szCs w:val="30"/>
        </w:rPr>
        <w:t xml:space="preserve">  供应商负面行为包括向采购人、采购评审委员会、采购代理人、检测单位等中国移动采购相关方及相关人员行贿或违法违规提供不正当利益的行为；参加采购活动期间，提供虚假资质或业绩证明材料或其他弄虚作假行为；采用串通等不正当手段谋取中标中选、诋毁排挤其他供应商或与检测单位串通伪造检测结果的行为；在合同履约过程中不诚信履约、出现质量不合格、交付延迟、服务不到位等行为以及其他经湖北移动认定的负面行为</w:t>
      </w:r>
      <w:r w:rsidR="003E7968">
        <w:rPr>
          <w:rFonts w:ascii="仿宋_GB2312" w:hAnsi="宋体"/>
          <w:sz w:val="30"/>
          <w:szCs w:val="30"/>
        </w:rPr>
        <w:t>。</w:t>
      </w:r>
    </w:p>
    <w:p w14:paraId="5E3FAFA2" w14:textId="77777777" w:rsidR="00295C86" w:rsidRDefault="00295C86" w:rsidP="00295C86">
      <w:pPr>
        <w:pStyle w:val="1"/>
        <w:tabs>
          <w:tab w:val="left" w:pos="1800"/>
        </w:tabs>
        <w:adjustRightInd w:val="0"/>
        <w:snapToGrid w:val="0"/>
        <w:spacing w:line="360" w:lineRule="auto"/>
        <w:ind w:firstLineChars="0" w:firstLine="0"/>
        <w:textAlignment w:val="baseline"/>
        <w:rPr>
          <w:rFonts w:ascii="仿宋_GB2312" w:hAnsi="宋体" w:hint="default"/>
          <w:sz w:val="30"/>
          <w:szCs w:val="30"/>
        </w:rPr>
      </w:pPr>
      <w:r>
        <w:rPr>
          <w:rFonts w:ascii="仿宋_GB2312" w:hAnsi="宋体"/>
          <w:sz w:val="30"/>
          <w:szCs w:val="30"/>
        </w:rPr>
        <w:t xml:space="preserve">    </w:t>
      </w:r>
      <w:r>
        <w:rPr>
          <w:rFonts w:ascii="仿宋_GB2312" w:hAnsi="宋体"/>
          <w:b/>
          <w:sz w:val="30"/>
          <w:szCs w:val="30"/>
        </w:rPr>
        <w:t>第二条</w:t>
      </w:r>
      <w:r>
        <w:rPr>
          <w:rFonts w:ascii="仿宋_GB2312" w:hAnsi="宋体"/>
          <w:sz w:val="30"/>
          <w:szCs w:val="30"/>
        </w:rPr>
        <w:t xml:space="preserve">  根据供应商负面行为给湖北移动通信网络建设、生产运营、优质服务、企业形象造成的负面影响程度和经济损失不同，依次分为一般负面行为、严重负面行为和特别严重负面行为。</w:t>
      </w:r>
    </w:p>
    <w:p w14:paraId="4C41B065" w14:textId="77777777" w:rsidR="00295C86" w:rsidRDefault="00295C86" w:rsidP="00295C86">
      <w:pPr>
        <w:pStyle w:val="1"/>
        <w:tabs>
          <w:tab w:val="left" w:pos="1800"/>
        </w:tabs>
        <w:adjustRightInd w:val="0"/>
        <w:snapToGrid w:val="0"/>
        <w:spacing w:line="360" w:lineRule="auto"/>
        <w:ind w:left="600" w:firstLineChars="0" w:firstLine="0"/>
        <w:textAlignment w:val="baseline"/>
        <w:rPr>
          <w:rFonts w:ascii="仿宋_GB2312" w:hAnsi="方正仿宋_GBK" w:hint="default"/>
          <w:sz w:val="30"/>
          <w:szCs w:val="30"/>
        </w:rPr>
      </w:pPr>
      <w:r>
        <w:rPr>
          <w:rFonts w:ascii="仿宋_GB2312" w:hAnsi="宋体"/>
          <w:b/>
          <w:sz w:val="30"/>
          <w:szCs w:val="30"/>
        </w:rPr>
        <w:t>第三条</w:t>
      </w:r>
      <w:r>
        <w:rPr>
          <w:rFonts w:ascii="仿宋_GB2312" w:hAnsi="宋体"/>
          <w:sz w:val="30"/>
          <w:szCs w:val="30"/>
        </w:rPr>
        <w:t xml:space="preserve">  </w:t>
      </w:r>
      <w:r>
        <w:rPr>
          <w:rFonts w:ascii="仿宋_GB2312" w:hAnsi="方正仿宋_GBK"/>
          <w:sz w:val="30"/>
          <w:szCs w:val="30"/>
        </w:rPr>
        <w:t>有下列情况之一者，为一般负面行为：</w:t>
      </w:r>
    </w:p>
    <w:p w14:paraId="0F18E4AB" w14:textId="77777777" w:rsidR="00295C86" w:rsidRDefault="00295C86" w:rsidP="00295C86">
      <w:pPr>
        <w:pStyle w:val="1"/>
        <w:numPr>
          <w:ilvl w:val="0"/>
          <w:numId w:val="1"/>
        </w:numPr>
        <w:tabs>
          <w:tab w:val="clear" w:pos="1080"/>
          <w:tab w:val="left" w:pos="1580"/>
          <w:tab w:val="left" w:pos="1619"/>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ab/>
        <w:t>产品质量不符合合格标准，或延期交货，或供应商服务人员未按合同要求及时到位、技术指导不到位或售后服务不到位且被责任追究的；</w:t>
      </w:r>
    </w:p>
    <w:p w14:paraId="49091CA8" w14:textId="77777777" w:rsidR="00295C86" w:rsidRDefault="00295C86" w:rsidP="00295C86">
      <w:pPr>
        <w:pStyle w:val="1"/>
        <w:numPr>
          <w:ilvl w:val="0"/>
          <w:numId w:val="1"/>
        </w:numPr>
        <w:tabs>
          <w:tab w:val="clear" w:pos="1080"/>
          <w:tab w:val="left" w:pos="1580"/>
          <w:tab w:val="left" w:pos="1619"/>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故意修改采购文件明确列明的技术参数并进行响应的；</w:t>
      </w:r>
    </w:p>
    <w:p w14:paraId="7D9D3D22" w14:textId="77777777" w:rsidR="00295C86" w:rsidRDefault="00295C86" w:rsidP="00295C86">
      <w:pPr>
        <w:pStyle w:val="1"/>
        <w:numPr>
          <w:ilvl w:val="0"/>
          <w:numId w:val="1"/>
        </w:numPr>
        <w:tabs>
          <w:tab w:val="clear" w:pos="1080"/>
          <w:tab w:val="left" w:pos="1580"/>
          <w:tab w:val="left" w:pos="1619"/>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存在质量、履约等问题拒不整改的；</w:t>
      </w:r>
    </w:p>
    <w:p w14:paraId="143F34F8" w14:textId="77777777" w:rsidR="00295C86" w:rsidRDefault="00295C86" w:rsidP="00295C86">
      <w:pPr>
        <w:pStyle w:val="1"/>
        <w:numPr>
          <w:ilvl w:val="0"/>
          <w:numId w:val="1"/>
        </w:numPr>
        <w:tabs>
          <w:tab w:val="clear" w:pos="1080"/>
          <w:tab w:val="left" w:pos="1619"/>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违约转包、分包合同货物情节严重的；</w:t>
      </w:r>
    </w:p>
    <w:p w14:paraId="57DFCC0F" w14:textId="77777777" w:rsidR="00295C86" w:rsidRDefault="00295C86" w:rsidP="00295C86">
      <w:pPr>
        <w:pStyle w:val="1"/>
        <w:numPr>
          <w:ilvl w:val="0"/>
          <w:numId w:val="1"/>
        </w:numPr>
        <w:tabs>
          <w:tab w:val="clear" w:pos="1080"/>
          <w:tab w:val="left" w:pos="1580"/>
          <w:tab w:val="left" w:pos="1619"/>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没有按照承诺使用承诺品牌、承诺参数的元器件或原材料被责任追究的；</w:t>
      </w:r>
    </w:p>
    <w:p w14:paraId="3FA43D9B" w14:textId="77777777" w:rsidR="00295C86" w:rsidRDefault="00295C86" w:rsidP="00295C86">
      <w:pPr>
        <w:pStyle w:val="1"/>
        <w:numPr>
          <w:ilvl w:val="0"/>
          <w:numId w:val="1"/>
        </w:numPr>
        <w:tabs>
          <w:tab w:val="clear" w:pos="1080"/>
          <w:tab w:val="left" w:pos="1580"/>
          <w:tab w:val="left" w:pos="1619"/>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因供应商产品质量问题或供应商操作等原因造成湖</w:t>
      </w:r>
      <w:r>
        <w:rPr>
          <w:rFonts w:ascii="仿宋_GB2312" w:hAnsi="方正仿宋_GBK"/>
          <w:sz w:val="30"/>
          <w:szCs w:val="30"/>
        </w:rPr>
        <w:lastRenderedPageBreak/>
        <w:t>北移动网络故障，达到《电信网络运行监督管理办法》（工信部电管〔2009〕187号,以下简称《监督管理办法》）定义的重大事故，或达到《互联网网络安全信息通报实施办法》（工信部保〔2009〕156号，以下简称《实施办法》）定义的重大事件，或达到《中国移动全网重大通信故障定义》（以下简称《故障定义》）中定义的故障情形且造成重大影响（被国家级新闻媒体和各大门户网站集体进行负面报道等情况）的重大事件。如前述事故或故障同时符合《监督管理办法》、《实施办法》和《故障定义》的相应情形定义，则以《监督管理办法》、《实施办法》的定义情形为准；</w:t>
      </w:r>
    </w:p>
    <w:p w14:paraId="1ADC3B34" w14:textId="77777777" w:rsidR="00295C86" w:rsidRDefault="00295C86" w:rsidP="00295C86">
      <w:pPr>
        <w:pStyle w:val="1"/>
        <w:numPr>
          <w:ilvl w:val="0"/>
          <w:numId w:val="1"/>
        </w:numPr>
        <w:tabs>
          <w:tab w:val="clear" w:pos="1080"/>
          <w:tab w:val="left" w:pos="1619"/>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其他经湖北移动认定为一般负面行为的。</w:t>
      </w:r>
    </w:p>
    <w:p w14:paraId="0DD7EFD8" w14:textId="77777777" w:rsidR="00295C86" w:rsidRDefault="00295C86" w:rsidP="00295C86">
      <w:pPr>
        <w:pStyle w:val="1"/>
        <w:tabs>
          <w:tab w:val="left" w:pos="1800"/>
        </w:tabs>
        <w:adjustRightInd w:val="0"/>
        <w:snapToGrid w:val="0"/>
        <w:spacing w:line="360" w:lineRule="auto"/>
        <w:ind w:left="600" w:firstLineChars="0" w:firstLine="0"/>
        <w:textAlignment w:val="baseline"/>
        <w:rPr>
          <w:rFonts w:ascii="仿宋_GB2312" w:hAnsi="方正仿宋_GBK" w:hint="default"/>
          <w:sz w:val="30"/>
          <w:szCs w:val="30"/>
        </w:rPr>
      </w:pPr>
      <w:r>
        <w:rPr>
          <w:rFonts w:ascii="仿宋_GB2312" w:hAnsi="宋体"/>
          <w:b/>
          <w:sz w:val="30"/>
          <w:szCs w:val="30"/>
        </w:rPr>
        <w:t>第四条</w:t>
      </w:r>
      <w:r>
        <w:rPr>
          <w:rFonts w:ascii="仿宋_GB2312" w:hAnsi="宋体"/>
          <w:sz w:val="30"/>
          <w:szCs w:val="30"/>
        </w:rPr>
        <w:t xml:space="preserve"> </w:t>
      </w:r>
      <w:r>
        <w:rPr>
          <w:rFonts w:ascii="仿宋_GB2312" w:hAnsi="方正仿宋_GBK"/>
          <w:sz w:val="30"/>
          <w:szCs w:val="30"/>
        </w:rPr>
        <w:t>有下列情况之一者，为严重负面行为：</w:t>
      </w:r>
    </w:p>
    <w:p w14:paraId="3018DC8E" w14:textId="77777777" w:rsidR="00295C86" w:rsidRDefault="00295C86" w:rsidP="00295C86">
      <w:pPr>
        <w:pStyle w:val="1"/>
        <w:numPr>
          <w:ilvl w:val="0"/>
          <w:numId w:val="2"/>
        </w:numPr>
        <w:tabs>
          <w:tab w:val="clear" w:pos="1080"/>
          <w:tab w:val="left" w:pos="1620"/>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color w:val="000000" w:themeColor="text1"/>
          <w:sz w:val="30"/>
          <w:szCs w:val="30"/>
        </w:rPr>
        <w:t>采购周期内产品（服务）质量不符合合格标准三次及以上者；</w:t>
      </w:r>
      <w:r>
        <w:rPr>
          <w:rFonts w:ascii="仿宋_GB2312" w:hAnsi="方正仿宋_GBK"/>
          <w:sz w:val="30"/>
          <w:szCs w:val="30"/>
        </w:rPr>
        <w:t>在采购活动中供应商以他人名义参加采购或弄虚作假的，包括但不限于使用伪造变造的许可证件，提供虚假的财务状况或者业绩，提供虚假的项目负责人或者主要技术人员简历、劳动关系证明，提供虚假的信用状况以及与检测单位串通伪造检测结果的行为等；</w:t>
      </w:r>
    </w:p>
    <w:p w14:paraId="44D1F812" w14:textId="77777777" w:rsidR="00295C86" w:rsidRDefault="00295C86" w:rsidP="00295C86">
      <w:pPr>
        <w:pStyle w:val="1"/>
        <w:numPr>
          <w:ilvl w:val="0"/>
          <w:numId w:val="2"/>
        </w:numPr>
        <w:tabs>
          <w:tab w:val="clear" w:pos="1080"/>
          <w:tab w:val="left" w:pos="1620"/>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在采购活动中供应商相互串通或者与采购人及采购相关方串通的，包括但不限于相互协商报价等实质性内容，约定中选人，约定部分供应商放弃参加采购或者中选，按照同一集团、协会、商会等组织要求协同投标，为谋取中选或者排斥特定供应商而采取联合行动，非法获知标底或评审委员会成员信息等；</w:t>
      </w:r>
    </w:p>
    <w:p w14:paraId="4626A521" w14:textId="77777777" w:rsidR="00295C86" w:rsidRDefault="00295C86" w:rsidP="00295C86">
      <w:pPr>
        <w:pStyle w:val="1"/>
        <w:numPr>
          <w:ilvl w:val="0"/>
          <w:numId w:val="2"/>
        </w:numPr>
        <w:tabs>
          <w:tab w:val="clear" w:pos="1080"/>
          <w:tab w:val="left" w:pos="1620"/>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不按采购文件及应答文件承诺签订合同或框架协议的；</w:t>
      </w:r>
    </w:p>
    <w:p w14:paraId="5399AD9E" w14:textId="77777777" w:rsidR="00295C86" w:rsidRDefault="00295C86" w:rsidP="00295C86">
      <w:pPr>
        <w:pStyle w:val="1"/>
        <w:numPr>
          <w:ilvl w:val="0"/>
          <w:numId w:val="2"/>
        </w:numPr>
        <w:tabs>
          <w:tab w:val="clear" w:pos="1080"/>
          <w:tab w:val="left" w:pos="1620"/>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lastRenderedPageBreak/>
        <w:t>对采购人或其他供应商进行诋毁或恶意投诉的，或者对其他供应商、采购人等采购活动的相关方采取威胁、欺骗等非法手段的；</w:t>
      </w:r>
    </w:p>
    <w:p w14:paraId="49A65CF1" w14:textId="77777777" w:rsidR="00295C86" w:rsidRDefault="00295C86" w:rsidP="00295C86">
      <w:pPr>
        <w:pStyle w:val="1"/>
        <w:numPr>
          <w:ilvl w:val="0"/>
          <w:numId w:val="2"/>
        </w:numPr>
        <w:tabs>
          <w:tab w:val="clear" w:pos="1080"/>
          <w:tab w:val="left" w:pos="1620"/>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因供应商产品质量问题或供应商操作等原因造成湖北移动网络故障，并达到《监督管理办法》定义的特别重大事故,或《实施办法》定义的特别重大事件的；</w:t>
      </w:r>
    </w:p>
    <w:p w14:paraId="0E485B87" w14:textId="77777777" w:rsidR="00295C86" w:rsidRDefault="00295C86" w:rsidP="00295C86">
      <w:pPr>
        <w:pStyle w:val="1"/>
        <w:numPr>
          <w:ilvl w:val="0"/>
          <w:numId w:val="2"/>
        </w:numPr>
        <w:tabs>
          <w:tab w:val="clear" w:pos="1080"/>
          <w:tab w:val="left" w:pos="1620"/>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因供应商产品质量问题或供应商操作等原因造成湖北移动安全生产事故，并达到国家《生产安全事故报告和调查处理条例》（国务院令第493号，以下简称《生产安全事故条例》）定义的一般事故级别的；</w:t>
      </w:r>
    </w:p>
    <w:p w14:paraId="08EBF295" w14:textId="77777777" w:rsidR="00295C86" w:rsidRDefault="00295C86" w:rsidP="00295C86">
      <w:pPr>
        <w:pStyle w:val="1"/>
        <w:numPr>
          <w:ilvl w:val="0"/>
          <w:numId w:val="2"/>
        </w:numPr>
        <w:tabs>
          <w:tab w:val="clear" w:pos="1080"/>
          <w:tab w:val="left" w:pos="1620"/>
        </w:tabs>
        <w:adjustRightInd w:val="0"/>
        <w:snapToGrid w:val="0"/>
        <w:spacing w:line="360" w:lineRule="auto"/>
        <w:ind w:left="0" w:firstLine="600"/>
        <w:textAlignment w:val="baseline"/>
        <w:rPr>
          <w:rFonts w:ascii="仿宋_GB2312" w:hAnsi="方正仿宋_GBK" w:hint="default"/>
          <w:sz w:val="30"/>
          <w:szCs w:val="30"/>
        </w:rPr>
      </w:pPr>
      <w:r>
        <w:rPr>
          <w:rFonts w:ascii="仿宋_GB2312" w:hAnsi="方正仿宋_GBK"/>
          <w:sz w:val="30"/>
          <w:szCs w:val="30"/>
        </w:rPr>
        <w:t>其他经湖北移动认定为严重负面行为的。</w:t>
      </w:r>
    </w:p>
    <w:p w14:paraId="5EC5FBDE" w14:textId="77777777" w:rsidR="00295C86" w:rsidRDefault="00295C86" w:rsidP="00295C86">
      <w:pPr>
        <w:pStyle w:val="1"/>
        <w:tabs>
          <w:tab w:val="left" w:pos="1800"/>
        </w:tabs>
        <w:adjustRightInd w:val="0"/>
        <w:snapToGrid w:val="0"/>
        <w:spacing w:line="360" w:lineRule="auto"/>
        <w:ind w:left="600" w:firstLineChars="0" w:firstLine="0"/>
        <w:textAlignment w:val="baseline"/>
        <w:rPr>
          <w:rFonts w:ascii="仿宋_GB2312" w:hAnsi="方正仿宋_GBK" w:hint="default"/>
          <w:sz w:val="30"/>
          <w:szCs w:val="30"/>
        </w:rPr>
      </w:pPr>
      <w:r>
        <w:rPr>
          <w:rFonts w:ascii="仿宋_GB2312" w:hAnsi="宋体"/>
          <w:b/>
          <w:sz w:val="30"/>
          <w:szCs w:val="30"/>
        </w:rPr>
        <w:t>第五条</w:t>
      </w:r>
      <w:r>
        <w:rPr>
          <w:rFonts w:ascii="仿宋_GB2312" w:hAnsi="宋体"/>
          <w:sz w:val="30"/>
          <w:szCs w:val="30"/>
        </w:rPr>
        <w:t xml:space="preserve"> </w:t>
      </w:r>
      <w:r>
        <w:rPr>
          <w:rFonts w:ascii="仿宋_GB2312" w:hAnsi="方正仿宋_GBK"/>
          <w:sz w:val="30"/>
          <w:szCs w:val="30"/>
        </w:rPr>
        <w:t>有下列情况之一者，为特别严重负面行为：</w:t>
      </w:r>
    </w:p>
    <w:p w14:paraId="6C5C6743" w14:textId="77777777" w:rsidR="00295C86" w:rsidRDefault="00295C86" w:rsidP="00295C86">
      <w:pPr>
        <w:pStyle w:val="1"/>
        <w:numPr>
          <w:ilvl w:val="0"/>
          <w:numId w:val="3"/>
        </w:numPr>
        <w:tabs>
          <w:tab w:val="left" w:pos="1619"/>
        </w:tabs>
        <w:adjustRightInd w:val="0"/>
        <w:snapToGrid w:val="0"/>
        <w:spacing w:line="360" w:lineRule="auto"/>
        <w:ind w:left="0" w:firstLine="600"/>
        <w:jc w:val="left"/>
        <w:textAlignment w:val="baseline"/>
        <w:rPr>
          <w:rFonts w:ascii="仿宋_GB2312" w:hAnsi="方正仿宋_GBK" w:hint="default"/>
          <w:sz w:val="30"/>
          <w:szCs w:val="30"/>
        </w:rPr>
      </w:pPr>
      <w:r>
        <w:rPr>
          <w:rFonts w:ascii="仿宋_GB2312" w:hAnsi="方正仿宋_GBK"/>
          <w:sz w:val="30"/>
          <w:szCs w:val="30"/>
        </w:rPr>
        <w:t>司法、纪检监察部门认定供应商向采购人、评审委员会成员、采购代理机构、检测单位等湖北移动采购相关方及相关人员行贿或违法违规提供不正当利益的；</w:t>
      </w:r>
    </w:p>
    <w:p w14:paraId="2FF25998" w14:textId="77777777" w:rsidR="00295C86" w:rsidRDefault="00295C86" w:rsidP="00295C86">
      <w:pPr>
        <w:pStyle w:val="1"/>
        <w:numPr>
          <w:ilvl w:val="0"/>
          <w:numId w:val="3"/>
        </w:numPr>
        <w:tabs>
          <w:tab w:val="left" w:pos="1620"/>
        </w:tabs>
        <w:adjustRightInd w:val="0"/>
        <w:snapToGrid w:val="0"/>
        <w:spacing w:line="360" w:lineRule="auto"/>
        <w:ind w:left="0" w:firstLine="600"/>
        <w:jc w:val="left"/>
        <w:textAlignment w:val="baseline"/>
        <w:rPr>
          <w:rFonts w:ascii="仿宋_GB2312" w:hAnsi="方正仿宋_GBK" w:hint="default"/>
          <w:sz w:val="30"/>
          <w:szCs w:val="30"/>
        </w:rPr>
      </w:pPr>
      <w:r>
        <w:rPr>
          <w:rFonts w:ascii="仿宋_GB2312" w:hAnsi="方正仿宋_GBK"/>
          <w:sz w:val="30"/>
          <w:szCs w:val="30"/>
        </w:rPr>
        <w:t>因供应商产品质量问题或供应商操作等原因造成湖北移动安全生产事故，并达到《生产安全事故条例》定义的较大事故及以上级别事故的；</w:t>
      </w:r>
    </w:p>
    <w:p w14:paraId="7F63F78E" w14:textId="77777777" w:rsidR="00295C86" w:rsidRDefault="00295C86" w:rsidP="00295C86">
      <w:pPr>
        <w:pStyle w:val="1"/>
        <w:numPr>
          <w:ilvl w:val="0"/>
          <w:numId w:val="3"/>
        </w:numPr>
        <w:tabs>
          <w:tab w:val="left" w:pos="1620"/>
        </w:tabs>
        <w:adjustRightInd w:val="0"/>
        <w:snapToGrid w:val="0"/>
        <w:spacing w:line="360" w:lineRule="auto"/>
        <w:ind w:left="0" w:firstLine="600"/>
        <w:jc w:val="left"/>
        <w:textAlignment w:val="baseline"/>
        <w:rPr>
          <w:rFonts w:ascii="仿宋_GB2312" w:hAnsi="方正仿宋_GBK" w:hint="default"/>
          <w:sz w:val="30"/>
          <w:szCs w:val="30"/>
        </w:rPr>
      </w:pPr>
      <w:r>
        <w:rPr>
          <w:rFonts w:ascii="仿宋_GB2312" w:hAnsi="方正仿宋_GBK"/>
          <w:sz w:val="30"/>
          <w:szCs w:val="30"/>
        </w:rPr>
        <w:t>其他经湖北移动认定为特别严重负面行为的。</w:t>
      </w:r>
    </w:p>
    <w:p w14:paraId="391CEC89" w14:textId="77777777" w:rsidR="00295C86" w:rsidRDefault="00295C86" w:rsidP="00295C86">
      <w:pPr>
        <w:pStyle w:val="1"/>
        <w:tabs>
          <w:tab w:val="left" w:pos="1800"/>
        </w:tabs>
        <w:adjustRightInd w:val="0"/>
        <w:snapToGrid w:val="0"/>
        <w:spacing w:line="360" w:lineRule="auto"/>
        <w:ind w:firstLineChars="0" w:firstLine="0"/>
        <w:textAlignment w:val="baseline"/>
        <w:rPr>
          <w:rFonts w:ascii="仿宋_GB2312" w:hAnsi="方正仿宋_GBK" w:hint="default"/>
          <w:sz w:val="30"/>
          <w:szCs w:val="30"/>
        </w:rPr>
      </w:pPr>
      <w:r>
        <w:rPr>
          <w:rFonts w:ascii="仿宋_GB2312" w:hAnsi="宋体"/>
          <w:sz w:val="30"/>
          <w:szCs w:val="30"/>
        </w:rPr>
        <w:t xml:space="preserve">    </w:t>
      </w:r>
      <w:r>
        <w:rPr>
          <w:rFonts w:ascii="仿宋_GB2312" w:hAnsi="宋体"/>
          <w:b/>
          <w:sz w:val="30"/>
          <w:szCs w:val="30"/>
        </w:rPr>
        <w:t>第六条</w:t>
      </w:r>
      <w:r>
        <w:rPr>
          <w:rFonts w:ascii="仿宋_GB2312" w:hAnsi="宋体"/>
          <w:sz w:val="30"/>
          <w:szCs w:val="30"/>
        </w:rPr>
        <w:t xml:space="preserve"> </w:t>
      </w:r>
      <w:r>
        <w:rPr>
          <w:rFonts w:ascii="仿宋_GB2312" w:hAnsi="方正仿宋_GBK"/>
          <w:sz w:val="30"/>
          <w:szCs w:val="30"/>
        </w:rPr>
        <w:t>供应商因其负面行为被追究责任的，其基于合同约定应承担的违约责任仍应继续承担。对供应商负面行为的处理不替代对供应商合同项下法律责任的追究。</w:t>
      </w:r>
    </w:p>
    <w:p w14:paraId="25AB179E" w14:textId="77777777" w:rsidR="00295C86" w:rsidRDefault="00295C86" w:rsidP="00295C86">
      <w:pPr>
        <w:pStyle w:val="1"/>
        <w:tabs>
          <w:tab w:val="left" w:pos="1800"/>
        </w:tabs>
        <w:adjustRightInd w:val="0"/>
        <w:snapToGrid w:val="0"/>
        <w:spacing w:line="360" w:lineRule="auto"/>
        <w:ind w:firstLineChars="0" w:firstLine="0"/>
        <w:textAlignment w:val="baseline"/>
        <w:rPr>
          <w:rFonts w:ascii="仿宋_GB2312" w:hAnsi="宋体" w:hint="default"/>
          <w:sz w:val="30"/>
          <w:szCs w:val="30"/>
        </w:rPr>
      </w:pPr>
      <w:r>
        <w:rPr>
          <w:rFonts w:ascii="仿宋_GB2312" w:hAnsi="宋体"/>
          <w:sz w:val="30"/>
          <w:szCs w:val="30"/>
        </w:rPr>
        <w:t xml:space="preserve">    </w:t>
      </w:r>
      <w:r>
        <w:rPr>
          <w:rFonts w:ascii="仿宋_GB2312" w:hAnsi="宋体"/>
          <w:b/>
          <w:sz w:val="30"/>
          <w:szCs w:val="30"/>
        </w:rPr>
        <w:t>第七条</w:t>
      </w:r>
      <w:r>
        <w:rPr>
          <w:rFonts w:ascii="仿宋_GB2312" w:hAnsi="宋体"/>
          <w:sz w:val="30"/>
          <w:szCs w:val="30"/>
        </w:rPr>
        <w:t xml:space="preserve">  </w:t>
      </w:r>
      <w:r>
        <w:rPr>
          <w:rFonts w:ascii="仿宋_GB2312" w:hAnsi="宋体"/>
          <w:color w:val="000000" w:themeColor="text1"/>
          <w:sz w:val="30"/>
          <w:szCs w:val="30"/>
        </w:rPr>
        <w:t>根据供应商负面行为分级情况和行为情</w:t>
      </w:r>
      <w:r>
        <w:rPr>
          <w:rFonts w:ascii="仿宋_GB2312" w:hAnsi="宋体" w:hint="default"/>
          <w:color w:val="000000" w:themeColor="text1"/>
          <w:sz w:val="30"/>
          <w:szCs w:val="30"/>
        </w:rPr>
        <w:t>节</w:t>
      </w:r>
      <w:r>
        <w:rPr>
          <w:rFonts w:ascii="仿宋_GB2312" w:hAnsi="宋体"/>
          <w:color w:val="000000" w:themeColor="text1"/>
          <w:sz w:val="30"/>
          <w:szCs w:val="30"/>
        </w:rPr>
        <w:t>不同，对发生负面行为的供应商分别给予产品禁止合作三年、相应产品类</w:t>
      </w:r>
      <w:r>
        <w:rPr>
          <w:rFonts w:ascii="仿宋_GB2312" w:hAnsi="宋体"/>
          <w:color w:val="000000" w:themeColor="text1"/>
          <w:sz w:val="30"/>
          <w:szCs w:val="30"/>
        </w:rPr>
        <w:lastRenderedPageBreak/>
        <w:t>别禁止合作三年、取消中标资格、扣减后续采购综合评审得分或后评估得分、扣减分配份额等追究措施。</w:t>
      </w:r>
    </w:p>
    <w:p w14:paraId="2FB5C5B1" w14:textId="77777777" w:rsidR="00295C86" w:rsidRDefault="00295C86" w:rsidP="00295C86">
      <w:pPr>
        <w:pStyle w:val="1"/>
        <w:tabs>
          <w:tab w:val="left" w:pos="1800"/>
        </w:tabs>
        <w:adjustRightInd w:val="0"/>
        <w:snapToGrid w:val="0"/>
        <w:spacing w:line="360" w:lineRule="auto"/>
        <w:ind w:firstLineChars="0" w:firstLine="0"/>
        <w:textAlignment w:val="baseline"/>
        <w:rPr>
          <w:rFonts w:ascii="仿宋_GB2312" w:hAnsi="宋体" w:hint="default"/>
          <w:sz w:val="30"/>
          <w:szCs w:val="30"/>
        </w:rPr>
      </w:pPr>
      <w:r>
        <w:rPr>
          <w:rFonts w:ascii="仿宋_GB2312" w:hAnsi="宋体"/>
          <w:sz w:val="30"/>
          <w:szCs w:val="30"/>
        </w:rPr>
        <w:t xml:space="preserve">    </w:t>
      </w:r>
      <w:r>
        <w:rPr>
          <w:rFonts w:ascii="仿宋_GB2312" w:hAnsi="宋体"/>
          <w:b/>
          <w:sz w:val="30"/>
          <w:szCs w:val="30"/>
        </w:rPr>
        <w:t>第八条</w:t>
      </w:r>
      <w:r>
        <w:rPr>
          <w:rFonts w:ascii="仿宋_GB2312" w:hAnsi="宋体"/>
          <w:sz w:val="30"/>
          <w:szCs w:val="30"/>
        </w:rPr>
        <w:t xml:space="preserve">  供应商人员或其他相关人员实施行贿或提供不正当利益的应处以行贿人员禁入，终身不得代表任何供应商参与湖北移动的采购活动。</w:t>
      </w:r>
    </w:p>
    <w:p w14:paraId="6B6DE11A" w14:textId="77777777" w:rsidR="00295C86" w:rsidRDefault="00295C86" w:rsidP="00295C86">
      <w:pPr>
        <w:pStyle w:val="1"/>
        <w:tabs>
          <w:tab w:val="left" w:pos="1800"/>
        </w:tabs>
        <w:adjustRightInd w:val="0"/>
        <w:snapToGrid w:val="0"/>
        <w:spacing w:line="360" w:lineRule="auto"/>
        <w:ind w:firstLineChars="0" w:firstLine="0"/>
        <w:textAlignment w:val="baseline"/>
        <w:rPr>
          <w:rFonts w:ascii="仿宋_GB2312" w:hAnsi="方正仿宋_GBK" w:hint="default"/>
          <w:sz w:val="30"/>
          <w:szCs w:val="30"/>
        </w:rPr>
      </w:pPr>
      <w:r>
        <w:rPr>
          <w:rFonts w:ascii="仿宋_GB2312" w:hAnsi="宋体"/>
          <w:sz w:val="30"/>
          <w:szCs w:val="30"/>
        </w:rPr>
        <w:t xml:space="preserve">    </w:t>
      </w:r>
      <w:r>
        <w:rPr>
          <w:rFonts w:ascii="仿宋_GB2312" w:hAnsi="宋体"/>
          <w:b/>
          <w:sz w:val="30"/>
          <w:szCs w:val="30"/>
        </w:rPr>
        <w:t>第九条</w:t>
      </w:r>
      <w:r>
        <w:rPr>
          <w:rFonts w:ascii="仿宋_GB2312" w:hAnsi="宋体"/>
          <w:sz w:val="30"/>
          <w:szCs w:val="30"/>
        </w:rPr>
        <w:t xml:space="preserve"> </w:t>
      </w:r>
      <w:r>
        <w:rPr>
          <w:rFonts w:ascii="仿宋_GB2312" w:hAnsi="方正仿宋_GBK"/>
          <w:sz w:val="30"/>
          <w:szCs w:val="30"/>
        </w:rPr>
        <w:t xml:space="preserve"> 供应商被国家有关行政监督部门取消投标资格的，应按照其处罚决定执行。 </w:t>
      </w:r>
    </w:p>
    <w:p w14:paraId="71619F6C" w14:textId="77777777" w:rsidR="00295C86" w:rsidRDefault="00295C86" w:rsidP="00295C86">
      <w:pPr>
        <w:pStyle w:val="1"/>
        <w:tabs>
          <w:tab w:val="left" w:pos="2520"/>
        </w:tabs>
        <w:adjustRightInd w:val="0"/>
        <w:snapToGrid w:val="0"/>
        <w:spacing w:line="360" w:lineRule="auto"/>
        <w:ind w:firstLineChars="0" w:firstLine="0"/>
        <w:textAlignment w:val="baseline"/>
        <w:rPr>
          <w:rFonts w:ascii="仿宋_GB2312" w:hAnsi="方正仿宋_GBK" w:hint="default"/>
          <w:sz w:val="30"/>
          <w:szCs w:val="30"/>
        </w:rPr>
      </w:pPr>
      <w:r>
        <w:rPr>
          <w:rFonts w:ascii="仿宋_GB2312" w:hAnsi="宋体"/>
          <w:sz w:val="30"/>
          <w:szCs w:val="30"/>
        </w:rPr>
        <w:t xml:space="preserve">    </w:t>
      </w:r>
      <w:r>
        <w:rPr>
          <w:rFonts w:ascii="仿宋_GB2312" w:hAnsi="宋体"/>
          <w:b/>
          <w:sz w:val="30"/>
          <w:szCs w:val="30"/>
        </w:rPr>
        <w:t>第十条</w:t>
      </w:r>
      <w:r>
        <w:rPr>
          <w:rFonts w:ascii="仿宋_GB2312" w:hAnsi="宋体"/>
          <w:sz w:val="30"/>
          <w:szCs w:val="30"/>
        </w:rPr>
        <w:t xml:space="preserve">  </w:t>
      </w:r>
      <w:r>
        <w:rPr>
          <w:rFonts w:ascii="仿宋_GB2312" w:hAnsi="方正仿宋_GBK"/>
          <w:sz w:val="30"/>
          <w:szCs w:val="30"/>
        </w:rPr>
        <w:t>供应商在履约期间被处以禁止合作的，应终止当前相应产品类别合同或协议的执行。</w:t>
      </w:r>
    </w:p>
    <w:p w14:paraId="492DF18A" w14:textId="77777777" w:rsidR="00295C86" w:rsidRDefault="00295C86" w:rsidP="00295C86">
      <w:pPr>
        <w:pStyle w:val="1"/>
        <w:tabs>
          <w:tab w:val="left" w:pos="2520"/>
        </w:tabs>
        <w:adjustRightInd w:val="0"/>
        <w:snapToGrid w:val="0"/>
        <w:spacing w:line="360" w:lineRule="auto"/>
        <w:ind w:firstLineChars="0" w:firstLine="0"/>
        <w:textAlignment w:val="baseline"/>
        <w:rPr>
          <w:rFonts w:ascii="仿宋_GB2312" w:hAnsi="方正仿宋_GBK" w:hint="default"/>
          <w:sz w:val="30"/>
          <w:szCs w:val="30"/>
        </w:rPr>
      </w:pPr>
      <w:r>
        <w:rPr>
          <w:rFonts w:ascii="仿宋_GB2312" w:hAnsi="宋体"/>
          <w:sz w:val="30"/>
          <w:szCs w:val="30"/>
        </w:rPr>
        <w:t xml:space="preserve">    </w:t>
      </w:r>
      <w:r>
        <w:rPr>
          <w:rFonts w:ascii="仿宋_GB2312" w:hAnsi="宋体"/>
          <w:b/>
          <w:sz w:val="30"/>
          <w:szCs w:val="30"/>
        </w:rPr>
        <w:t>第十一条</w:t>
      </w:r>
      <w:r>
        <w:rPr>
          <w:rFonts w:ascii="仿宋_GB2312" w:hAnsi="宋体"/>
          <w:sz w:val="30"/>
          <w:szCs w:val="30"/>
        </w:rPr>
        <w:t xml:space="preserve">  </w:t>
      </w:r>
      <w:r>
        <w:rPr>
          <w:rFonts w:ascii="仿宋_GB2312" w:hAnsi="方正仿宋_GBK"/>
          <w:sz w:val="30"/>
          <w:szCs w:val="30"/>
        </w:rPr>
        <w:t>禁止合作期自湖北移动在发文通告之日起算，期满后自动解除。</w:t>
      </w:r>
    </w:p>
    <w:p w14:paraId="029805FE" w14:textId="77777777" w:rsidR="00295C86" w:rsidRDefault="00295C86" w:rsidP="00295C86">
      <w:pPr>
        <w:pStyle w:val="1"/>
        <w:tabs>
          <w:tab w:val="left" w:pos="2520"/>
        </w:tabs>
        <w:adjustRightInd w:val="0"/>
        <w:snapToGrid w:val="0"/>
        <w:spacing w:line="360" w:lineRule="auto"/>
        <w:ind w:firstLineChars="0" w:firstLine="0"/>
        <w:textAlignment w:val="baseline"/>
        <w:rPr>
          <w:rFonts w:ascii="仿宋_GB2312" w:hAnsi="方正仿宋_GBK" w:hint="default"/>
          <w:sz w:val="30"/>
          <w:szCs w:val="30"/>
        </w:rPr>
      </w:pPr>
      <w:r>
        <w:rPr>
          <w:rFonts w:ascii="仿宋_GB2312" w:hAnsi="宋体"/>
          <w:sz w:val="30"/>
          <w:szCs w:val="30"/>
        </w:rPr>
        <w:t xml:space="preserve">    </w:t>
      </w:r>
      <w:r>
        <w:rPr>
          <w:rFonts w:ascii="仿宋_GB2312" w:hAnsi="宋体"/>
          <w:b/>
          <w:sz w:val="30"/>
          <w:szCs w:val="30"/>
        </w:rPr>
        <w:t>第十二条</w:t>
      </w:r>
      <w:r>
        <w:rPr>
          <w:rFonts w:ascii="仿宋_GB2312" w:hAnsi="宋体"/>
          <w:sz w:val="30"/>
          <w:szCs w:val="30"/>
        </w:rPr>
        <w:t xml:space="preserve">  </w:t>
      </w:r>
      <w:r>
        <w:rPr>
          <w:rFonts w:ascii="仿宋_GB2312" w:hAnsi="方正仿宋_GBK"/>
          <w:sz w:val="30"/>
          <w:szCs w:val="30"/>
        </w:rPr>
        <w:t>供应商发生质量不合格、没有按照承诺使用承诺品牌或承诺参数的元器件原材料等问题，尚在调查期间的，可先行暂停其中选资格。待调查结束后根据调查结果进行处理，已暂停时间应计入处理时间。</w:t>
      </w:r>
    </w:p>
    <w:p w14:paraId="1D2A7FFF" w14:textId="77777777" w:rsidR="00295C86" w:rsidRDefault="00295C86" w:rsidP="00295C86">
      <w:pPr>
        <w:pStyle w:val="1"/>
        <w:tabs>
          <w:tab w:val="left" w:pos="2520"/>
        </w:tabs>
        <w:adjustRightInd w:val="0"/>
        <w:snapToGrid w:val="0"/>
        <w:spacing w:line="360" w:lineRule="auto"/>
        <w:ind w:firstLineChars="0" w:firstLine="0"/>
        <w:textAlignment w:val="baseline"/>
        <w:rPr>
          <w:rFonts w:ascii="仿宋_GB2312" w:hAnsi="宋体" w:hint="default"/>
          <w:sz w:val="30"/>
          <w:szCs w:val="30"/>
        </w:rPr>
      </w:pPr>
      <w:r>
        <w:rPr>
          <w:rFonts w:ascii="仿宋_GB2312" w:hAnsi="宋体"/>
          <w:sz w:val="30"/>
          <w:szCs w:val="30"/>
        </w:rPr>
        <w:t xml:space="preserve">  </w:t>
      </w:r>
    </w:p>
    <w:p w14:paraId="027D1F40" w14:textId="77777777" w:rsidR="00295C86" w:rsidRDefault="00295C86" w:rsidP="00295C86">
      <w:pPr>
        <w:ind w:left="0" w:firstLineChars="0" w:firstLine="0"/>
      </w:pPr>
    </w:p>
    <w:p w14:paraId="15249AEB" w14:textId="77777777" w:rsidR="005B7C95" w:rsidRPr="00295C86" w:rsidRDefault="005B7C95" w:rsidP="00295C86">
      <w:pPr>
        <w:ind w:firstLine="1890"/>
      </w:pPr>
    </w:p>
    <w:sectPr w:rsidR="005B7C95" w:rsidRPr="00295C86" w:rsidSect="00B729F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0801" w14:textId="77777777" w:rsidR="00F93A3F" w:rsidRDefault="00F93A3F">
      <w:pPr>
        <w:spacing w:line="240" w:lineRule="auto"/>
        <w:ind w:firstLine="1890"/>
      </w:pPr>
      <w:r>
        <w:separator/>
      </w:r>
    </w:p>
  </w:endnote>
  <w:endnote w:type="continuationSeparator" w:id="0">
    <w:p w14:paraId="35873FD6" w14:textId="77777777" w:rsidR="00F93A3F" w:rsidRDefault="00F93A3F">
      <w:pPr>
        <w:spacing w:line="240" w:lineRule="auto"/>
        <w:ind w:firstLine="189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0E530" w14:textId="77777777" w:rsidR="00B729F0" w:rsidRDefault="00F93A3F">
    <w:pPr>
      <w:pStyle w:val="a3"/>
      <w:ind w:firstLine="16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52359" w14:textId="77777777" w:rsidR="00B729F0" w:rsidRDefault="00F93A3F">
    <w:pPr>
      <w:pStyle w:val="a3"/>
      <w:ind w:firstLine="16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6D40" w14:textId="77777777" w:rsidR="00B729F0" w:rsidRDefault="00F93A3F">
    <w:pPr>
      <w:pStyle w:val="a3"/>
      <w:ind w:firstLine="16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AAFCD" w14:textId="77777777" w:rsidR="00F93A3F" w:rsidRDefault="00F93A3F">
      <w:pPr>
        <w:spacing w:line="240" w:lineRule="auto"/>
        <w:ind w:firstLine="1890"/>
      </w:pPr>
      <w:r>
        <w:separator/>
      </w:r>
    </w:p>
  </w:footnote>
  <w:footnote w:type="continuationSeparator" w:id="0">
    <w:p w14:paraId="4ECC345A" w14:textId="77777777" w:rsidR="00F93A3F" w:rsidRDefault="00F93A3F">
      <w:pPr>
        <w:spacing w:line="240" w:lineRule="auto"/>
        <w:ind w:firstLine="189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4EBB6" w14:textId="77777777" w:rsidR="00B729F0" w:rsidRDefault="00F93A3F">
    <w:pPr>
      <w:pStyle w:val="a5"/>
      <w:ind w:firstLine="16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ECE" w14:textId="77777777" w:rsidR="00B729F0" w:rsidRDefault="00F93A3F">
    <w:pPr>
      <w:pStyle w:val="a5"/>
      <w:ind w:firstLine="16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9CBDD" w14:textId="77777777" w:rsidR="00B729F0" w:rsidRDefault="00F93A3F">
    <w:pPr>
      <w:pStyle w:val="a5"/>
      <w:ind w:firstLine="16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japaneseCounting"/>
      <w:lvlText w:val="（%1）"/>
      <w:lvlJc w:val="left"/>
      <w:pPr>
        <w:tabs>
          <w:tab w:val="left" w:pos="1080"/>
        </w:tabs>
        <w:ind w:left="1080" w:hanging="1080"/>
      </w:pPr>
      <w:rPr>
        <w:rFonts w:ascii="Times New Roman" w:hint="default"/>
      </w:rPr>
    </w:lvl>
    <w:lvl w:ilvl="1">
      <w:start w:val="1"/>
      <w:numFmt w:val="lowerLetter"/>
      <w:lvlText w:val="%2)"/>
      <w:lvlJc w:val="left"/>
      <w:pPr>
        <w:tabs>
          <w:tab w:val="left" w:pos="840"/>
        </w:tabs>
        <w:ind w:left="840" w:hanging="420"/>
      </w:pPr>
      <w:rPr>
        <w:rFonts w:ascii="Times New Roman" w:hint="default"/>
      </w:rPr>
    </w:lvl>
    <w:lvl w:ilvl="2">
      <w:start w:val="1"/>
      <w:numFmt w:val="lowerRoman"/>
      <w:lvlText w:val="%3."/>
      <w:lvlJc w:val="right"/>
      <w:pPr>
        <w:tabs>
          <w:tab w:val="left" w:pos="1260"/>
        </w:tabs>
        <w:ind w:left="1260" w:hanging="420"/>
      </w:pPr>
      <w:rPr>
        <w:rFonts w:ascii="Times New Roman" w:hint="default"/>
      </w:rPr>
    </w:lvl>
    <w:lvl w:ilvl="3">
      <w:start w:val="1"/>
      <w:numFmt w:val="decimal"/>
      <w:lvlText w:val="%4."/>
      <w:lvlJc w:val="left"/>
      <w:pPr>
        <w:tabs>
          <w:tab w:val="left" w:pos="1680"/>
        </w:tabs>
        <w:ind w:left="1680" w:hanging="420"/>
      </w:pPr>
      <w:rPr>
        <w:rFonts w:ascii="Times New Roman" w:hint="default"/>
      </w:rPr>
    </w:lvl>
    <w:lvl w:ilvl="4">
      <w:start w:val="1"/>
      <w:numFmt w:val="lowerLetter"/>
      <w:lvlText w:val="%5)"/>
      <w:lvlJc w:val="left"/>
      <w:pPr>
        <w:tabs>
          <w:tab w:val="left" w:pos="2100"/>
        </w:tabs>
        <w:ind w:left="2100" w:hanging="420"/>
      </w:pPr>
      <w:rPr>
        <w:rFonts w:ascii="Times New Roman" w:hint="default"/>
      </w:rPr>
    </w:lvl>
    <w:lvl w:ilvl="5">
      <w:start w:val="1"/>
      <w:numFmt w:val="lowerRoman"/>
      <w:lvlText w:val="%6."/>
      <w:lvlJc w:val="right"/>
      <w:pPr>
        <w:tabs>
          <w:tab w:val="left" w:pos="2520"/>
        </w:tabs>
        <w:ind w:left="2520" w:hanging="420"/>
      </w:pPr>
      <w:rPr>
        <w:rFonts w:ascii="Times New Roman" w:hint="default"/>
      </w:rPr>
    </w:lvl>
    <w:lvl w:ilvl="6">
      <w:start w:val="1"/>
      <w:numFmt w:val="decimal"/>
      <w:lvlText w:val="%7."/>
      <w:lvlJc w:val="left"/>
      <w:pPr>
        <w:tabs>
          <w:tab w:val="left" w:pos="2940"/>
        </w:tabs>
        <w:ind w:left="2940" w:hanging="420"/>
      </w:pPr>
      <w:rPr>
        <w:rFonts w:ascii="Times New Roman" w:hint="default"/>
      </w:rPr>
    </w:lvl>
    <w:lvl w:ilvl="7">
      <w:start w:val="1"/>
      <w:numFmt w:val="lowerLetter"/>
      <w:lvlText w:val="%8)"/>
      <w:lvlJc w:val="left"/>
      <w:pPr>
        <w:tabs>
          <w:tab w:val="left" w:pos="3360"/>
        </w:tabs>
        <w:ind w:left="3360" w:hanging="420"/>
      </w:pPr>
      <w:rPr>
        <w:rFonts w:ascii="Times New Roman" w:hint="default"/>
      </w:rPr>
    </w:lvl>
    <w:lvl w:ilvl="8">
      <w:start w:val="1"/>
      <w:numFmt w:val="lowerRoman"/>
      <w:lvlText w:val="%9."/>
      <w:lvlJc w:val="right"/>
      <w:pPr>
        <w:tabs>
          <w:tab w:val="left" w:pos="3780"/>
        </w:tabs>
        <w:ind w:left="3780" w:hanging="420"/>
      </w:pPr>
      <w:rPr>
        <w:rFonts w:ascii="Times New Roman" w:hint="default"/>
      </w:rPr>
    </w:lvl>
  </w:abstractNum>
  <w:abstractNum w:abstractNumId="1" w15:restartNumberingAfterBreak="0">
    <w:nsid w:val="00000007"/>
    <w:multiLevelType w:val="multilevel"/>
    <w:tmpl w:val="00000007"/>
    <w:lvl w:ilvl="0">
      <w:start w:val="1"/>
      <w:numFmt w:val="japaneseCounting"/>
      <w:lvlText w:val="（%1）"/>
      <w:lvlJc w:val="left"/>
      <w:pPr>
        <w:tabs>
          <w:tab w:val="left" w:pos="1080"/>
        </w:tabs>
        <w:ind w:left="1080" w:hanging="1080"/>
      </w:pPr>
      <w:rPr>
        <w:rFonts w:ascii="Times New Roman" w:hint="default"/>
      </w:rPr>
    </w:lvl>
    <w:lvl w:ilvl="1">
      <w:start w:val="1"/>
      <w:numFmt w:val="lowerLetter"/>
      <w:lvlText w:val="%2)"/>
      <w:lvlJc w:val="left"/>
      <w:pPr>
        <w:tabs>
          <w:tab w:val="left" w:pos="840"/>
        </w:tabs>
        <w:ind w:left="840" w:hanging="420"/>
      </w:pPr>
      <w:rPr>
        <w:rFonts w:ascii="Times New Roman" w:hint="default"/>
      </w:rPr>
    </w:lvl>
    <w:lvl w:ilvl="2">
      <w:start w:val="1"/>
      <w:numFmt w:val="lowerRoman"/>
      <w:lvlText w:val="%3."/>
      <w:lvlJc w:val="right"/>
      <w:pPr>
        <w:tabs>
          <w:tab w:val="left" w:pos="1260"/>
        </w:tabs>
        <w:ind w:left="1260" w:hanging="420"/>
      </w:pPr>
      <w:rPr>
        <w:rFonts w:ascii="Times New Roman" w:hint="default"/>
      </w:rPr>
    </w:lvl>
    <w:lvl w:ilvl="3">
      <w:start w:val="1"/>
      <w:numFmt w:val="decimal"/>
      <w:lvlText w:val="%4."/>
      <w:lvlJc w:val="left"/>
      <w:pPr>
        <w:tabs>
          <w:tab w:val="left" w:pos="1680"/>
        </w:tabs>
        <w:ind w:left="1680" w:hanging="420"/>
      </w:pPr>
      <w:rPr>
        <w:rFonts w:ascii="Times New Roman" w:hint="default"/>
      </w:rPr>
    </w:lvl>
    <w:lvl w:ilvl="4">
      <w:start w:val="1"/>
      <w:numFmt w:val="lowerLetter"/>
      <w:lvlText w:val="%5)"/>
      <w:lvlJc w:val="left"/>
      <w:pPr>
        <w:tabs>
          <w:tab w:val="left" w:pos="2100"/>
        </w:tabs>
        <w:ind w:left="2100" w:hanging="420"/>
      </w:pPr>
      <w:rPr>
        <w:rFonts w:ascii="Times New Roman" w:hint="default"/>
      </w:rPr>
    </w:lvl>
    <w:lvl w:ilvl="5">
      <w:start w:val="1"/>
      <w:numFmt w:val="lowerRoman"/>
      <w:lvlText w:val="%6."/>
      <w:lvlJc w:val="right"/>
      <w:pPr>
        <w:tabs>
          <w:tab w:val="left" w:pos="2520"/>
        </w:tabs>
        <w:ind w:left="2520" w:hanging="420"/>
      </w:pPr>
      <w:rPr>
        <w:rFonts w:ascii="Times New Roman" w:hint="default"/>
      </w:rPr>
    </w:lvl>
    <w:lvl w:ilvl="6">
      <w:start w:val="1"/>
      <w:numFmt w:val="decimal"/>
      <w:lvlText w:val="%7."/>
      <w:lvlJc w:val="left"/>
      <w:pPr>
        <w:tabs>
          <w:tab w:val="left" w:pos="2940"/>
        </w:tabs>
        <w:ind w:left="2940" w:hanging="420"/>
      </w:pPr>
      <w:rPr>
        <w:rFonts w:ascii="Times New Roman" w:hint="default"/>
      </w:rPr>
    </w:lvl>
    <w:lvl w:ilvl="7">
      <w:start w:val="1"/>
      <w:numFmt w:val="lowerLetter"/>
      <w:lvlText w:val="%8)"/>
      <w:lvlJc w:val="left"/>
      <w:pPr>
        <w:tabs>
          <w:tab w:val="left" w:pos="3360"/>
        </w:tabs>
        <w:ind w:left="3360" w:hanging="420"/>
      </w:pPr>
      <w:rPr>
        <w:rFonts w:ascii="Times New Roman" w:hint="default"/>
      </w:rPr>
    </w:lvl>
    <w:lvl w:ilvl="8">
      <w:start w:val="1"/>
      <w:numFmt w:val="lowerRoman"/>
      <w:lvlText w:val="%9."/>
      <w:lvlJc w:val="right"/>
      <w:pPr>
        <w:tabs>
          <w:tab w:val="left" w:pos="3780"/>
        </w:tabs>
        <w:ind w:left="3780" w:hanging="420"/>
      </w:pPr>
      <w:rPr>
        <w:rFonts w:ascii="Times New Roman" w:hint="default"/>
      </w:rPr>
    </w:lvl>
  </w:abstractNum>
  <w:abstractNum w:abstractNumId="2" w15:restartNumberingAfterBreak="0">
    <w:nsid w:val="58ED4CBB"/>
    <w:multiLevelType w:val="multilevel"/>
    <w:tmpl w:val="58ED4CBB"/>
    <w:lvl w:ilvl="0">
      <w:start w:val="1"/>
      <w:numFmt w:val="japaneseCounting"/>
      <w:lvlText w:val="（%1）"/>
      <w:lvlJc w:val="left"/>
      <w:pPr>
        <w:tabs>
          <w:tab w:val="left" w:pos="1680"/>
        </w:tabs>
        <w:ind w:left="1680" w:hanging="1080"/>
      </w:pPr>
      <w:rPr>
        <w:rFonts w:ascii="Times New Roman" w:hint="default"/>
      </w:rPr>
    </w:lvl>
    <w:lvl w:ilvl="1">
      <w:start w:val="1"/>
      <w:numFmt w:val="lowerLetter"/>
      <w:lvlText w:val="%2)"/>
      <w:lvlJc w:val="left"/>
      <w:pPr>
        <w:tabs>
          <w:tab w:val="left" w:pos="1440"/>
        </w:tabs>
        <w:ind w:left="1440" w:hanging="420"/>
      </w:pPr>
      <w:rPr>
        <w:rFonts w:ascii="Times New Roman" w:hint="default"/>
      </w:rPr>
    </w:lvl>
    <w:lvl w:ilvl="2">
      <w:start w:val="1"/>
      <w:numFmt w:val="lowerRoman"/>
      <w:lvlText w:val="%3."/>
      <w:lvlJc w:val="right"/>
      <w:pPr>
        <w:tabs>
          <w:tab w:val="left" w:pos="1860"/>
        </w:tabs>
        <w:ind w:left="1860" w:hanging="420"/>
      </w:pPr>
      <w:rPr>
        <w:rFonts w:ascii="Times New Roman" w:hint="default"/>
      </w:rPr>
    </w:lvl>
    <w:lvl w:ilvl="3">
      <w:start w:val="1"/>
      <w:numFmt w:val="decimal"/>
      <w:lvlText w:val="%4."/>
      <w:lvlJc w:val="left"/>
      <w:pPr>
        <w:tabs>
          <w:tab w:val="left" w:pos="2280"/>
        </w:tabs>
        <w:ind w:left="2280" w:hanging="420"/>
      </w:pPr>
      <w:rPr>
        <w:rFonts w:ascii="Times New Roman" w:hint="default"/>
      </w:rPr>
    </w:lvl>
    <w:lvl w:ilvl="4">
      <w:start w:val="1"/>
      <w:numFmt w:val="lowerLetter"/>
      <w:lvlText w:val="%5)"/>
      <w:lvlJc w:val="left"/>
      <w:pPr>
        <w:tabs>
          <w:tab w:val="left" w:pos="2700"/>
        </w:tabs>
        <w:ind w:left="2700" w:hanging="420"/>
      </w:pPr>
      <w:rPr>
        <w:rFonts w:ascii="Times New Roman" w:hint="default"/>
      </w:rPr>
    </w:lvl>
    <w:lvl w:ilvl="5">
      <w:start w:val="1"/>
      <w:numFmt w:val="lowerRoman"/>
      <w:lvlText w:val="%6."/>
      <w:lvlJc w:val="right"/>
      <w:pPr>
        <w:tabs>
          <w:tab w:val="left" w:pos="3120"/>
        </w:tabs>
        <w:ind w:left="3120" w:hanging="420"/>
      </w:pPr>
      <w:rPr>
        <w:rFonts w:ascii="Times New Roman" w:hint="default"/>
      </w:rPr>
    </w:lvl>
    <w:lvl w:ilvl="6">
      <w:start w:val="1"/>
      <w:numFmt w:val="decimal"/>
      <w:lvlText w:val="%7."/>
      <w:lvlJc w:val="left"/>
      <w:pPr>
        <w:tabs>
          <w:tab w:val="left" w:pos="3540"/>
        </w:tabs>
        <w:ind w:left="3540" w:hanging="420"/>
      </w:pPr>
      <w:rPr>
        <w:rFonts w:ascii="Times New Roman" w:hint="default"/>
      </w:rPr>
    </w:lvl>
    <w:lvl w:ilvl="7">
      <w:start w:val="1"/>
      <w:numFmt w:val="lowerLetter"/>
      <w:lvlText w:val="%8)"/>
      <w:lvlJc w:val="left"/>
      <w:pPr>
        <w:tabs>
          <w:tab w:val="left" w:pos="3960"/>
        </w:tabs>
        <w:ind w:left="3960" w:hanging="420"/>
      </w:pPr>
      <w:rPr>
        <w:rFonts w:ascii="Times New Roman" w:hint="default"/>
      </w:rPr>
    </w:lvl>
    <w:lvl w:ilvl="8">
      <w:start w:val="1"/>
      <w:numFmt w:val="lowerRoman"/>
      <w:lvlText w:val="%9."/>
      <w:lvlJc w:val="right"/>
      <w:pPr>
        <w:tabs>
          <w:tab w:val="left" w:pos="4380"/>
        </w:tabs>
        <w:ind w:left="4380" w:hanging="420"/>
      </w:pPr>
      <w:rPr>
        <w:rFonts w:ascii="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5C86"/>
    <w:rsid w:val="00295C86"/>
    <w:rsid w:val="003E7968"/>
    <w:rsid w:val="005B7C95"/>
    <w:rsid w:val="00F93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66687"/>
  <w15:docId w15:val="{5DAE1E9D-68D0-48A7-A02B-BCD2201E9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5C86"/>
    <w:pPr>
      <w:widowControl w:val="0"/>
      <w:spacing w:line="360" w:lineRule="auto"/>
      <w:ind w:left="561" w:firstLineChars="900" w:firstLine="90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95C86"/>
    <w:pPr>
      <w:tabs>
        <w:tab w:val="center" w:pos="4153"/>
        <w:tab w:val="right" w:pos="8306"/>
      </w:tabs>
      <w:snapToGrid w:val="0"/>
      <w:jc w:val="left"/>
    </w:pPr>
    <w:rPr>
      <w:sz w:val="18"/>
      <w:szCs w:val="18"/>
    </w:rPr>
  </w:style>
  <w:style w:type="character" w:customStyle="1" w:styleId="a4">
    <w:name w:val="页脚 字符"/>
    <w:basedOn w:val="a0"/>
    <w:link w:val="a3"/>
    <w:uiPriority w:val="99"/>
    <w:semiHidden/>
    <w:rsid w:val="00295C86"/>
    <w:rPr>
      <w:rFonts w:ascii="Calibri" w:eastAsia="宋体" w:hAnsi="Calibri" w:cs="Times New Roman"/>
      <w:sz w:val="18"/>
      <w:szCs w:val="18"/>
    </w:rPr>
  </w:style>
  <w:style w:type="paragraph" w:styleId="a5">
    <w:name w:val="header"/>
    <w:basedOn w:val="a"/>
    <w:link w:val="a6"/>
    <w:uiPriority w:val="99"/>
    <w:semiHidden/>
    <w:unhideWhenUsed/>
    <w:rsid w:val="00295C8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295C86"/>
    <w:rPr>
      <w:rFonts w:ascii="Calibri" w:eastAsia="宋体" w:hAnsi="Calibri" w:cs="Times New Roman"/>
      <w:sz w:val="18"/>
      <w:szCs w:val="18"/>
    </w:rPr>
  </w:style>
  <w:style w:type="paragraph" w:customStyle="1" w:styleId="1">
    <w:name w:val="列出段落1"/>
    <w:basedOn w:val="a"/>
    <w:rsid w:val="00295C86"/>
    <w:pPr>
      <w:spacing w:line="240" w:lineRule="atLeast"/>
      <w:ind w:left="0" w:firstLineChars="200" w:firstLine="420"/>
    </w:pPr>
    <w:rPr>
      <w:rFonts w:ascii="Times New Roman" w:eastAsia="仿宋_GB2312" w:hAnsi="Times New Roman" w:hint="eastAsia"/>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302</Words>
  <Characters>1723</Characters>
  <DocSecurity>0</DocSecurity>
  <Lines>14</Lines>
  <Paragraphs>4</Paragraphs>
  <ScaleCrop>false</ScaleCrop>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created xsi:type="dcterms:W3CDTF">2021-07-26T11:03:00Z</dcterms:created>
  <dcterms:modified xsi:type="dcterms:W3CDTF">2021-12-13T01:38:00Z</dcterms:modified>
</cp:coreProperties>
</file>