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2022年中国联通浙江省分公司本部餐厅升级改造设备购置项目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中国联合网络通信有限公司浙江省分公司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2022年中国联通浙江省分公司本部餐厅升级改造设备购置项目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ZJZB-2022-11528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截止报名时间，本项目有效应答人不足三家，公开比选失败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2022年3月22日至2022年3月25日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中国联合网络通信有限公司浙江省分公司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林建军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15657176755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监督电话：0571-28986750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联系人：王琪燕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Calibri" w:eastAsia="仿宋_GB2312" w:cs="Times New Roman"/>
          <w:sz w:val="32"/>
          <w:szCs w:val="32"/>
        </w:rPr>
        <w:instrText xml:space="preserve"> HYPERLINK "mailto:wangqy110@chinaunicom.cn" </w:instrTex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Calibri" w:eastAsia="仿宋_GB2312" w:cs="Times New Roman"/>
          <w:sz w:val="32"/>
          <w:szCs w:val="32"/>
        </w:rPr>
        <w:t>wangqy110@chinaunicom.cn</w: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249D2447"/>
    <w:rsid w:val="69D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2022-03-22T02:21:54Z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2478E8AAFB564E2994C6663C66C8F59E</vt:lpwstr>
  </property>
</Properties>
</file>